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95F44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</w:p>
    <w:p w14:paraId="78D89E79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9448204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43CA93F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6635AEE6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483A5A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39774B1E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0898801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27335A7E" w14:textId="77777777" w:rsidR="00747B45" w:rsidRPr="004A011E" w:rsidRDefault="00A4744B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</w:t>
      </w:r>
      <w:r w:rsidR="00741EE1">
        <w:rPr>
          <w:rFonts w:ascii="Cambria" w:hAnsi="Cambria" w:cs="MyriadPro-Black"/>
          <w:caps/>
          <w:color w:val="A6A6A6"/>
          <w:sz w:val="40"/>
          <w:szCs w:val="40"/>
        </w:rPr>
        <w:t>5</w:t>
      </w:r>
    </w:p>
    <w:p w14:paraId="78235C3A" w14:textId="4F636035" w:rsidR="00747B45" w:rsidRPr="004A011E" w:rsidRDefault="00A4744B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D2B04">
        <w:rPr>
          <w:rFonts w:ascii="Cambria" w:hAnsi="Cambria" w:cs="MyriadPro-Black"/>
          <w:caps/>
          <w:color w:val="A6A6A6"/>
          <w:sz w:val="40"/>
          <w:szCs w:val="40"/>
        </w:rPr>
        <w:t>78</w:t>
      </w:r>
    </w:p>
    <w:p w14:paraId="7F960FB5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AE58FA9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852ECE">
        <w:rPr>
          <w:rFonts w:ascii="Cambria" w:hAnsi="Cambria" w:cs="MyriadPro-Black"/>
          <w:caps/>
          <w:sz w:val="40"/>
          <w:szCs w:val="40"/>
        </w:rPr>
        <w:t>3</w:t>
      </w:r>
    </w:p>
    <w:p w14:paraId="13C5187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B477CEC" w14:textId="77777777" w:rsidR="00747B45" w:rsidRPr="004C3570" w:rsidRDefault="00A4744B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podklady pro hodnocení </w:t>
      </w:r>
      <w:r w:rsidR="00A005FD">
        <w:rPr>
          <w:rFonts w:ascii="Cambria" w:hAnsi="Cambria" w:cs="MyriadPro-Black"/>
          <w:b/>
          <w:caps/>
          <w:sz w:val="46"/>
          <w:szCs w:val="40"/>
        </w:rPr>
        <w:t>Projektu</w:t>
      </w:r>
    </w:p>
    <w:p w14:paraId="5090235B" w14:textId="77777777" w:rsidR="00747B45" w:rsidRDefault="00747B45" w:rsidP="00747B45">
      <w:pPr>
        <w:pStyle w:val="Default"/>
        <w:spacing w:line="276" w:lineRule="auto"/>
        <w:jc w:val="center"/>
      </w:pPr>
    </w:p>
    <w:p w14:paraId="44A927A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864454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9C3AE49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301DE0A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9B01654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43554F2F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ACBA088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0DA4ECF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420E270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3FC0A7D" w14:textId="0719538A" w:rsidR="00747B45" w:rsidRDefault="00A4744B" w:rsidP="00747B45">
      <w:pPr>
        <w:rPr>
          <w:rFonts w:ascii="Arial" w:hAnsi="Arial" w:cs="Arial"/>
          <w:b/>
          <w:sz w:val="40"/>
          <w:szCs w:val="40"/>
        </w:rPr>
      </w:pPr>
      <w:r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1F6BA5">
        <w:rPr>
          <w:rFonts w:ascii="Cambria" w:hAnsi="Cambria" w:cs="MyriadPro-Black"/>
          <w:caps/>
          <w:sz w:val="32"/>
          <w:szCs w:val="40"/>
        </w:rPr>
        <w:t>20</w:t>
      </w:r>
      <w:r w:rsidR="000D2B04">
        <w:rPr>
          <w:rFonts w:ascii="Cambria" w:hAnsi="Cambria" w:cs="MyriadPro-Black"/>
          <w:caps/>
          <w:sz w:val="32"/>
          <w:szCs w:val="40"/>
        </w:rPr>
        <w:t xml:space="preserve">. </w:t>
      </w:r>
      <w:r w:rsidR="007E18C2">
        <w:rPr>
          <w:rFonts w:ascii="Cambria" w:hAnsi="Cambria" w:cs="MyriadPro-Black"/>
          <w:caps/>
          <w:sz w:val="32"/>
          <w:szCs w:val="40"/>
        </w:rPr>
        <w:t>5</w:t>
      </w:r>
      <w:r w:rsidR="000D2B04">
        <w:rPr>
          <w:rFonts w:ascii="Cambria" w:hAnsi="Cambria" w:cs="MyriadPro-Black"/>
          <w:caps/>
          <w:sz w:val="32"/>
          <w:szCs w:val="40"/>
        </w:rPr>
        <w:t>. 201</w:t>
      </w:r>
      <w:r w:rsidR="00417921">
        <w:rPr>
          <w:rFonts w:ascii="Cambria" w:hAnsi="Cambria" w:cs="MyriadPro-Black"/>
          <w:caps/>
          <w:sz w:val="32"/>
          <w:szCs w:val="40"/>
        </w:rPr>
        <w:t>9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62237233"/>
        <w:docPartObj>
          <w:docPartGallery w:val="Table of Contents"/>
          <w:docPartUnique/>
        </w:docPartObj>
      </w:sdtPr>
      <w:sdtEndPr/>
      <w:sdtContent>
        <w:p w14:paraId="47A96C90" w14:textId="731B58CF" w:rsidR="00E8521B" w:rsidRDefault="00E8521B">
          <w:pPr>
            <w:pStyle w:val="Nadpisobsahu"/>
          </w:pPr>
          <w:r>
            <w:t>Obsah</w:t>
          </w:r>
        </w:p>
        <w:p w14:paraId="7D0A01D7" w14:textId="54A5D492" w:rsidR="00725536" w:rsidRDefault="00E8521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503452521" w:history="1">
            <w:r w:rsidR="00725536" w:rsidRPr="008E515A">
              <w:rPr>
                <w:rStyle w:val="Hypertextovodkaz"/>
                <w:noProof/>
              </w:rPr>
              <w:t>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Základní informace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_Toc503452521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03F57FA8" w14:textId="210EE51F" w:rsidR="00725536" w:rsidRDefault="002B28BE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2" w:history="1">
            <w:r w:rsidR="00725536" w:rsidRPr="008E515A">
              <w:rPr>
                <w:rStyle w:val="Hypertextovodkaz"/>
                <w:noProof/>
              </w:rPr>
              <w:t>Součástí podkladů pro hodnocení je také soubor ve formátu *xls, který je nutné vyplnit a v tomto formátu uložit v MS2014+.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_Toc503452522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7C2F0EE5" w14:textId="4FD0F61F" w:rsidR="00725536" w:rsidRDefault="002B28BE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3" w:history="1">
            <w:r w:rsidR="00725536" w:rsidRPr="008E515A">
              <w:rPr>
                <w:rStyle w:val="Hypertextovodkaz"/>
                <w:noProof/>
              </w:rPr>
              <w:t>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Podrobný popis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_Toc503452523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345B503E" w14:textId="51F3A563" w:rsidR="00725536" w:rsidRDefault="002B28BE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4" w:history="1">
            <w:r w:rsidR="00725536" w:rsidRPr="008E515A">
              <w:rPr>
                <w:rStyle w:val="Hypertextovodkaz"/>
                <w:noProof/>
              </w:rPr>
              <w:t>2.1.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Výchozí stav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_Toc503452524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E22277A" w14:textId="5EC23413" w:rsidR="00725536" w:rsidRDefault="002B28BE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5" w:history="1">
            <w:r w:rsidR="00725536" w:rsidRPr="008E515A">
              <w:rPr>
                <w:rStyle w:val="Hypertextovodkaz"/>
                <w:noProof/>
              </w:rPr>
              <w:t>2.1.1.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Stručný popis výchozího stavu bytového domu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_Toc503452525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6F513BB3" w14:textId="6DE2DF03" w:rsidR="00725536" w:rsidRDefault="002B28BE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6" w:history="1">
            <w:r w:rsidR="00725536" w:rsidRPr="008E515A">
              <w:rPr>
                <w:rStyle w:val="Hypertextovodkaz"/>
                <w:noProof/>
              </w:rPr>
              <w:t>2.1.2.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Stručný popis zda v rámci bytového domu dochází k pronájmu bytových/nebytových prostor, pronájmu fasády domu či střechy domu.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_Toc503452526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1A6C2DB4" w14:textId="7A1AD21A" w:rsidR="00725536" w:rsidRDefault="002B28BE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7" w:history="1">
            <w:r w:rsidR="00725536" w:rsidRPr="008E515A">
              <w:rPr>
                <w:rStyle w:val="Hypertextovodkaz"/>
                <w:noProof/>
              </w:rPr>
              <w:t>2.2.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Odůvodnění potřebnosti a účelnosti požadované investice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_Toc503452527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4322069E" w14:textId="643FB514" w:rsidR="00725536" w:rsidRDefault="002B28BE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8" w:history="1">
            <w:r w:rsidR="00725536" w:rsidRPr="008E515A">
              <w:rPr>
                <w:rStyle w:val="Hypertextovodkaz"/>
                <w:noProof/>
              </w:rPr>
              <w:t>2.3.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Popis stavebních prací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_Toc503452528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0B64A608" w14:textId="609D0092" w:rsidR="00725536" w:rsidRDefault="002B28BE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9" w:history="1">
            <w:r w:rsidR="00725536" w:rsidRPr="008E515A">
              <w:rPr>
                <w:rStyle w:val="Hypertextovodkaz"/>
                <w:noProof/>
              </w:rPr>
              <w:t>3.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Stavební řízení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_Toc503452529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F423116" w14:textId="7DB3C101" w:rsidR="00725536" w:rsidRDefault="002B28BE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0" w:history="1">
            <w:r w:rsidR="00725536" w:rsidRPr="008E515A">
              <w:rPr>
                <w:rStyle w:val="Hypertextovodkaz"/>
                <w:noProof/>
              </w:rPr>
              <w:t>4.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Připravenost projektu k realizaci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_Toc503452530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1961EAF7" w14:textId="6FF807DD" w:rsidR="00725536" w:rsidRDefault="002B28BE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1" w:history="1">
            <w:r w:rsidR="00725536" w:rsidRPr="008E515A">
              <w:rPr>
                <w:rStyle w:val="Hypertextovodkaz"/>
                <w:noProof/>
              </w:rPr>
              <w:t>4.1.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Technická připravenost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_Toc503452531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5C7FD4A1" w14:textId="72B59A09" w:rsidR="00725536" w:rsidRDefault="002B28BE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2" w:history="1">
            <w:r w:rsidR="00725536" w:rsidRPr="008E515A">
              <w:rPr>
                <w:rStyle w:val="Hypertextovodkaz"/>
                <w:noProof/>
              </w:rPr>
              <w:t>4.1.1.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majetkoprávní vztahy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_Toc503452532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F0D0898" w14:textId="2FA4D342" w:rsidR="00725536" w:rsidRDefault="002B28BE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3" w:history="1">
            <w:r w:rsidR="00725536" w:rsidRPr="008E515A">
              <w:rPr>
                <w:rStyle w:val="Hypertextovodkaz"/>
                <w:noProof/>
              </w:rPr>
              <w:t>4.1.2.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připravenost dokumentace k zadávacím a výběrovým řízení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_Toc503452533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20F7C79" w14:textId="14EC56DB" w:rsidR="00725536" w:rsidRDefault="002B28BE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4" w:history="1">
            <w:r w:rsidR="00725536" w:rsidRPr="008E515A">
              <w:rPr>
                <w:rStyle w:val="Hypertextovodkaz"/>
                <w:noProof/>
              </w:rPr>
              <w:t>4.1.3.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zajištění administrativní, finanční a provozní kapacity k realizaci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_Toc503452534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4726EBD9" w14:textId="2E1C74D4" w:rsidR="00725536" w:rsidRDefault="002B28BE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5" w:history="1">
            <w:r w:rsidR="00725536" w:rsidRPr="008E515A">
              <w:rPr>
                <w:rStyle w:val="Hypertextovodkaz"/>
                <w:noProof/>
              </w:rPr>
              <w:t>4.2.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Zohlednění nároků volně žijících živočichů a planě rostoucí rostlin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_Toc503452535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3B32BF05" w14:textId="2F73D840" w:rsidR="00725536" w:rsidRDefault="002B28BE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6" w:history="1">
            <w:r w:rsidR="00725536" w:rsidRPr="008E515A">
              <w:rPr>
                <w:rStyle w:val="Hypertextovodkaz"/>
                <w:noProof/>
              </w:rPr>
              <w:t>5.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Harmonogram realizace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_Toc503452536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4D6FED5" w14:textId="6AC6A2E3" w:rsidR="00725536" w:rsidRDefault="002B28BE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7" w:history="1">
            <w:r w:rsidR="00725536" w:rsidRPr="008E515A">
              <w:rPr>
                <w:rStyle w:val="Hypertextovodkaz"/>
                <w:noProof/>
              </w:rPr>
              <w:t>6.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Zajištění udržitelnosti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_Toc503452537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66FAE6F3" w14:textId="006A9DCB" w:rsidR="00725536" w:rsidRDefault="002B28BE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8" w:history="1">
            <w:r w:rsidR="00725536" w:rsidRPr="008E515A">
              <w:rPr>
                <w:rStyle w:val="Hypertextovodkaz"/>
                <w:noProof/>
              </w:rPr>
              <w:t>6.1.1.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provozní,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_Toc503452538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427AF39C" w14:textId="2757257A" w:rsidR="00725536" w:rsidRDefault="002B28BE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9" w:history="1">
            <w:r w:rsidR="00725536" w:rsidRPr="008E515A">
              <w:rPr>
                <w:rStyle w:val="Hypertextovodkaz"/>
                <w:noProof/>
              </w:rPr>
              <w:t>6.1.2.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finanční,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_Toc503452539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01E080C4" w14:textId="705E04E1" w:rsidR="00725536" w:rsidRDefault="002B28BE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40" w:history="1">
            <w:r w:rsidR="00725536" w:rsidRPr="008E515A">
              <w:rPr>
                <w:rStyle w:val="Hypertextovodkaz"/>
                <w:noProof/>
              </w:rPr>
              <w:t>6.1.3.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administrativní (zajištění administrace související s žádostí o změnu, zpráv o udržitelnosti, apod.)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_Toc503452540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1CB8918F" w14:textId="04F50CC8" w:rsidR="00725536" w:rsidRDefault="002B28BE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41" w:history="1">
            <w:r w:rsidR="00725536" w:rsidRPr="008E515A">
              <w:rPr>
                <w:rStyle w:val="Hypertextovodkaz"/>
                <w:noProof/>
              </w:rPr>
              <w:t>7.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Způsob stanovení cen do rozpočtu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_Toc503452541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6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49B6B6F7" w14:textId="1533BDEE" w:rsidR="00E8521B" w:rsidRDefault="00E8521B">
          <w:r>
            <w:fldChar w:fldCharType="end"/>
          </w:r>
        </w:p>
      </w:sdtContent>
    </w:sdt>
    <w:p w14:paraId="5F7F4D7C" w14:textId="77777777" w:rsidR="00734C43" w:rsidRDefault="00734C43" w:rsidP="00245B12">
      <w:pPr>
        <w:pStyle w:val="Nadpis1"/>
      </w:pPr>
    </w:p>
    <w:p w14:paraId="31CC8316" w14:textId="77777777" w:rsidR="00734C43" w:rsidRDefault="00734C43" w:rsidP="00734C43"/>
    <w:p w14:paraId="0DCDB232" w14:textId="10688D7D" w:rsidR="00E8521B" w:rsidRDefault="00E8521B">
      <w:r>
        <w:br w:type="page"/>
      </w:r>
    </w:p>
    <w:p w14:paraId="26F22DE4" w14:textId="379A2A9A" w:rsidR="008A5F96" w:rsidRDefault="0071118F" w:rsidP="00245B12">
      <w:pPr>
        <w:pStyle w:val="Nadpis1"/>
        <w:numPr>
          <w:ilvl w:val="0"/>
          <w:numId w:val="45"/>
        </w:numPr>
      </w:pPr>
      <w:bookmarkStart w:id="6" w:name="_Toc503452521"/>
      <w:r>
        <w:lastRenderedPageBreak/>
        <w:t>Základní i</w:t>
      </w:r>
      <w:r w:rsidR="00734C43">
        <w:t>nformace</w:t>
      </w:r>
      <w:bookmarkEnd w:id="6"/>
      <w:r w:rsidR="00734C43">
        <w:t xml:space="preserve"> </w:t>
      </w:r>
    </w:p>
    <w:p w14:paraId="4E80EE1D" w14:textId="77777777" w:rsidR="0071118F" w:rsidRPr="0071118F" w:rsidRDefault="0071118F" w:rsidP="0071118F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24DDBECB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33D7411F" w14:textId="28204CF5" w:rsidR="000446C1" w:rsidRDefault="000446C1" w:rsidP="0071118F">
            <w:pPr>
              <w:tabs>
                <w:tab w:val="left" w:pos="0"/>
              </w:tabs>
            </w:pPr>
            <w:r>
              <w:t xml:space="preserve">Obchodní jméno, 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63EA0C10" w14:textId="77777777" w:rsidR="000446C1" w:rsidRDefault="000446C1" w:rsidP="00B22AEA"/>
        </w:tc>
      </w:tr>
      <w:tr w:rsidR="000446C1" w14:paraId="598FACF5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69ED4AAF" w14:textId="1B678436" w:rsidR="000446C1" w:rsidRDefault="0071118F" w:rsidP="00B22AEA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4F570CB7" w14:textId="77777777" w:rsidR="000446C1" w:rsidRDefault="000446C1" w:rsidP="00B22AEA"/>
        </w:tc>
      </w:tr>
      <w:tr w:rsidR="00B275A4" w14:paraId="42B5F412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77EB2318" w14:textId="577C48A1" w:rsidR="00B275A4" w:rsidRDefault="0071118F" w:rsidP="00B662C4">
            <w:pPr>
              <w:tabs>
                <w:tab w:val="left" w:pos="0"/>
              </w:tabs>
            </w:pPr>
            <w:r>
              <w:t>Místo realizace projektu</w:t>
            </w:r>
          </w:p>
        </w:tc>
        <w:tc>
          <w:tcPr>
            <w:tcW w:w="4961" w:type="dxa"/>
            <w:vAlign w:val="center"/>
          </w:tcPr>
          <w:p w14:paraId="12AE45BC" w14:textId="77777777" w:rsidR="00B275A4" w:rsidRDefault="00B275A4" w:rsidP="00B22AEA"/>
        </w:tc>
      </w:tr>
      <w:tr w:rsidR="0071118F" w14:paraId="6F40E220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5502D352" w14:textId="46F9C5A5" w:rsidR="0071118F" w:rsidRDefault="0071118F" w:rsidP="00B662C4">
            <w:pPr>
              <w:tabs>
                <w:tab w:val="left" w:pos="0"/>
              </w:tabs>
            </w:pPr>
            <w:r>
              <w:t>Nárok na odpočet DPH na vstupu ve vztahu ke způsobilým výdajům projektu (Ano x Ne)</w:t>
            </w:r>
          </w:p>
        </w:tc>
        <w:tc>
          <w:tcPr>
            <w:tcW w:w="4961" w:type="dxa"/>
            <w:vAlign w:val="center"/>
          </w:tcPr>
          <w:p w14:paraId="6871C289" w14:textId="77777777" w:rsidR="0071118F" w:rsidRDefault="0071118F" w:rsidP="00B22AEA"/>
        </w:tc>
      </w:tr>
      <w:tr w:rsidR="0071118F" w14:paraId="7BC2E17C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1E898729" w14:textId="11DFB71F" w:rsidR="0071118F" w:rsidRDefault="0071118F" w:rsidP="00B662C4">
            <w:pPr>
              <w:tabs>
                <w:tab w:val="left" w:pos="0"/>
              </w:tabs>
            </w:pPr>
            <w:r>
              <w:t>Právní subjektivita žadatele s ohledem na typy příjemců</w:t>
            </w:r>
          </w:p>
        </w:tc>
        <w:tc>
          <w:tcPr>
            <w:tcW w:w="4961" w:type="dxa"/>
            <w:vAlign w:val="center"/>
          </w:tcPr>
          <w:p w14:paraId="674FB211" w14:textId="77777777" w:rsidR="00245B12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</w:p>
          <w:p w14:paraId="776F1F4C" w14:textId="77777777" w:rsidR="00245B12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</w:p>
          <w:p w14:paraId="7D10A0BD" w14:textId="77777777" w:rsidR="00245B12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</w:p>
          <w:p w14:paraId="5C2D5BF1" w14:textId="07E495B3" w:rsidR="0071118F" w:rsidRPr="0071118F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  <w:r>
              <w:rPr>
                <w:i/>
              </w:rPr>
              <w:t xml:space="preserve">Pozn.: </w:t>
            </w:r>
            <w:r w:rsidR="0071118F" w:rsidRPr="0071118F">
              <w:rPr>
                <w:i/>
              </w:rPr>
              <w:t>V případě žadatele -  fyzické osoby podnikající bez IČO (pronajímající bytové prostory na základě zákona č. 586/1992 Sb., o dani z příjmu) – žadatel uvede adresu nemovitosti, ve které bytové prostory pronajímá (nemusí se jednat o nemovitost, která je předmětem podpory).</w:t>
            </w:r>
          </w:p>
          <w:p w14:paraId="1D12F80E" w14:textId="77777777" w:rsidR="0071118F" w:rsidRDefault="0071118F" w:rsidP="00B22AEA"/>
        </w:tc>
      </w:tr>
    </w:tbl>
    <w:p w14:paraId="046ABA80" w14:textId="33DE56FE" w:rsidR="008D5E44" w:rsidRDefault="008D5E44" w:rsidP="00725536">
      <w:pPr>
        <w:pStyle w:val="Nadpis1"/>
      </w:pPr>
      <w:bookmarkStart w:id="7" w:name="_Toc477957346"/>
      <w:bookmarkStart w:id="8" w:name="_Toc503452522"/>
      <w:bookmarkEnd w:id="7"/>
      <w:r>
        <w:t>Součástí podkladů pro hodnocení je také soubor ve formátu *xls, který je nutné vyplnit a v tomto formátu uložit v MS2014+.</w:t>
      </w:r>
      <w:bookmarkEnd w:id="8"/>
    </w:p>
    <w:p w14:paraId="09A77288" w14:textId="3C723512" w:rsidR="007502DC" w:rsidRDefault="00B8276E" w:rsidP="00245B12">
      <w:pPr>
        <w:pStyle w:val="Nadpis1"/>
        <w:numPr>
          <w:ilvl w:val="0"/>
          <w:numId w:val="45"/>
        </w:numPr>
      </w:pPr>
      <w:bookmarkStart w:id="9" w:name="_Toc503452523"/>
      <w:r w:rsidRPr="0091615C">
        <w:t>Podrobný popis projektu</w:t>
      </w:r>
      <w:bookmarkEnd w:id="9"/>
    </w:p>
    <w:p w14:paraId="77E18001" w14:textId="77777777" w:rsidR="00955C36" w:rsidRDefault="00955C36" w:rsidP="00245B12">
      <w:pPr>
        <w:pStyle w:val="Nadpis1"/>
        <w:numPr>
          <w:ilvl w:val="1"/>
          <w:numId w:val="45"/>
        </w:numPr>
      </w:pPr>
      <w:bookmarkStart w:id="10" w:name="_Toc503452524"/>
      <w:r>
        <w:t>Výchozí stav</w:t>
      </w:r>
      <w:bookmarkEnd w:id="10"/>
      <w:r>
        <w:t xml:space="preserve"> </w:t>
      </w:r>
    </w:p>
    <w:p w14:paraId="20F893D6" w14:textId="054826AE" w:rsidR="00955C36" w:rsidRDefault="00245B12" w:rsidP="00725536">
      <w:pPr>
        <w:pStyle w:val="Nadpis1"/>
        <w:numPr>
          <w:ilvl w:val="2"/>
          <w:numId w:val="45"/>
        </w:numPr>
        <w:ind w:left="851" w:hanging="851"/>
        <w:jc w:val="both"/>
        <w:rPr>
          <w:sz w:val="24"/>
        </w:rPr>
      </w:pPr>
      <w:r w:rsidRPr="00245B12">
        <w:rPr>
          <w:sz w:val="24"/>
        </w:rPr>
        <w:t xml:space="preserve"> </w:t>
      </w:r>
      <w:bookmarkStart w:id="11" w:name="_Toc503452525"/>
      <w:r w:rsidR="00597D1A" w:rsidRPr="00245B12">
        <w:rPr>
          <w:sz w:val="24"/>
        </w:rPr>
        <w:t>S</w:t>
      </w:r>
      <w:r w:rsidR="00955C36" w:rsidRPr="00245B12">
        <w:rPr>
          <w:sz w:val="24"/>
        </w:rPr>
        <w:t>tručný popis výchozího stavu bytového domu</w:t>
      </w:r>
      <w:bookmarkEnd w:id="11"/>
      <w:r w:rsidR="00960729" w:rsidRPr="00245B12">
        <w:rPr>
          <w:sz w:val="24"/>
        </w:rPr>
        <w:t xml:space="preserve"> </w:t>
      </w:r>
    </w:p>
    <w:p w14:paraId="2828B69E" w14:textId="77777777" w:rsidR="00245B12" w:rsidRDefault="00245B12" w:rsidP="00725536">
      <w:pPr>
        <w:jc w:val="both"/>
      </w:pPr>
    </w:p>
    <w:p w14:paraId="38ED8611" w14:textId="1800AD2E" w:rsidR="00245B12" w:rsidRPr="00CA2E4C" w:rsidRDefault="00245B12" w:rsidP="009F3D25">
      <w:pPr>
        <w:jc w:val="both"/>
        <w:rPr>
          <w:i/>
        </w:rPr>
      </w:pPr>
      <w:r w:rsidRPr="00CA2E4C">
        <w:rPr>
          <w:i/>
        </w:rPr>
        <w:t xml:space="preserve">Žadatel popíše </w:t>
      </w:r>
      <w:r w:rsidR="001D21CF" w:rsidRPr="00CA2E4C">
        <w:rPr>
          <w:i/>
        </w:rPr>
        <w:t>aktuální stav, uvede počet bytových jednotek.</w:t>
      </w:r>
    </w:p>
    <w:p w14:paraId="0A603A68" w14:textId="759B7DE7" w:rsidR="001D21CF" w:rsidRDefault="00245B12" w:rsidP="00725536">
      <w:pPr>
        <w:pStyle w:val="Nadpis1"/>
        <w:numPr>
          <w:ilvl w:val="2"/>
          <w:numId w:val="45"/>
        </w:numPr>
        <w:ind w:left="851" w:hanging="851"/>
        <w:jc w:val="both"/>
        <w:rPr>
          <w:sz w:val="24"/>
        </w:rPr>
      </w:pPr>
      <w:r w:rsidRPr="001D21CF">
        <w:rPr>
          <w:sz w:val="24"/>
        </w:rPr>
        <w:t xml:space="preserve"> </w:t>
      </w:r>
      <w:bookmarkStart w:id="12" w:name="_Toc503452526"/>
      <w:r w:rsidR="008F77C5" w:rsidRPr="001D21CF">
        <w:rPr>
          <w:sz w:val="24"/>
        </w:rPr>
        <w:t>Stručný popis zda v rámci bytového domu dochází </w:t>
      </w:r>
      <w:r w:rsidR="00C65C8B">
        <w:rPr>
          <w:sz w:val="24"/>
        </w:rPr>
        <w:t xml:space="preserve">k </w:t>
      </w:r>
      <w:r w:rsidR="008F77C5" w:rsidRPr="001D21CF">
        <w:rPr>
          <w:sz w:val="24"/>
        </w:rPr>
        <w:t>pronájmu bytových/nebytových prostor, pronájmu fasády domu či střechy domu.</w:t>
      </w:r>
      <w:bookmarkEnd w:id="12"/>
      <w:r w:rsidR="008F77C5" w:rsidRPr="001D21CF">
        <w:rPr>
          <w:sz w:val="24"/>
        </w:rPr>
        <w:t xml:space="preserve"> </w:t>
      </w:r>
    </w:p>
    <w:p w14:paraId="2C4825A2" w14:textId="77777777" w:rsidR="001D21CF" w:rsidRDefault="001D21CF" w:rsidP="001D21CF">
      <w:pPr>
        <w:jc w:val="both"/>
        <w:rPr>
          <w:i/>
          <w:highlight w:val="yellow"/>
        </w:rPr>
      </w:pPr>
    </w:p>
    <w:p w14:paraId="01846B98" w14:textId="77777777" w:rsidR="001D21CF" w:rsidRPr="00CA2E4C" w:rsidRDefault="001D21CF" w:rsidP="001D21CF">
      <w:pPr>
        <w:jc w:val="both"/>
        <w:rPr>
          <w:i/>
        </w:rPr>
      </w:pPr>
      <w:r w:rsidRPr="00CA2E4C">
        <w:rPr>
          <w:i/>
        </w:rPr>
        <w:t>Žadatel popíše aktuální stav, případně uvede, že není pro daný projekt relevantní.</w:t>
      </w:r>
    </w:p>
    <w:p w14:paraId="1F5EAFF5" w14:textId="77777777" w:rsidR="001D21CF" w:rsidRPr="001D21CF" w:rsidRDefault="001D21CF" w:rsidP="001D21CF"/>
    <w:p w14:paraId="0D6E7CA6" w14:textId="77777777" w:rsidR="001D21CF" w:rsidRDefault="001D21CF" w:rsidP="001D21CF">
      <w:pPr>
        <w:pStyle w:val="Odstavecseseznamem"/>
        <w:ind w:left="360"/>
        <w:jc w:val="both"/>
        <w:rPr>
          <w:i/>
          <w:highlight w:val="yellow"/>
        </w:rPr>
      </w:pPr>
    </w:p>
    <w:p w14:paraId="16E8B8B3" w14:textId="3AE84D7D" w:rsidR="00614FF0" w:rsidRDefault="007502DC" w:rsidP="00245B12">
      <w:pPr>
        <w:pStyle w:val="Nadpis1"/>
        <w:numPr>
          <w:ilvl w:val="1"/>
          <w:numId w:val="45"/>
        </w:numPr>
      </w:pPr>
      <w:bookmarkStart w:id="13" w:name="_Toc503452527"/>
      <w:r>
        <w:t>Odůvodnění potřebnosti a ú</w:t>
      </w:r>
      <w:r w:rsidR="00597D1A">
        <w:t>čelnosti požadované investice</w:t>
      </w:r>
      <w:bookmarkEnd w:id="13"/>
    </w:p>
    <w:p w14:paraId="79BB1088" w14:textId="77777777" w:rsidR="001D21CF" w:rsidRDefault="001D21CF" w:rsidP="001D21CF">
      <w:pPr>
        <w:jc w:val="both"/>
        <w:rPr>
          <w:i/>
          <w:highlight w:val="yellow"/>
        </w:rPr>
      </w:pPr>
    </w:p>
    <w:p w14:paraId="502058DF" w14:textId="138BE5C4" w:rsidR="001D21CF" w:rsidRPr="00CA2E4C" w:rsidRDefault="001D21CF" w:rsidP="001D21CF">
      <w:pPr>
        <w:jc w:val="both"/>
        <w:rPr>
          <w:i/>
        </w:rPr>
      </w:pPr>
      <w:r w:rsidRPr="00CA2E4C">
        <w:rPr>
          <w:i/>
        </w:rPr>
        <w:t xml:space="preserve">Žadatel stručně popíše odůvodnění požadované investice. </w:t>
      </w:r>
    </w:p>
    <w:p w14:paraId="790277AD" w14:textId="510A1D40" w:rsidR="00FD4007" w:rsidRDefault="00FD4007" w:rsidP="00245B12">
      <w:pPr>
        <w:pStyle w:val="Nadpis1"/>
        <w:numPr>
          <w:ilvl w:val="1"/>
          <w:numId w:val="45"/>
        </w:numPr>
      </w:pPr>
      <w:bookmarkStart w:id="14" w:name="_Toc503452528"/>
      <w:r>
        <w:t>Popis stavebních prací</w:t>
      </w:r>
      <w:bookmarkEnd w:id="14"/>
    </w:p>
    <w:p w14:paraId="4A3D079A" w14:textId="77777777" w:rsidR="001D21CF" w:rsidRDefault="001D21CF" w:rsidP="001D21CF">
      <w:pPr>
        <w:jc w:val="both"/>
        <w:rPr>
          <w:i/>
          <w:highlight w:val="yellow"/>
        </w:rPr>
      </w:pPr>
    </w:p>
    <w:p w14:paraId="3389E8EF" w14:textId="77777777" w:rsidR="001D21CF" w:rsidRPr="00CA2E4C" w:rsidRDefault="001D21CF" w:rsidP="001D21CF">
      <w:pPr>
        <w:jc w:val="both"/>
        <w:rPr>
          <w:i/>
        </w:rPr>
      </w:pPr>
      <w:r w:rsidRPr="00CA2E4C">
        <w:rPr>
          <w:i/>
        </w:rPr>
        <w:t>Žadatel stručně uvede, jaké stavební práce v rámci projektové žádosti bude provádět.</w:t>
      </w:r>
    </w:p>
    <w:p w14:paraId="6AA645AE" w14:textId="2967A90A" w:rsidR="00B43204" w:rsidRDefault="00B43204" w:rsidP="00C52C6B">
      <w:pPr>
        <w:jc w:val="both"/>
      </w:pPr>
    </w:p>
    <w:p w14:paraId="5191A3F4" w14:textId="77777777" w:rsidR="00781233" w:rsidRDefault="00781233" w:rsidP="001D21CF">
      <w:pPr>
        <w:pStyle w:val="Nadpis1"/>
        <w:numPr>
          <w:ilvl w:val="0"/>
          <w:numId w:val="45"/>
        </w:numPr>
      </w:pPr>
      <w:bookmarkStart w:id="15" w:name="_Toc503452529"/>
      <w:r>
        <w:t>Stavební řízení</w:t>
      </w:r>
      <w:bookmarkEnd w:id="15"/>
    </w:p>
    <w:p w14:paraId="0673901A" w14:textId="77777777" w:rsidR="00245B12" w:rsidRPr="00245B12" w:rsidRDefault="00245B12" w:rsidP="00245B12"/>
    <w:p w14:paraId="5B4BBACE" w14:textId="5CC01551" w:rsidR="00781233" w:rsidRPr="00CA2E4C" w:rsidRDefault="00781233" w:rsidP="006F020D">
      <w:pPr>
        <w:jc w:val="both"/>
        <w:rPr>
          <w:i/>
        </w:rPr>
      </w:pPr>
      <w:r w:rsidRPr="00CA2E4C">
        <w:rPr>
          <w:i/>
        </w:rPr>
        <w:t xml:space="preserve">Žadatel popíše </w:t>
      </w:r>
      <w:r w:rsidR="00B37730" w:rsidRPr="00CA2E4C">
        <w:rPr>
          <w:i/>
        </w:rPr>
        <w:t>stavební řízení nebo ohlášení, pokud se na plánovaná opatření některý z těchto režimů vztahuje. Je nutné uvést např. datum podání žádosti o stavební povolení, datum podání ohlášení stavby, předpokládaný termín vydání stavebního povolení.</w:t>
      </w:r>
      <w:r w:rsidR="005D7CB4" w:rsidRPr="00CA2E4C">
        <w:rPr>
          <w:i/>
        </w:rPr>
        <w:t xml:space="preserve"> </w:t>
      </w:r>
    </w:p>
    <w:p w14:paraId="034A51A6" w14:textId="77777777" w:rsidR="00B37730" w:rsidRPr="00245B12" w:rsidRDefault="00B37730" w:rsidP="006F020D">
      <w:pPr>
        <w:jc w:val="both"/>
        <w:rPr>
          <w:i/>
        </w:rPr>
      </w:pPr>
      <w:r w:rsidRPr="00CA2E4C">
        <w:rPr>
          <w:i/>
        </w:rPr>
        <w:t>Pokud se na plánovaná opatření nevztahuje stavební povolení ani ohlášení, žadatel tuto skutečnost uvede</w:t>
      </w:r>
      <w:r w:rsidR="00334FB0" w:rsidRPr="00CA2E4C">
        <w:rPr>
          <w:i/>
        </w:rPr>
        <w:t>.</w:t>
      </w:r>
    </w:p>
    <w:p w14:paraId="552AF47E" w14:textId="77777777" w:rsidR="00552B3C" w:rsidRPr="0091615C" w:rsidRDefault="002373F3" w:rsidP="001D21CF">
      <w:pPr>
        <w:pStyle w:val="Nadpis1"/>
        <w:numPr>
          <w:ilvl w:val="0"/>
          <w:numId w:val="45"/>
        </w:numPr>
      </w:pPr>
      <w:bookmarkStart w:id="16" w:name="_Toc503452530"/>
      <w:r w:rsidRPr="0091615C">
        <w:t>Připravenost projektu k realizaci</w:t>
      </w:r>
      <w:bookmarkEnd w:id="16"/>
    </w:p>
    <w:p w14:paraId="6BF25F8A" w14:textId="77D5CE76" w:rsidR="002373F3" w:rsidRDefault="002373F3" w:rsidP="00E823FC">
      <w:pPr>
        <w:pStyle w:val="Nadpis1"/>
        <w:numPr>
          <w:ilvl w:val="1"/>
          <w:numId w:val="45"/>
        </w:numPr>
      </w:pPr>
      <w:bookmarkStart w:id="17" w:name="_Toc503452531"/>
      <w:r w:rsidRPr="00E823FC">
        <w:t>Technická připravenos</w:t>
      </w:r>
      <w:r w:rsidR="00E823FC">
        <w:t>t</w:t>
      </w:r>
      <w:bookmarkEnd w:id="17"/>
    </w:p>
    <w:p w14:paraId="4C4812D7" w14:textId="2FDBA33B" w:rsidR="002373F3" w:rsidRDefault="00E823FC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18" w:name="_Toc503452532"/>
      <w:r>
        <w:rPr>
          <w:sz w:val="24"/>
        </w:rPr>
        <w:t>majetkoprávní vztahy</w:t>
      </w:r>
      <w:bookmarkEnd w:id="18"/>
    </w:p>
    <w:p w14:paraId="2D250D76" w14:textId="3B7A8328" w:rsidR="00E823FC" w:rsidRPr="00CA2E4C" w:rsidRDefault="00E823FC" w:rsidP="00E823FC">
      <w:pPr>
        <w:rPr>
          <w:i/>
        </w:rPr>
      </w:pPr>
      <w:r w:rsidRPr="00CA2E4C">
        <w:rPr>
          <w:i/>
        </w:rPr>
        <w:t xml:space="preserve">Žadatel popíše majetkoprávní vztahy. </w:t>
      </w:r>
    </w:p>
    <w:p w14:paraId="0407968E" w14:textId="5769891D" w:rsidR="002373F3" w:rsidRDefault="002373F3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19" w:name="_Toc503452533"/>
      <w:r w:rsidRPr="00E823FC">
        <w:rPr>
          <w:sz w:val="24"/>
        </w:rPr>
        <w:t>připravenost dokumentace k</w:t>
      </w:r>
      <w:r w:rsidR="00E823FC">
        <w:rPr>
          <w:sz w:val="24"/>
        </w:rPr>
        <w:t xml:space="preserve"> zadávacím a výběrovým řízení</w:t>
      </w:r>
      <w:bookmarkEnd w:id="19"/>
    </w:p>
    <w:p w14:paraId="464823AA" w14:textId="68BCBAED" w:rsidR="00E823FC" w:rsidRPr="00CA2E4C" w:rsidRDefault="00E823FC" w:rsidP="00E823FC">
      <w:pPr>
        <w:rPr>
          <w:i/>
        </w:rPr>
      </w:pPr>
      <w:r w:rsidRPr="00CA2E4C">
        <w:rPr>
          <w:i/>
        </w:rPr>
        <w:t xml:space="preserve">Žadatel popíše stav veřejných zakázek.  </w:t>
      </w:r>
    </w:p>
    <w:p w14:paraId="32276DE6" w14:textId="06BDF13C" w:rsidR="005B4B3B" w:rsidRDefault="005B4B3B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20" w:name="_Toc503452534"/>
      <w:r w:rsidRPr="00E823FC">
        <w:rPr>
          <w:sz w:val="24"/>
        </w:rPr>
        <w:t>zajištění administrativní, finanční a provozní kapacity k realizaci projektu</w:t>
      </w:r>
      <w:bookmarkEnd w:id="20"/>
    </w:p>
    <w:p w14:paraId="2B5C12B4" w14:textId="5116BFB0" w:rsidR="00E823FC" w:rsidRPr="00CA2E4C" w:rsidRDefault="00E823FC" w:rsidP="00E823FC">
      <w:pPr>
        <w:rPr>
          <w:i/>
        </w:rPr>
      </w:pPr>
      <w:r w:rsidRPr="00CA2E4C">
        <w:rPr>
          <w:i/>
        </w:rPr>
        <w:t xml:space="preserve">Žadatel popíše kapacity k realizaci projektu z pohledu administrativního, finančního a provozního. </w:t>
      </w:r>
    </w:p>
    <w:p w14:paraId="3FDC3A27" w14:textId="77777777" w:rsidR="00E823FC" w:rsidRPr="00E823FC" w:rsidRDefault="00E823FC" w:rsidP="00E823FC"/>
    <w:p w14:paraId="17B50A78" w14:textId="77777777" w:rsidR="00E823FC" w:rsidRDefault="003647D8" w:rsidP="00E823FC">
      <w:pPr>
        <w:pStyle w:val="Nadpis1"/>
        <w:numPr>
          <w:ilvl w:val="1"/>
          <w:numId w:val="45"/>
        </w:numPr>
      </w:pPr>
      <w:bookmarkStart w:id="21" w:name="_Toc503452535"/>
      <w:r w:rsidRPr="00E823FC">
        <w:t>Zohlednění nároků volně žijících živočichů a planě rostoucí rostli</w:t>
      </w:r>
      <w:r w:rsidR="00330EAD" w:rsidRPr="00E823FC">
        <w:t>n</w:t>
      </w:r>
      <w:bookmarkEnd w:id="21"/>
    </w:p>
    <w:p w14:paraId="5E612F38" w14:textId="203C800F" w:rsidR="00E823FC" w:rsidRDefault="00E823FC" w:rsidP="00E823FC">
      <w:pPr>
        <w:jc w:val="both"/>
        <w:rPr>
          <w:i/>
          <w:highlight w:val="yellow"/>
        </w:rPr>
      </w:pPr>
    </w:p>
    <w:p w14:paraId="2DAFDFC1" w14:textId="603948C2" w:rsidR="003647D8" w:rsidRPr="00CA2E4C" w:rsidRDefault="00E823FC" w:rsidP="00E823FC">
      <w:pPr>
        <w:jc w:val="both"/>
        <w:rPr>
          <w:i/>
        </w:rPr>
      </w:pPr>
      <w:r w:rsidRPr="00CA2E4C">
        <w:rPr>
          <w:i/>
        </w:rPr>
        <w:t xml:space="preserve">Kap. 4.2 je povinná </w:t>
      </w:r>
      <w:r w:rsidR="00330EAD" w:rsidRPr="00CA2E4C">
        <w:rPr>
          <w:i/>
        </w:rPr>
        <w:t>pro projekty zahrnující zateplení obvodových konstrukcí a výměnu výplní otvorů</w:t>
      </w:r>
      <w:r w:rsidRPr="00CA2E4C">
        <w:rPr>
          <w:i/>
        </w:rPr>
        <w:t>, v opačném případě uveďte, že není relevantní.</w:t>
      </w:r>
    </w:p>
    <w:p w14:paraId="4F27C8BA" w14:textId="77777777" w:rsidR="00330EAD" w:rsidRPr="00CA2E4C" w:rsidRDefault="00330EAD" w:rsidP="002C7BB3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>popis vyhodnocení výskytu chráněných druhů organismů</w:t>
      </w:r>
      <w:r w:rsidR="00A72D90" w:rsidRPr="00CA2E4C">
        <w:t>,</w:t>
      </w:r>
      <w:r w:rsidRPr="00CA2E4C">
        <w:t xml:space="preserve"> </w:t>
      </w:r>
    </w:p>
    <w:p w14:paraId="444C6AB3" w14:textId="77777777" w:rsidR="00330EAD" w:rsidRPr="00CA2E4C" w:rsidRDefault="00330EAD" w:rsidP="002C7BB3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>uvedení, zda je či není v objektu zachované odvětrání v podstřeší nebo v obvodovém plášti</w:t>
      </w:r>
      <w:r w:rsidR="00A72D90" w:rsidRPr="00CA2E4C">
        <w:t>,</w:t>
      </w:r>
    </w:p>
    <w:p w14:paraId="42A63AC8" w14:textId="77777777" w:rsidR="00FE2C90" w:rsidRPr="00CA2E4C" w:rsidRDefault="00FE2C90" w:rsidP="002C7BB3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 xml:space="preserve">uvedení, zda budou zachovány všechny prostupné ventilační otvory anebo provětrávací štěrbiny o průměru větším než 45 mm, resp. o rozměrech větších než 25*60 mm, a navazující dutiny za nimi pro případné hnízdění rorýse obecného či úkryty netopýrů. </w:t>
      </w:r>
      <w:r w:rsidR="008D4B42" w:rsidRPr="00CA2E4C">
        <w:t>Pokud prostupné ventilační otvory nebo provětrávací štěrbiny nezůstanou zachovány, je nutné uvést popis náhradních opatření</w:t>
      </w:r>
      <w:r w:rsidR="00A72D90" w:rsidRPr="00CA2E4C">
        <w:t>,</w:t>
      </w:r>
    </w:p>
    <w:p w14:paraId="7E29D7C1" w14:textId="77777777" w:rsidR="00A42688" w:rsidRPr="00CA2E4C" w:rsidRDefault="00A70F8D" w:rsidP="00487E9A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>informace je možné uvést v</w:t>
      </w:r>
      <w:r w:rsidR="00CB3EE2" w:rsidRPr="00CA2E4C">
        <w:t> projektové dokumentaci nebo v podkladech pro hodnocení. Vyjádření orgánu ochrany přírody není vyžadováno</w:t>
      </w:r>
      <w:r w:rsidR="00A72D90" w:rsidRPr="00CA2E4C">
        <w:t>. P</w:t>
      </w:r>
      <w:r w:rsidR="00CB3EE2" w:rsidRPr="00CA2E4C">
        <w:t>okud má žadatel toto vyjádření k dispozici, je možné ho přiložit k žádosti o podporu (kritérium pak bude považováno za splněné)</w:t>
      </w:r>
      <w:r w:rsidR="002308B1" w:rsidRPr="00CA2E4C">
        <w:t>.</w:t>
      </w:r>
    </w:p>
    <w:p w14:paraId="264703CC" w14:textId="77777777" w:rsidR="002E2C51" w:rsidRPr="001D21CF" w:rsidRDefault="002E2C51" w:rsidP="001D21CF">
      <w:pPr>
        <w:pStyle w:val="Nadpis1"/>
        <w:numPr>
          <w:ilvl w:val="0"/>
          <w:numId w:val="45"/>
        </w:numPr>
      </w:pPr>
      <w:r w:rsidRPr="001D21CF">
        <w:t xml:space="preserve"> </w:t>
      </w:r>
      <w:bookmarkStart w:id="22" w:name="_Toc503452536"/>
      <w:r w:rsidR="00887831" w:rsidRPr="005D6E26">
        <w:t>H</w:t>
      </w:r>
      <w:r w:rsidRPr="005D6E26">
        <w:t>armono</w:t>
      </w:r>
      <w:r w:rsidRPr="0091615C">
        <w:t>gram realizace projektu</w:t>
      </w:r>
      <w:bookmarkEnd w:id="22"/>
    </w:p>
    <w:p w14:paraId="0D69662E" w14:textId="409804F8" w:rsidR="00112399" w:rsidRDefault="00112399" w:rsidP="00AF7952">
      <w:pPr>
        <w:jc w:val="both"/>
      </w:pPr>
      <w:r>
        <w:t>Žadatel uvede p</w:t>
      </w:r>
      <w:r w:rsidR="00E93591">
        <w:t>ředpokládaný</w:t>
      </w:r>
      <w:r w:rsidR="00E847B0">
        <w:t xml:space="preserve"> </w:t>
      </w:r>
      <w:r>
        <w:t xml:space="preserve">harmonogram </w:t>
      </w:r>
      <w:r w:rsidR="00E93591">
        <w:t xml:space="preserve">realizační fáze </w:t>
      </w:r>
      <w:r>
        <w:t>projektu</w:t>
      </w:r>
      <w:r w:rsidR="00E823FC">
        <w:t xml:space="preserve"> ve vazbě na etapy uváděné v MS2014+. </w:t>
      </w:r>
      <w:r w:rsidR="00E93591">
        <w:t xml:space="preserve"> </w:t>
      </w:r>
    </w:p>
    <w:p w14:paraId="1F81A79D" w14:textId="77777777" w:rsidR="00E37F83" w:rsidRPr="0091615C" w:rsidRDefault="00887831" w:rsidP="001D21CF">
      <w:pPr>
        <w:pStyle w:val="Nadpis1"/>
        <w:numPr>
          <w:ilvl w:val="0"/>
          <w:numId w:val="45"/>
        </w:numPr>
      </w:pPr>
      <w:bookmarkStart w:id="23" w:name="_Toc477957351"/>
      <w:bookmarkStart w:id="24" w:name="_Toc477957352"/>
      <w:bookmarkStart w:id="25" w:name="_Toc477957353"/>
      <w:bookmarkStart w:id="26" w:name="_Toc477957354"/>
      <w:bookmarkStart w:id="27" w:name="_Toc477957355"/>
      <w:bookmarkStart w:id="28" w:name="_Toc477957356"/>
      <w:bookmarkStart w:id="29" w:name="_Toc436842188"/>
      <w:bookmarkStart w:id="30" w:name="_Toc503452537"/>
      <w:bookmarkEnd w:id="23"/>
      <w:bookmarkEnd w:id="24"/>
      <w:bookmarkEnd w:id="25"/>
      <w:bookmarkEnd w:id="26"/>
      <w:bookmarkEnd w:id="27"/>
      <w:bookmarkEnd w:id="28"/>
      <w:r>
        <w:t>Zajištění</w:t>
      </w:r>
      <w:r w:rsidR="00E37F83" w:rsidRPr="0091615C">
        <w:t xml:space="preserve"> udržitelnosti projektu</w:t>
      </w:r>
      <w:bookmarkEnd w:id="29"/>
      <w:bookmarkEnd w:id="30"/>
    </w:p>
    <w:p w14:paraId="675B547B" w14:textId="77777777" w:rsidR="00E37F83" w:rsidRDefault="00E37F83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31" w:name="_Toc503452538"/>
      <w:r w:rsidRPr="00E823FC">
        <w:rPr>
          <w:sz w:val="24"/>
        </w:rPr>
        <w:t>provozní,</w:t>
      </w:r>
      <w:bookmarkEnd w:id="31"/>
    </w:p>
    <w:p w14:paraId="61C728DE" w14:textId="42668FF3" w:rsidR="00E823FC" w:rsidRPr="00CA2E4C" w:rsidRDefault="00E823FC" w:rsidP="00E823FC">
      <w:pPr>
        <w:jc w:val="both"/>
        <w:rPr>
          <w:i/>
        </w:rPr>
      </w:pPr>
      <w:r w:rsidRPr="00CA2E4C">
        <w:rPr>
          <w:i/>
        </w:rPr>
        <w:t>Popis zajištění provozní udržitelnosti projektu.</w:t>
      </w:r>
    </w:p>
    <w:p w14:paraId="35C4EE64" w14:textId="77777777" w:rsidR="00E37F83" w:rsidRDefault="00E37F83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32" w:name="_Toc503452539"/>
      <w:r w:rsidRPr="00E823FC">
        <w:rPr>
          <w:sz w:val="24"/>
        </w:rPr>
        <w:t>finanční</w:t>
      </w:r>
      <w:r w:rsidR="00BA7DC9" w:rsidRPr="00E823FC">
        <w:rPr>
          <w:sz w:val="24"/>
        </w:rPr>
        <w:t>,</w:t>
      </w:r>
      <w:bookmarkEnd w:id="32"/>
    </w:p>
    <w:p w14:paraId="53E5CB12" w14:textId="6E3205E9" w:rsidR="00E823FC" w:rsidRPr="00CA2E4C" w:rsidRDefault="00E823FC" w:rsidP="00E823FC">
      <w:pPr>
        <w:jc w:val="both"/>
        <w:rPr>
          <w:i/>
        </w:rPr>
      </w:pPr>
      <w:r w:rsidRPr="00CA2E4C">
        <w:rPr>
          <w:i/>
        </w:rPr>
        <w:t>Popis zajištění finanční udržitelnosti projektu.</w:t>
      </w:r>
    </w:p>
    <w:p w14:paraId="5EFA47E5" w14:textId="50CC129C" w:rsidR="00E37F83" w:rsidRDefault="00E37F83" w:rsidP="00725536">
      <w:pPr>
        <w:pStyle w:val="Nadpis1"/>
        <w:numPr>
          <w:ilvl w:val="2"/>
          <w:numId w:val="45"/>
        </w:numPr>
        <w:ind w:left="851" w:hanging="851"/>
        <w:jc w:val="both"/>
        <w:rPr>
          <w:sz w:val="24"/>
        </w:rPr>
      </w:pPr>
      <w:bookmarkStart w:id="33" w:name="_Toc503452540"/>
      <w:r w:rsidRPr="00E823FC">
        <w:rPr>
          <w:sz w:val="24"/>
        </w:rPr>
        <w:t>administrativní</w:t>
      </w:r>
      <w:r w:rsidR="006E6461" w:rsidRPr="00E823FC">
        <w:rPr>
          <w:sz w:val="24"/>
        </w:rPr>
        <w:t xml:space="preserve"> </w:t>
      </w:r>
      <w:r w:rsidR="002F5E8B" w:rsidRPr="00E823FC">
        <w:rPr>
          <w:sz w:val="24"/>
        </w:rPr>
        <w:t>(zajištění administrace související s žádostí o změnu, zpráv o udržitelnosti, apod.)</w:t>
      </w:r>
      <w:bookmarkEnd w:id="33"/>
    </w:p>
    <w:p w14:paraId="59F04ADD" w14:textId="01171D2A" w:rsidR="00E823FC" w:rsidRPr="00CA2E4C" w:rsidRDefault="00E823FC" w:rsidP="009F3D25">
      <w:pPr>
        <w:jc w:val="both"/>
        <w:rPr>
          <w:i/>
        </w:rPr>
      </w:pPr>
      <w:r w:rsidRPr="00CA2E4C">
        <w:rPr>
          <w:i/>
        </w:rPr>
        <w:t xml:space="preserve">Popis zajištění </w:t>
      </w:r>
      <w:r w:rsidR="00CA2E4C" w:rsidRPr="00CA2E4C">
        <w:rPr>
          <w:i/>
        </w:rPr>
        <w:t>administrativní udržitelnosti</w:t>
      </w:r>
      <w:r w:rsidRPr="00CA2E4C">
        <w:rPr>
          <w:i/>
        </w:rPr>
        <w:t xml:space="preserve"> projektu.</w:t>
      </w:r>
    </w:p>
    <w:p w14:paraId="58D40C7F" w14:textId="77777777" w:rsidR="00E823FC" w:rsidRPr="00E823FC" w:rsidRDefault="00E823FC" w:rsidP="00E823FC"/>
    <w:p w14:paraId="131CFB7C" w14:textId="77777777" w:rsidR="00B80152" w:rsidRPr="000A4FB4" w:rsidRDefault="00B80152" w:rsidP="001D21CF">
      <w:pPr>
        <w:pStyle w:val="Nadpis1"/>
        <w:numPr>
          <w:ilvl w:val="0"/>
          <w:numId w:val="45"/>
        </w:numPr>
      </w:pPr>
      <w:bookmarkStart w:id="34" w:name="_Toc503452541"/>
      <w:r w:rsidRPr="000A4FB4">
        <w:lastRenderedPageBreak/>
        <w:t>Způsob stanovení cen do rozpočtu projektu</w:t>
      </w:r>
      <w:bookmarkEnd w:id="34"/>
    </w:p>
    <w:p w14:paraId="22D21B4B" w14:textId="77777777" w:rsidR="00E823FC" w:rsidRDefault="00E823FC" w:rsidP="00826F3F">
      <w:pPr>
        <w:jc w:val="both"/>
        <w:rPr>
          <w:rFonts w:asciiTheme="majorHAnsi" w:hAnsiTheme="majorHAnsi"/>
        </w:rPr>
      </w:pPr>
    </w:p>
    <w:p w14:paraId="59E87EF0" w14:textId="77777777" w:rsidR="00B80152" w:rsidRPr="00CA2E4C" w:rsidRDefault="00B80152" w:rsidP="00826F3F">
      <w:pPr>
        <w:jc w:val="both"/>
        <w:rPr>
          <w:rFonts w:asciiTheme="majorHAnsi" w:hAnsiTheme="majorHAnsi"/>
        </w:rPr>
      </w:pPr>
      <w:r w:rsidRPr="00CA2E4C">
        <w:rPr>
          <w:rFonts w:asciiTheme="majorHAnsi" w:hAnsiTheme="majorHAnsi"/>
        </w:rPr>
        <w:t>Stanovení ceny přímých nákupů do 100 000 Kč bez DPH žadatel nepředkládá.</w:t>
      </w:r>
    </w:p>
    <w:p w14:paraId="475AB48C" w14:textId="77777777" w:rsidR="00B80152" w:rsidRDefault="00B80152" w:rsidP="00B80152">
      <w:pPr>
        <w:jc w:val="both"/>
        <w:rPr>
          <w:rFonts w:asciiTheme="majorHAnsi" w:hAnsiTheme="majorHAnsi"/>
        </w:rPr>
      </w:pPr>
      <w:r w:rsidRPr="00CA2E4C">
        <w:rPr>
          <w:rFonts w:asciiTheme="majorHAnsi" w:hAnsiTheme="majorHAnsi"/>
        </w:rPr>
        <w:t xml:space="preserve">Stanovení cen se </w:t>
      </w:r>
      <w:r w:rsidRPr="00CA2E4C">
        <w:rPr>
          <w:rFonts w:asciiTheme="majorHAnsi" w:hAnsiTheme="majorHAnsi"/>
          <w:b/>
        </w:rPr>
        <w:t>netýká stavebních prací</w:t>
      </w:r>
      <w:r w:rsidRPr="00CA2E4C">
        <w:rPr>
          <w:rFonts w:asciiTheme="majorHAnsi" w:hAnsiTheme="majorHAnsi"/>
        </w:rPr>
        <w:t xml:space="preserve">. Ocenění stavebních prací žadatel dokládá přílohou č. </w:t>
      </w:r>
      <w:r w:rsidR="000A4FB4" w:rsidRPr="00CA2E4C">
        <w:rPr>
          <w:rFonts w:asciiTheme="majorHAnsi" w:hAnsiTheme="majorHAnsi"/>
        </w:rPr>
        <w:t xml:space="preserve">8 </w:t>
      </w:r>
      <w:r w:rsidRPr="00CA2E4C">
        <w:rPr>
          <w:rFonts w:asciiTheme="majorHAnsi" w:hAnsiTheme="majorHAnsi"/>
        </w:rPr>
        <w:t>– Položkový rozpočet stavby podle jednotného ceníku stavebních prací (viz Specifická pravidla pro žadatele a příjemce, kap. 2.</w:t>
      </w:r>
      <w:r w:rsidR="000A4FB4" w:rsidRPr="00CA2E4C">
        <w:rPr>
          <w:rFonts w:asciiTheme="majorHAnsi" w:hAnsiTheme="majorHAnsi"/>
        </w:rPr>
        <w:t xml:space="preserve">3 </w:t>
      </w:r>
      <w:r w:rsidRPr="00CA2E4C">
        <w:rPr>
          <w:rFonts w:asciiTheme="majorHAnsi" w:hAnsiTheme="majorHAnsi"/>
        </w:rPr>
        <w:t>Povinné přílohy k žádosti o podporu)</w:t>
      </w:r>
      <w:r w:rsidR="000A4FB4" w:rsidRPr="00CA2E4C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</w:t>
      </w:r>
    </w:p>
    <w:p w14:paraId="470D454B" w14:textId="60F6F62A" w:rsidR="00B80152" w:rsidRPr="003F5C78" w:rsidRDefault="00B80152" w:rsidP="00BA4EB2">
      <w:pPr>
        <w:rPr>
          <w:rFonts w:asciiTheme="majorHAnsi" w:hAnsiTheme="majorHAnsi"/>
          <w:b/>
        </w:rPr>
      </w:pPr>
      <w:r w:rsidRPr="003F5C78">
        <w:rPr>
          <w:rFonts w:asciiTheme="majorHAnsi" w:hAnsiTheme="majorHAnsi"/>
          <w:b/>
        </w:rPr>
        <w:t>Stanovení cen do rozpočtu projektu</w:t>
      </w:r>
    </w:p>
    <w:p w14:paraId="632816B3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Žadatel stanoví ceny za účelem zjištění předpokládané ceny způsobilých výdajů </w:t>
      </w:r>
      <w:r w:rsidRPr="00486453">
        <w:rPr>
          <w:rFonts w:asciiTheme="majorHAnsi" w:hAnsiTheme="majorHAnsi"/>
          <w:b/>
        </w:rPr>
        <w:t xml:space="preserve">na hlavní aktivity projektu </w:t>
      </w:r>
      <w:r w:rsidRPr="003E6219">
        <w:rPr>
          <w:rFonts w:asciiTheme="majorHAnsi" w:hAnsiTheme="majorHAnsi"/>
        </w:rPr>
        <w:t>a</w:t>
      </w:r>
      <w:r>
        <w:rPr>
          <w:rFonts w:asciiTheme="majorHAnsi" w:hAnsiTheme="majorHAnsi"/>
        </w:rPr>
        <w:t> </w:t>
      </w:r>
      <w:r w:rsidRPr="003E6219">
        <w:rPr>
          <w:rFonts w:asciiTheme="majorHAnsi" w:hAnsiTheme="majorHAnsi"/>
        </w:rPr>
        <w:t xml:space="preserve">souhrnně jej popíše v této části </w:t>
      </w:r>
      <w:r w:rsidR="00224BEA">
        <w:rPr>
          <w:rFonts w:asciiTheme="majorHAnsi" w:hAnsiTheme="majorHAnsi"/>
        </w:rPr>
        <w:t>podkladů pro hodnocení</w:t>
      </w:r>
      <w:r w:rsidRPr="003E6219">
        <w:rPr>
          <w:rFonts w:asciiTheme="majorHAnsi" w:hAnsiTheme="majorHAnsi"/>
        </w:rPr>
        <w:t>.</w:t>
      </w:r>
    </w:p>
    <w:p w14:paraId="13FBC3AC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Stanovení cen plánovaný</w:t>
      </w:r>
      <w:r>
        <w:rPr>
          <w:rFonts w:asciiTheme="majorHAnsi" w:hAnsiTheme="majorHAnsi"/>
        </w:rPr>
        <w:t>ch</w:t>
      </w:r>
      <w:r w:rsidRPr="003E6219">
        <w:rPr>
          <w:rFonts w:asciiTheme="majorHAnsi" w:hAnsiTheme="majorHAnsi"/>
        </w:rPr>
        <w:t xml:space="preserve"> hlavní</w:t>
      </w:r>
      <w:r>
        <w:rPr>
          <w:rFonts w:asciiTheme="majorHAnsi" w:hAnsiTheme="majorHAnsi"/>
        </w:rPr>
        <w:t>ch</w:t>
      </w:r>
      <w:r w:rsidRPr="003E6219">
        <w:rPr>
          <w:rFonts w:asciiTheme="majorHAnsi" w:hAnsiTheme="majorHAnsi"/>
        </w:rPr>
        <w:t xml:space="preserve"> aktivit projektu musí být rozděleno do samostatných celků, </w:t>
      </w:r>
      <w:r>
        <w:rPr>
          <w:rFonts w:asciiTheme="majorHAnsi" w:hAnsiTheme="majorHAnsi"/>
        </w:rPr>
        <w:t>které</w:t>
      </w:r>
      <w:r w:rsidRPr="003E6219">
        <w:rPr>
          <w:rFonts w:asciiTheme="majorHAnsi" w:hAnsiTheme="majorHAnsi"/>
        </w:rPr>
        <w:t xml:space="preserve"> odpovída</w:t>
      </w:r>
      <w:r>
        <w:rPr>
          <w:rFonts w:asciiTheme="majorHAnsi" w:hAnsiTheme="majorHAnsi"/>
        </w:rPr>
        <w:t>jí</w:t>
      </w:r>
      <w:r w:rsidRPr="003E6219">
        <w:rPr>
          <w:rFonts w:asciiTheme="majorHAnsi" w:hAnsiTheme="majorHAnsi"/>
        </w:rPr>
        <w:t xml:space="preserve"> předmětům plnění všech zakázek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resp. jejich částí, pokud příjemce plánuje zakázku rozdělit na části. </w:t>
      </w:r>
    </w:p>
    <w:p w14:paraId="3C8E4D84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Stáří zdrojových dat pro doložení ceny je stanoveno na 6 měsíců před datem podání žádosti o podporu. U ceníků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dostupných na internetu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se má za to, že jde o podklady aktuální</w:t>
      </w:r>
      <w:r>
        <w:rPr>
          <w:rFonts w:asciiTheme="majorHAnsi" w:hAnsiTheme="majorHAnsi"/>
        </w:rPr>
        <w:t>, tj. splňují podmínku 6 měsíců platnosti</w:t>
      </w:r>
      <w:r w:rsidRPr="003E6219">
        <w:rPr>
          <w:rFonts w:asciiTheme="majorHAnsi" w:hAnsiTheme="majorHAnsi"/>
        </w:rPr>
        <w:t>. V případě využití dat starších 6 měsíců je žadatel povinen zdůvodn</w:t>
      </w:r>
      <w:r>
        <w:rPr>
          <w:rFonts w:asciiTheme="majorHAnsi" w:hAnsiTheme="majorHAnsi"/>
        </w:rPr>
        <w:t>it</w:t>
      </w:r>
      <w:r w:rsidRPr="003E6219">
        <w:rPr>
          <w:rFonts w:asciiTheme="majorHAnsi" w:hAnsiTheme="majorHAnsi"/>
        </w:rPr>
        <w:t>, že:</w:t>
      </w:r>
    </w:p>
    <w:p w14:paraId="3A4084FD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uváděná cenová úroveň je stále aktuální,</w:t>
      </w:r>
    </w:p>
    <w:p w14:paraId="583AB50D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nebo uvede mechanismus, jakým byla ze starších dat dovozena cen</w:t>
      </w:r>
      <w:r>
        <w:rPr>
          <w:rFonts w:asciiTheme="majorHAnsi" w:hAnsiTheme="majorHAnsi"/>
        </w:rPr>
        <w:t>a</w:t>
      </w:r>
      <w:r w:rsidRPr="003E6219">
        <w:rPr>
          <w:rFonts w:asciiTheme="majorHAnsi" w:hAnsiTheme="majorHAnsi"/>
        </w:rPr>
        <w:t xml:space="preserve"> - je vhodné odvodit cenu od situace na trhu a rozložení hodnot získaných nabídek, musí být zajištěno dodržení podmínek 3E, pokud žadatel nezvolí nejnižší nabídkovou cenu, </w:t>
      </w:r>
      <w:r>
        <w:rPr>
          <w:rFonts w:asciiTheme="majorHAnsi" w:hAnsiTheme="majorHAnsi"/>
        </w:rPr>
        <w:t>odůvodní, proč se tak rozhodl (vyšší kvalita, delší záruční doba apod.)</w:t>
      </w:r>
      <w:r w:rsidRPr="003E6219">
        <w:rPr>
          <w:rFonts w:asciiTheme="majorHAnsi" w:hAnsiTheme="majorHAnsi"/>
        </w:rPr>
        <w:t xml:space="preserve">. Žadatel může </w:t>
      </w:r>
      <w:r>
        <w:rPr>
          <w:rFonts w:asciiTheme="majorHAnsi" w:hAnsiTheme="majorHAnsi"/>
        </w:rPr>
        <w:t>při</w:t>
      </w:r>
      <w:r w:rsidRPr="003E6219">
        <w:rPr>
          <w:rFonts w:asciiTheme="majorHAnsi" w:hAnsiTheme="majorHAnsi"/>
        </w:rPr>
        <w:t xml:space="preserve"> stanovení ceny zohlednit vývoj cenové hladiny daného předmětu plnění, např. změny směnného kurzu cizích měn, inflace.</w:t>
      </w:r>
    </w:p>
    <w:p w14:paraId="5F409713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Předpokládané ceny </w:t>
      </w:r>
      <w:r w:rsidRPr="00EC2F2A">
        <w:rPr>
          <w:rFonts w:asciiTheme="majorHAnsi" w:hAnsiTheme="majorHAnsi"/>
          <w:b/>
        </w:rPr>
        <w:t>hlavní</w:t>
      </w:r>
      <w:r>
        <w:rPr>
          <w:rFonts w:asciiTheme="majorHAnsi" w:hAnsiTheme="majorHAnsi"/>
          <w:b/>
        </w:rPr>
        <w:t>ch</w:t>
      </w:r>
      <w:r w:rsidRPr="00EC2F2A">
        <w:rPr>
          <w:rFonts w:asciiTheme="majorHAnsi" w:hAnsiTheme="majorHAnsi"/>
          <w:b/>
        </w:rPr>
        <w:t xml:space="preserve"> aktivit projektu</w:t>
      </w:r>
      <w:r w:rsidRPr="003E6219">
        <w:rPr>
          <w:rFonts w:asciiTheme="majorHAnsi" w:hAnsiTheme="majorHAnsi"/>
        </w:rPr>
        <w:t xml:space="preserve"> (mimo stavební práce) může žadatel stanovit:</w:t>
      </w:r>
    </w:p>
    <w:p w14:paraId="4BF0AE8F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na základě údajů a informací získaných průzkumem trhu s požadovaným plněním,</w:t>
      </w:r>
      <w:r>
        <w:rPr>
          <w:rFonts w:asciiTheme="majorHAnsi" w:hAnsiTheme="majorHAnsi"/>
        </w:rPr>
        <w:t xml:space="preserve"> při </w:t>
      </w:r>
      <w:r w:rsidRPr="003E6219">
        <w:rPr>
          <w:rFonts w:asciiTheme="majorHAnsi" w:hAnsiTheme="majorHAnsi"/>
        </w:rPr>
        <w:t>průzkum</w:t>
      </w:r>
      <w:r>
        <w:rPr>
          <w:rFonts w:asciiTheme="majorHAnsi" w:hAnsiTheme="majorHAnsi"/>
        </w:rPr>
        <w:t>u</w:t>
      </w:r>
      <w:r w:rsidRPr="003E6219">
        <w:rPr>
          <w:rFonts w:asciiTheme="majorHAnsi" w:hAnsiTheme="majorHAnsi"/>
        </w:rPr>
        <w:t xml:space="preserve"> trhu musí být osloven</w:t>
      </w:r>
      <w:r>
        <w:rPr>
          <w:rFonts w:asciiTheme="majorHAnsi" w:hAnsiTheme="majorHAnsi"/>
        </w:rPr>
        <w:t>i</w:t>
      </w:r>
      <w:r w:rsidRPr="003E6219">
        <w:rPr>
          <w:rFonts w:asciiTheme="majorHAnsi" w:hAnsiTheme="majorHAnsi"/>
        </w:rPr>
        <w:t xml:space="preserve"> minimálně 3 dodavatel</w:t>
      </w:r>
      <w:r>
        <w:rPr>
          <w:rFonts w:asciiTheme="majorHAnsi" w:hAnsiTheme="majorHAnsi"/>
        </w:rPr>
        <w:t>é</w:t>
      </w:r>
      <w:r w:rsidRPr="003E6219">
        <w:rPr>
          <w:rFonts w:asciiTheme="majorHAnsi" w:hAnsiTheme="majorHAnsi"/>
        </w:rPr>
        <w:t xml:space="preserve"> nebo výrobc</w:t>
      </w:r>
      <w:r>
        <w:rPr>
          <w:rFonts w:asciiTheme="majorHAnsi" w:hAnsiTheme="majorHAnsi"/>
        </w:rPr>
        <w:t>i</w:t>
      </w:r>
      <w:r w:rsidRPr="003E6219">
        <w:rPr>
          <w:rFonts w:asciiTheme="majorHAnsi" w:hAnsiTheme="majorHAnsi"/>
        </w:rPr>
        <w:t>, kteří se poptávaným plněním zabývají či ho nabízí</w:t>
      </w:r>
      <w:r>
        <w:rPr>
          <w:rFonts w:asciiTheme="majorHAnsi" w:hAnsiTheme="majorHAnsi"/>
        </w:rPr>
        <w:t>, pokud je</w:t>
      </w:r>
      <w:r w:rsidRPr="00E65CAE">
        <w:rPr>
          <w:rFonts w:asciiTheme="majorHAnsi" w:hAnsiTheme="majorHAnsi"/>
        </w:rPr>
        <w:t xml:space="preserve"> počet dodavatelů na trhu </w:t>
      </w:r>
      <w:r>
        <w:rPr>
          <w:rFonts w:asciiTheme="majorHAnsi" w:hAnsiTheme="majorHAnsi"/>
        </w:rPr>
        <w:t>menší než 3, stačí oslovit</w:t>
      </w:r>
      <w:r w:rsidRPr="00E65CA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menší počet dodavatelů;</w:t>
      </w:r>
    </w:p>
    <w:p w14:paraId="6B658B0C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na základě údajů a informací získaných </w:t>
      </w:r>
      <w:r>
        <w:rPr>
          <w:rFonts w:asciiTheme="majorHAnsi" w:hAnsiTheme="majorHAnsi"/>
        </w:rPr>
        <w:t xml:space="preserve">z </w:t>
      </w:r>
      <w:r w:rsidRPr="003E6219">
        <w:rPr>
          <w:rFonts w:asciiTheme="majorHAnsi" w:hAnsiTheme="majorHAnsi"/>
        </w:rPr>
        <w:t xml:space="preserve">ceníků </w:t>
      </w:r>
      <w:r>
        <w:rPr>
          <w:rFonts w:asciiTheme="majorHAnsi" w:hAnsiTheme="majorHAnsi"/>
        </w:rPr>
        <w:t xml:space="preserve">stejného či obdobného plnění, </w:t>
      </w:r>
      <w:r w:rsidRPr="003E6219">
        <w:rPr>
          <w:rFonts w:asciiTheme="majorHAnsi" w:hAnsiTheme="majorHAnsi"/>
        </w:rPr>
        <w:t>volně dostupných na internetu</w:t>
      </w:r>
      <w:r>
        <w:rPr>
          <w:rFonts w:asciiTheme="majorHAnsi" w:hAnsiTheme="majorHAnsi"/>
        </w:rPr>
        <w:t>, jako zdroj postačí jeden ceník, pokud je to možné, je vhodné vycházet z několika ceníků;</w:t>
      </w:r>
      <w:r w:rsidRPr="003E6219">
        <w:rPr>
          <w:rFonts w:asciiTheme="majorHAnsi" w:hAnsiTheme="majorHAnsi"/>
        </w:rPr>
        <w:t xml:space="preserve"> </w:t>
      </w:r>
    </w:p>
    <w:p w14:paraId="3194492A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na základě údajů a informací o </w:t>
      </w:r>
      <w:r>
        <w:rPr>
          <w:rFonts w:asciiTheme="majorHAnsi" w:hAnsiTheme="majorHAnsi"/>
        </w:rPr>
        <w:t xml:space="preserve">realizovaných </w:t>
      </w:r>
      <w:r w:rsidRPr="003E6219">
        <w:rPr>
          <w:rFonts w:asciiTheme="majorHAnsi" w:hAnsiTheme="majorHAnsi"/>
        </w:rPr>
        <w:t>zakázkách se stejným či obdobným předmětem plnění – může se jednat o zakázky žadatele, popř. jiné osoby,</w:t>
      </w:r>
      <w:r>
        <w:rPr>
          <w:rFonts w:asciiTheme="majorHAnsi" w:hAnsiTheme="majorHAnsi"/>
        </w:rPr>
        <w:t xml:space="preserve"> za předpokladu, že </w:t>
      </w:r>
    </w:p>
    <w:p w14:paraId="20C7A933" w14:textId="77777777" w:rsidR="00B80152" w:rsidRPr="003E6219" w:rsidRDefault="00B80152" w:rsidP="00B80152">
      <w:pPr>
        <w:pStyle w:val="Odstavecseseznamem"/>
        <w:numPr>
          <w:ilvl w:val="2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žadatel uvede identifikaci zakázky, dat</w:t>
      </w:r>
      <w:r>
        <w:rPr>
          <w:rFonts w:asciiTheme="majorHAnsi" w:hAnsiTheme="majorHAnsi"/>
        </w:rPr>
        <w:t>a</w:t>
      </w:r>
      <w:r w:rsidRPr="003E6219">
        <w:rPr>
          <w:rFonts w:asciiTheme="majorHAnsi" w:hAnsiTheme="majorHAnsi"/>
        </w:rPr>
        <w:t xml:space="preserve"> uzavření smlouvy, předmětu plnění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smluvní cen</w:t>
      </w:r>
      <w:r>
        <w:rPr>
          <w:rFonts w:asciiTheme="majorHAnsi" w:hAnsiTheme="majorHAnsi"/>
        </w:rPr>
        <w:t>u a</w:t>
      </w:r>
      <w:r w:rsidRPr="003E6219">
        <w:rPr>
          <w:rFonts w:asciiTheme="majorHAnsi" w:hAnsiTheme="majorHAnsi"/>
        </w:rPr>
        <w:t xml:space="preserve"> identifikaci dodavatele,</w:t>
      </w:r>
    </w:p>
    <w:p w14:paraId="26B2D44F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na základě údajů a informací získaných jiným vhodným způsobem,</w:t>
      </w:r>
    </w:p>
    <w:p w14:paraId="358798D1" w14:textId="77777777" w:rsidR="00B80152" w:rsidRDefault="00B80152" w:rsidP="00B80152">
      <w:pPr>
        <w:pStyle w:val="Odstavecseseznamem"/>
        <w:numPr>
          <w:ilvl w:val="2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žadatel popíše mechanismus stanovení ceny</w:t>
      </w:r>
      <w:r>
        <w:rPr>
          <w:rFonts w:asciiTheme="majorHAnsi" w:hAnsiTheme="majorHAnsi"/>
        </w:rPr>
        <w:t xml:space="preserve">, </w:t>
      </w:r>
      <w:r w:rsidRPr="003E6219">
        <w:rPr>
          <w:rFonts w:asciiTheme="majorHAnsi" w:hAnsiTheme="majorHAnsi"/>
        </w:rPr>
        <w:t>je vhodné odvodit cenu od situace na trhu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musí být zajištěno dodržení podmínek 3E, pokud žadatel </w:t>
      </w:r>
      <w:r w:rsidRPr="003E6219">
        <w:rPr>
          <w:rFonts w:asciiTheme="majorHAnsi" w:hAnsiTheme="majorHAnsi"/>
        </w:rPr>
        <w:lastRenderedPageBreak/>
        <w:t xml:space="preserve">nezvolí nejnižší nabídkovou cenu, </w:t>
      </w:r>
      <w:r>
        <w:rPr>
          <w:rFonts w:asciiTheme="majorHAnsi" w:hAnsiTheme="majorHAnsi"/>
        </w:rPr>
        <w:t>odůvodní, proč se tak rozhodl (vyšší kvalita, delší záruční doba apod.),</w:t>
      </w:r>
      <w:r w:rsidRPr="00124A2D">
        <w:rPr>
          <w:rFonts w:asciiTheme="majorHAnsi" w:hAnsiTheme="majorHAnsi"/>
        </w:rPr>
        <w:t xml:space="preserve"> </w:t>
      </w:r>
    </w:p>
    <w:p w14:paraId="2DFE53A8" w14:textId="77777777" w:rsidR="00B80152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doložením expertního posudku</w:t>
      </w:r>
      <w:r>
        <w:rPr>
          <w:rFonts w:asciiTheme="majorHAnsi" w:hAnsiTheme="majorHAnsi"/>
        </w:rPr>
        <w:t>.</w:t>
      </w:r>
    </w:p>
    <w:p w14:paraId="10DC23AF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Žadatel nedokládá podklady, ze kterých vycházel při stanovení cen do rozpočtu projektu (např. písemná či elektronická komunikace s oslovenými dodavateli, ceníky dodavatelů, výtisk internetových stránek dodavatelů nebo srovnávače cen, smlouvy na obdobné zakázky). Musí je mít k dispozici a na výzvu je doložit. </w:t>
      </w:r>
    </w:p>
    <w:p w14:paraId="6851A745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V případě, že žadatel do rozpočtu projektu zahrne jinou částku, než která vyplynula z jednoho z uvedených postupů (např. započtení inflace/vývoje trhu/</w:t>
      </w:r>
      <w:r w:rsidRPr="00DB443F">
        <w:rPr>
          <w:rFonts w:asciiTheme="majorHAnsi" w:hAnsiTheme="majorHAnsi"/>
        </w:rPr>
        <w:t xml:space="preserve"> </w:t>
      </w:r>
      <w:r w:rsidRPr="003E6219">
        <w:rPr>
          <w:rFonts w:asciiTheme="majorHAnsi" w:hAnsiTheme="majorHAnsi"/>
        </w:rPr>
        <w:t xml:space="preserve">změny směnného kurzu cizích měn pro zakázky realizované za několik let nad cenu zjištěnou z aktuálního ceníku), postup úpravy ceny zdůvodní v </w:t>
      </w:r>
      <w:r>
        <w:rPr>
          <w:rFonts w:asciiTheme="majorHAnsi" w:hAnsiTheme="majorHAnsi"/>
        </w:rPr>
        <w:t>popisu stanovení ceny</w:t>
      </w:r>
      <w:r w:rsidRPr="003E6219">
        <w:rPr>
          <w:rFonts w:asciiTheme="majorHAnsi" w:hAnsiTheme="majorHAnsi"/>
        </w:rPr>
        <w:t>.</w:t>
      </w:r>
    </w:p>
    <w:p w14:paraId="1F8AF2D6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Stanovení ceny pro každý výdaj nad 100 000 Kč bez DPH uvede žadatel tabulce. Tabulku zpracovává pro každý výdaj položkového rozpočtu zvlášť. </w:t>
      </w:r>
    </w:p>
    <w:p w14:paraId="3092BD61" w14:textId="77777777" w:rsidR="00B80152" w:rsidRPr="003E6219" w:rsidRDefault="00B80152" w:rsidP="00B80152">
      <w:pPr>
        <w:pStyle w:val="Odstavecseseznamem"/>
        <w:jc w:val="both"/>
        <w:rPr>
          <w:rFonts w:asciiTheme="majorHAnsi" w:hAnsiTheme="majorHAnsi"/>
        </w:rPr>
      </w:pPr>
    </w:p>
    <w:p w14:paraId="08781094" w14:textId="77777777" w:rsidR="00B80152" w:rsidRPr="00B76051" w:rsidRDefault="00B80152" w:rsidP="00B80152">
      <w:pPr>
        <w:pStyle w:val="Odstavecseseznamem"/>
        <w:ind w:left="0"/>
        <w:jc w:val="both"/>
      </w:pPr>
      <w:r>
        <w:rPr>
          <w:rFonts w:asciiTheme="majorHAnsi" w:hAnsiTheme="majorHAnsi"/>
        </w:rPr>
        <w:t>S</w:t>
      </w:r>
      <w:r w:rsidRPr="00B76051">
        <w:rPr>
          <w:rFonts w:asciiTheme="majorHAnsi" w:hAnsiTheme="majorHAnsi"/>
        </w:rPr>
        <w:t>tanovení cen do rozpočtu projektu</w:t>
      </w:r>
      <w:r>
        <w:rPr>
          <w:rFonts w:asciiTheme="majorHAnsi" w:hAnsiTheme="majorHAnsi"/>
        </w:rPr>
        <w:t>:</w:t>
      </w:r>
    </w:p>
    <w:p w14:paraId="0120A52F" w14:textId="77777777" w:rsidR="00B80152" w:rsidRDefault="00B80152" w:rsidP="00B80152">
      <w:pPr>
        <w:pStyle w:val="Odstavecseseznamem"/>
        <w:ind w:left="-11"/>
        <w:jc w:val="both"/>
      </w:pPr>
      <w:r>
        <w:object w:dxaOrig="15384" w:dyaOrig="1647" w14:anchorId="78450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95pt;height:49.8pt" o:ole="">
            <v:imagedata r:id="rId8" o:title=""/>
          </v:shape>
          <o:OLEObject Type="Embed" ProgID="Excel.Sheet.12" ShapeID="_x0000_i1025" DrawAspect="Content" ObjectID="_1620802716" r:id="rId9"/>
        </w:object>
      </w:r>
      <w:r w:rsidRPr="00B76051">
        <w:rPr>
          <w:rFonts w:ascii="Arial" w:hAnsi="Arial"/>
        </w:rPr>
        <w:fldChar w:fldCharType="begin"/>
      </w:r>
      <w:r>
        <w:instrText xml:space="preserve"> LINK Excel.Sheet.12 F:\\CRR\\vzorove-tabulky-ceny.xlsx "vzor - ceny!R4C1:R10C9" \a \f 4 \h  \* MERGEFORMAT </w:instrText>
      </w:r>
      <w:r w:rsidRPr="00B76051">
        <w:rPr>
          <w:rFonts w:ascii="Arial" w:hAnsi="Arial"/>
        </w:rPr>
        <w:fldChar w:fldCharType="separate"/>
      </w:r>
    </w:p>
    <w:p w14:paraId="5C6D9E04" w14:textId="77777777" w:rsidR="00B80152" w:rsidRPr="00B363A8" w:rsidRDefault="00B80152" w:rsidP="00B80152">
      <w:pPr>
        <w:pStyle w:val="Odstavecseseznamem"/>
        <w:ind w:left="-11"/>
        <w:jc w:val="both"/>
        <w:rPr>
          <w:sz w:val="16"/>
          <w:szCs w:val="16"/>
        </w:rPr>
      </w:pPr>
      <w:r w:rsidRPr="00B363A8">
        <w:rPr>
          <w:sz w:val="16"/>
          <w:szCs w:val="16"/>
          <w:vertAlign w:val="superscript"/>
        </w:rPr>
        <w:t xml:space="preserve">1) </w:t>
      </w:r>
      <w:r w:rsidRPr="00B363A8">
        <w:rPr>
          <w:sz w:val="16"/>
          <w:szCs w:val="16"/>
        </w:rPr>
        <w:t>název dodavatele, adresa ceníku, jméno experta, …</w:t>
      </w:r>
    </w:p>
    <w:p w14:paraId="7453E428" w14:textId="77777777" w:rsidR="00B80152" w:rsidRDefault="00B80152" w:rsidP="00B80152">
      <w:pPr>
        <w:pStyle w:val="Odstavecseseznamem"/>
        <w:ind w:left="-11"/>
        <w:jc w:val="both"/>
        <w:rPr>
          <w:sz w:val="16"/>
          <w:szCs w:val="16"/>
        </w:rPr>
      </w:pPr>
      <w:r w:rsidRPr="00B363A8">
        <w:rPr>
          <w:sz w:val="16"/>
          <w:szCs w:val="16"/>
          <w:vertAlign w:val="superscript"/>
        </w:rPr>
        <w:t>2)</w:t>
      </w:r>
      <w:r w:rsidRPr="00B363A8">
        <w:rPr>
          <w:sz w:val="16"/>
          <w:szCs w:val="16"/>
        </w:rPr>
        <w:t xml:space="preserve"> průzkum trhu, zakázky se stejným či obdobným plněním, jiný způsob</w:t>
      </w:r>
    </w:p>
    <w:p w14:paraId="5164BCA1" w14:textId="77777777" w:rsidR="00B80152" w:rsidRDefault="00B80152" w:rsidP="00B80152">
      <w:pPr>
        <w:jc w:val="both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3) </w:t>
      </w:r>
      <w:r>
        <w:rPr>
          <w:sz w:val="16"/>
          <w:szCs w:val="16"/>
        </w:rPr>
        <w:t>pokud je relevantní</w:t>
      </w:r>
    </w:p>
    <w:p w14:paraId="20A54E1F" w14:textId="77777777" w:rsidR="00B80152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  <w:r w:rsidRPr="00691D7A">
        <w:rPr>
          <w:rFonts w:asciiTheme="majorHAnsi" w:hAnsiTheme="majorHAnsi"/>
        </w:rPr>
        <w:t>Komentá</w:t>
      </w:r>
      <w:r>
        <w:rPr>
          <w:rFonts w:asciiTheme="majorHAnsi" w:hAnsiTheme="majorHAnsi"/>
        </w:rPr>
        <w:t>ř ke stanovení ceny do rozpočtu projektu (pokud je relevantní).</w:t>
      </w:r>
      <w:r w:rsidRPr="00691D7A">
        <w:rPr>
          <w:rFonts w:asciiTheme="majorHAnsi" w:hAnsiTheme="majorHAnsi"/>
        </w:rPr>
        <w:t xml:space="preserve"> </w:t>
      </w:r>
    </w:p>
    <w:p w14:paraId="00B2C8BE" w14:textId="77777777" w:rsidR="00B80152" w:rsidRPr="00691D7A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</w:p>
    <w:p w14:paraId="65CBCD74" w14:textId="77777777" w:rsidR="00B80152" w:rsidRDefault="00B80152" w:rsidP="00B80152">
      <w:pPr>
        <w:pStyle w:val="Odstavecseseznamem"/>
        <w:ind w:left="709"/>
        <w:jc w:val="both"/>
        <w:rPr>
          <w:rFonts w:asciiTheme="majorHAnsi" w:hAnsiTheme="majorHAnsi"/>
        </w:rPr>
      </w:pPr>
      <w:r w:rsidRPr="00B76051">
        <w:rPr>
          <w:rFonts w:asciiTheme="majorHAnsi" w:hAnsiTheme="majorHAnsi"/>
        </w:rPr>
        <w:fldChar w:fldCharType="end"/>
      </w:r>
    </w:p>
    <w:p w14:paraId="5695D054" w14:textId="77777777" w:rsidR="00B80152" w:rsidRPr="00F51C97" w:rsidRDefault="00B80152" w:rsidP="00B80152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Theme="majorHAnsi" w:hAnsiTheme="majorHAnsi"/>
          <w:b/>
        </w:rPr>
      </w:pPr>
      <w:r w:rsidRPr="00F51C97">
        <w:rPr>
          <w:rFonts w:asciiTheme="majorHAnsi" w:hAnsiTheme="majorHAnsi"/>
          <w:b/>
        </w:rPr>
        <w:t>Způsob stanovení</w:t>
      </w:r>
      <w:r>
        <w:rPr>
          <w:rFonts w:asciiTheme="majorHAnsi" w:hAnsiTheme="majorHAnsi"/>
          <w:b/>
        </w:rPr>
        <w:t xml:space="preserve"> cen do rozpočtu na základě výsledku stanovení </w:t>
      </w:r>
      <w:r w:rsidRPr="00F51C97">
        <w:rPr>
          <w:rFonts w:asciiTheme="majorHAnsi" w:hAnsiTheme="majorHAnsi"/>
          <w:b/>
        </w:rPr>
        <w:t>předpokládané hodnoty zakázky</w:t>
      </w:r>
    </w:p>
    <w:p w14:paraId="4C660F1D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Pokud žadatel nevyužije pro konkrétní položku výše uvedený postup bodu 1. pro stanovení cen do rozpočtu projektu, předloží namísto něj níže uvedenou tabulku zachycující způsob a výsledek stanovení předpokládané hodnoty příslušné zakázky. </w:t>
      </w:r>
      <w:r w:rsidRPr="00F51C97">
        <w:rPr>
          <w:rFonts w:asciiTheme="majorHAnsi" w:hAnsiTheme="majorHAnsi"/>
        </w:rPr>
        <w:t xml:space="preserve">Způsob stanovení </w:t>
      </w:r>
      <w:r w:rsidRPr="0016090A">
        <w:rPr>
          <w:rFonts w:asciiTheme="majorHAnsi" w:hAnsiTheme="majorHAnsi"/>
        </w:rPr>
        <w:t>předpokládané hodnoty zakázky</w:t>
      </w:r>
      <w:r w:rsidRPr="00F51C97">
        <w:rPr>
          <w:rFonts w:asciiTheme="majorHAnsi" w:hAnsiTheme="majorHAnsi"/>
        </w:rPr>
        <w:t xml:space="preserve"> musí </w:t>
      </w:r>
      <w:r>
        <w:rPr>
          <w:rFonts w:asciiTheme="majorHAnsi" w:hAnsiTheme="majorHAnsi"/>
        </w:rPr>
        <w:t>odpovídat předpisům (</w:t>
      </w:r>
      <w:r w:rsidR="00581D83" w:rsidRPr="00581D83">
        <w:rPr>
          <w:rFonts w:asciiTheme="majorHAnsi" w:hAnsiTheme="majorHAnsi"/>
        </w:rPr>
        <w:t>zákon č. 137/2006 Sb., o veřejných zakázkách, ve znění pozdějších předpisů, zákon č. 134/2016 Sb., o zadávání veřejných zakázek nebo Metodický pokyn pro oblast zadávání zakázek pro programové období 2014–2020 dle druhu zakázky</w:t>
      </w:r>
      <w:r>
        <w:rPr>
          <w:rFonts w:asciiTheme="majorHAnsi" w:hAnsiTheme="majorHAnsi"/>
        </w:rPr>
        <w:t xml:space="preserve">) a </w:t>
      </w:r>
      <w:r w:rsidRPr="00F51C97">
        <w:rPr>
          <w:rFonts w:asciiTheme="majorHAnsi" w:hAnsiTheme="majorHAnsi"/>
        </w:rPr>
        <w:t>obsahovat konkrétní údaje, ze kterých zadavatel vycházel při stanovení předpokládané hodnoty zakázky. Například pokud předpokládaná hodnota byla stanovena dle zkušeností s obdobnými zakázkami, uvede se název a identifikace zadavatelů těchto zakázek. Pokud se jedná o průzkum trhu, uvede se identifikace dodavatelů a jejich odhad předpokládané ceny plnění.</w:t>
      </w:r>
      <w:r>
        <w:rPr>
          <w:rFonts w:asciiTheme="majorHAnsi" w:hAnsiTheme="majorHAnsi"/>
        </w:rPr>
        <w:t xml:space="preserve"> </w:t>
      </w:r>
    </w:p>
    <w:p w14:paraId="025EBB42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996495">
        <w:rPr>
          <w:rFonts w:asciiTheme="majorHAnsi" w:hAnsiTheme="majorHAnsi"/>
        </w:rPr>
        <w:t>Tím nejsou dotčeny povinnosti předkládat dokumentaci k veřejným zakázkám dle kapitoly 5 Obecných pravidel</w:t>
      </w:r>
      <w:r>
        <w:rPr>
          <w:rFonts w:asciiTheme="majorHAnsi" w:hAnsiTheme="majorHAnsi"/>
        </w:rPr>
        <w:t>.</w:t>
      </w:r>
    </w:p>
    <w:p w14:paraId="07427FCA" w14:textId="77777777" w:rsidR="00B80152" w:rsidRDefault="00B80152" w:rsidP="00B80152">
      <w:pPr>
        <w:pStyle w:val="Odstavecseseznamem"/>
        <w:jc w:val="both"/>
        <w:rPr>
          <w:rFonts w:asciiTheme="majorHAnsi" w:hAnsiTheme="majorHAnsi"/>
        </w:rPr>
      </w:pPr>
    </w:p>
    <w:p w14:paraId="1D2D0D54" w14:textId="77777777" w:rsidR="00B80152" w:rsidRDefault="00B80152" w:rsidP="00B80152">
      <w:pPr>
        <w:pStyle w:val="Odstavecseseznamem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Stanovení cen do rozpočtu na základě výsledku stanovení předpokládané hodnoty zakázky</w:t>
      </w:r>
    </w:p>
    <w:p w14:paraId="646508AD" w14:textId="77777777" w:rsidR="00B80152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object w:dxaOrig="15384" w:dyaOrig="1647" w14:anchorId="0B046BB9">
          <v:shape id="_x0000_i1026" type="#_x0000_t75" style="width:477.95pt;height:49.8pt" o:ole="">
            <v:imagedata r:id="rId10" o:title=""/>
          </v:shape>
          <o:OLEObject Type="Embed" ProgID="Excel.Sheet.12" ShapeID="_x0000_i1026" DrawAspect="Content" ObjectID="_1620802717" r:id="rId11"/>
        </w:object>
      </w:r>
    </w:p>
    <w:p w14:paraId="130AB625" w14:textId="77777777" w:rsidR="00B80152" w:rsidRPr="00691D7A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  <w:r w:rsidRPr="00691D7A">
        <w:rPr>
          <w:rFonts w:asciiTheme="majorHAnsi" w:hAnsiTheme="majorHAnsi"/>
        </w:rPr>
        <w:t>Komentá</w:t>
      </w:r>
      <w:r>
        <w:rPr>
          <w:rFonts w:asciiTheme="majorHAnsi" w:hAnsiTheme="majorHAnsi"/>
        </w:rPr>
        <w:t>ř ke stanovení ceny do rozpočtu (pokud je relevantní).</w:t>
      </w:r>
      <w:r w:rsidRPr="00691D7A">
        <w:rPr>
          <w:rFonts w:asciiTheme="majorHAnsi" w:hAnsiTheme="majorHAnsi"/>
        </w:rPr>
        <w:t xml:space="preserve"> </w:t>
      </w:r>
    </w:p>
    <w:p w14:paraId="1CFA6AC8" w14:textId="77777777" w:rsidR="00B80152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</w:p>
    <w:p w14:paraId="08C5CA44" w14:textId="77777777" w:rsidR="00DC4C7F" w:rsidRDefault="00DC4C7F" w:rsidP="002B3345">
      <w:pPr>
        <w:jc w:val="both"/>
        <w:rPr>
          <w:rFonts w:asciiTheme="majorHAnsi" w:hAnsiTheme="majorHAnsi"/>
        </w:rPr>
      </w:pPr>
    </w:p>
    <w:p w14:paraId="26ED353F" w14:textId="3E5A0C22" w:rsidR="00DC4C7F" w:rsidRDefault="00DC4C7F" w:rsidP="002B3345">
      <w:pPr>
        <w:jc w:val="both"/>
      </w:pPr>
    </w:p>
    <w:bookmarkEnd w:id="5"/>
    <w:p w14:paraId="556FE977" w14:textId="25C12F42" w:rsidR="005501C9" w:rsidRDefault="005501C9" w:rsidP="002B3345">
      <w:pPr>
        <w:jc w:val="both"/>
      </w:pPr>
    </w:p>
    <w:sectPr w:rsidR="005501C9" w:rsidSect="00725536">
      <w:headerReference w:type="default" r:id="rId12"/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9D825" w14:textId="77777777" w:rsidR="00042496" w:rsidRDefault="00042496" w:rsidP="00634381">
      <w:pPr>
        <w:spacing w:after="0" w:line="240" w:lineRule="auto"/>
      </w:pPr>
      <w:r>
        <w:separator/>
      </w:r>
    </w:p>
  </w:endnote>
  <w:endnote w:type="continuationSeparator" w:id="0">
    <w:p w14:paraId="3F6F993F" w14:textId="77777777" w:rsidR="00042496" w:rsidRDefault="0004249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3112AA47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67DC21B" w14:textId="77777777" w:rsidR="002B1B8E" w:rsidRPr="00E47FC1" w:rsidRDefault="002B1B8E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18C8A0E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7992BDB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343232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F76867F" w14:textId="165F334F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B28BE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B28BE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41B2E40" w14:textId="77777777" w:rsidR="002B1B8E" w:rsidRDefault="002B1B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AC299" w14:textId="77777777" w:rsidR="00042496" w:rsidRDefault="00042496" w:rsidP="00634381">
      <w:pPr>
        <w:spacing w:after="0" w:line="240" w:lineRule="auto"/>
      </w:pPr>
      <w:r>
        <w:separator/>
      </w:r>
    </w:p>
  </w:footnote>
  <w:footnote w:type="continuationSeparator" w:id="0">
    <w:p w14:paraId="389A0ED9" w14:textId="77777777" w:rsidR="00042496" w:rsidRDefault="0004249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4541E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1C95AB9" wp14:editId="14AA425A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6BF6E3" w14:textId="77777777" w:rsidR="002B1B8E" w:rsidRDefault="002B1B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4EE4"/>
    <w:multiLevelType w:val="hybridMultilevel"/>
    <w:tmpl w:val="B0400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10276780"/>
    <w:multiLevelType w:val="hybridMultilevel"/>
    <w:tmpl w:val="93243BD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54142"/>
    <w:multiLevelType w:val="hybridMultilevel"/>
    <w:tmpl w:val="7BBC663C"/>
    <w:lvl w:ilvl="0" w:tplc="0405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1D64337A"/>
    <w:multiLevelType w:val="hybridMultilevel"/>
    <w:tmpl w:val="3F32C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1198C"/>
    <w:multiLevelType w:val="hybridMultilevel"/>
    <w:tmpl w:val="9CA04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C6051"/>
    <w:multiLevelType w:val="hybridMultilevel"/>
    <w:tmpl w:val="0C988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82339"/>
    <w:multiLevelType w:val="hybridMultilevel"/>
    <w:tmpl w:val="D7406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C6FF9"/>
    <w:multiLevelType w:val="multilevel"/>
    <w:tmpl w:val="DF3A720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291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B4F80"/>
    <w:multiLevelType w:val="hybridMultilevel"/>
    <w:tmpl w:val="734A7C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1182B"/>
    <w:multiLevelType w:val="hybridMultilevel"/>
    <w:tmpl w:val="8362A9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6DEC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10816"/>
    <w:multiLevelType w:val="hybridMultilevel"/>
    <w:tmpl w:val="DA5EF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B3592"/>
    <w:multiLevelType w:val="hybridMultilevel"/>
    <w:tmpl w:val="C23CF65A"/>
    <w:lvl w:ilvl="0" w:tplc="040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1" w15:restartNumberingAfterBreak="0">
    <w:nsid w:val="5C393CA5"/>
    <w:multiLevelType w:val="hybridMultilevel"/>
    <w:tmpl w:val="8EF84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92F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FDC46D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D34DE4"/>
    <w:multiLevelType w:val="hybridMultilevel"/>
    <w:tmpl w:val="BA225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D57AFC"/>
    <w:multiLevelType w:val="hybridMultilevel"/>
    <w:tmpl w:val="C480E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194F0D"/>
    <w:multiLevelType w:val="hybridMultilevel"/>
    <w:tmpl w:val="D346A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205A5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7B7D3D63"/>
    <w:multiLevelType w:val="hybridMultilevel"/>
    <w:tmpl w:val="9C087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14"/>
  </w:num>
  <w:num w:numId="4">
    <w:abstractNumId w:val="8"/>
  </w:num>
  <w:num w:numId="5">
    <w:abstractNumId w:val="8"/>
  </w:num>
  <w:num w:numId="6">
    <w:abstractNumId w:val="23"/>
  </w:num>
  <w:num w:numId="7">
    <w:abstractNumId w:val="27"/>
  </w:num>
  <w:num w:numId="8">
    <w:abstractNumId w:val="23"/>
  </w:num>
  <w:num w:numId="9">
    <w:abstractNumId w:val="23"/>
  </w:num>
  <w:num w:numId="10">
    <w:abstractNumId w:val="23"/>
  </w:num>
  <w:num w:numId="11">
    <w:abstractNumId w:val="16"/>
  </w:num>
  <w:num w:numId="12">
    <w:abstractNumId w:val="1"/>
  </w:num>
  <w:num w:numId="13">
    <w:abstractNumId w:val="23"/>
  </w:num>
  <w:num w:numId="14">
    <w:abstractNumId w:val="23"/>
  </w:num>
  <w:num w:numId="15">
    <w:abstractNumId w:val="23"/>
  </w:num>
  <w:num w:numId="16">
    <w:abstractNumId w:val="28"/>
  </w:num>
  <w:num w:numId="17">
    <w:abstractNumId w:val="7"/>
  </w:num>
  <w:num w:numId="18">
    <w:abstractNumId w:val="25"/>
  </w:num>
  <w:num w:numId="19">
    <w:abstractNumId w:val="10"/>
  </w:num>
  <w:num w:numId="20">
    <w:abstractNumId w:val="13"/>
  </w:num>
  <w:num w:numId="21">
    <w:abstractNumId w:val="18"/>
  </w:num>
  <w:num w:numId="22">
    <w:abstractNumId w:val="26"/>
  </w:num>
  <w:num w:numId="23">
    <w:abstractNumId w:val="21"/>
  </w:num>
  <w:num w:numId="24">
    <w:abstractNumId w:val="6"/>
  </w:num>
  <w:num w:numId="25">
    <w:abstractNumId w:val="9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"/>
  </w:num>
  <w:num w:numId="31">
    <w:abstractNumId w:val="19"/>
  </w:num>
  <w:num w:numId="32">
    <w:abstractNumId w:val="5"/>
  </w:num>
  <w:num w:numId="33">
    <w:abstractNumId w:val="11"/>
  </w:num>
  <w:num w:numId="34">
    <w:abstractNumId w:val="0"/>
  </w:num>
  <w:num w:numId="35">
    <w:abstractNumId w:val="20"/>
  </w:num>
  <w:num w:numId="36">
    <w:abstractNumId w:val="2"/>
  </w:num>
  <w:num w:numId="37">
    <w:abstractNumId w:val="12"/>
  </w:num>
  <w:num w:numId="38">
    <w:abstractNumId w:val="23"/>
  </w:num>
  <w:num w:numId="39">
    <w:abstractNumId w:val="23"/>
  </w:num>
  <w:num w:numId="40">
    <w:abstractNumId w:val="23"/>
  </w:num>
  <w:num w:numId="41">
    <w:abstractNumId w:val="23"/>
  </w:num>
  <w:num w:numId="42">
    <w:abstractNumId w:val="15"/>
  </w:num>
  <w:num w:numId="43">
    <w:abstractNumId w:val="23"/>
  </w:num>
  <w:num w:numId="44">
    <w:abstractNumId w:val="23"/>
  </w:num>
  <w:num w:numId="45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1894"/>
    <w:rsid w:val="00006FEC"/>
    <w:rsid w:val="000104CB"/>
    <w:rsid w:val="000122E6"/>
    <w:rsid w:val="00013158"/>
    <w:rsid w:val="00014F63"/>
    <w:rsid w:val="0001582B"/>
    <w:rsid w:val="000203C9"/>
    <w:rsid w:val="0002073C"/>
    <w:rsid w:val="00020A30"/>
    <w:rsid w:val="00021D7D"/>
    <w:rsid w:val="00026BBE"/>
    <w:rsid w:val="00031801"/>
    <w:rsid w:val="00035CDD"/>
    <w:rsid w:val="00036A3E"/>
    <w:rsid w:val="00040334"/>
    <w:rsid w:val="00041EC8"/>
    <w:rsid w:val="00042496"/>
    <w:rsid w:val="0004281C"/>
    <w:rsid w:val="000432FD"/>
    <w:rsid w:val="000446C1"/>
    <w:rsid w:val="00045329"/>
    <w:rsid w:val="00046DA9"/>
    <w:rsid w:val="000516E3"/>
    <w:rsid w:val="000542AA"/>
    <w:rsid w:val="000544BF"/>
    <w:rsid w:val="000548B6"/>
    <w:rsid w:val="00057399"/>
    <w:rsid w:val="00057C7F"/>
    <w:rsid w:val="00060113"/>
    <w:rsid w:val="0006044E"/>
    <w:rsid w:val="00060932"/>
    <w:rsid w:val="000646A2"/>
    <w:rsid w:val="00070FE9"/>
    <w:rsid w:val="0007353F"/>
    <w:rsid w:val="00075162"/>
    <w:rsid w:val="000763FA"/>
    <w:rsid w:val="000855EE"/>
    <w:rsid w:val="000871BA"/>
    <w:rsid w:val="00093E44"/>
    <w:rsid w:val="00095F04"/>
    <w:rsid w:val="00096838"/>
    <w:rsid w:val="000969B9"/>
    <w:rsid w:val="000A2659"/>
    <w:rsid w:val="000A4EF8"/>
    <w:rsid w:val="000A4FB4"/>
    <w:rsid w:val="000A5D85"/>
    <w:rsid w:val="000A6F55"/>
    <w:rsid w:val="000B2EC3"/>
    <w:rsid w:val="000B5813"/>
    <w:rsid w:val="000B5C1F"/>
    <w:rsid w:val="000B5F15"/>
    <w:rsid w:val="000C2DEF"/>
    <w:rsid w:val="000D2B04"/>
    <w:rsid w:val="000D56C2"/>
    <w:rsid w:val="000D7C9F"/>
    <w:rsid w:val="000D7CA1"/>
    <w:rsid w:val="000D7CCC"/>
    <w:rsid w:val="000E05ED"/>
    <w:rsid w:val="000E1B39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20BF"/>
    <w:rsid w:val="00106FBD"/>
    <w:rsid w:val="001113DE"/>
    <w:rsid w:val="00112399"/>
    <w:rsid w:val="0011392F"/>
    <w:rsid w:val="001152BF"/>
    <w:rsid w:val="00122F9F"/>
    <w:rsid w:val="00125697"/>
    <w:rsid w:val="00125B33"/>
    <w:rsid w:val="00127BDA"/>
    <w:rsid w:val="00131ED8"/>
    <w:rsid w:val="00133369"/>
    <w:rsid w:val="00140C24"/>
    <w:rsid w:val="00141C5B"/>
    <w:rsid w:val="00143E11"/>
    <w:rsid w:val="00150485"/>
    <w:rsid w:val="001509EB"/>
    <w:rsid w:val="00151D46"/>
    <w:rsid w:val="00153DA0"/>
    <w:rsid w:val="0015594C"/>
    <w:rsid w:val="00155A3F"/>
    <w:rsid w:val="00167A4E"/>
    <w:rsid w:val="00170FD8"/>
    <w:rsid w:val="00172B3B"/>
    <w:rsid w:val="00172EA2"/>
    <w:rsid w:val="001739A8"/>
    <w:rsid w:val="00174CA1"/>
    <w:rsid w:val="00175335"/>
    <w:rsid w:val="00187E9E"/>
    <w:rsid w:val="001908B7"/>
    <w:rsid w:val="0019255E"/>
    <w:rsid w:val="00195424"/>
    <w:rsid w:val="001A33E6"/>
    <w:rsid w:val="001A341B"/>
    <w:rsid w:val="001A7812"/>
    <w:rsid w:val="001B1732"/>
    <w:rsid w:val="001B37E4"/>
    <w:rsid w:val="001B7610"/>
    <w:rsid w:val="001C0E1B"/>
    <w:rsid w:val="001C424A"/>
    <w:rsid w:val="001D00D6"/>
    <w:rsid w:val="001D21CF"/>
    <w:rsid w:val="001D2A83"/>
    <w:rsid w:val="001D4569"/>
    <w:rsid w:val="001E18AA"/>
    <w:rsid w:val="001E23AB"/>
    <w:rsid w:val="001E2B70"/>
    <w:rsid w:val="001E2E9A"/>
    <w:rsid w:val="001E6323"/>
    <w:rsid w:val="001F28C7"/>
    <w:rsid w:val="001F43CB"/>
    <w:rsid w:val="001F6BA5"/>
    <w:rsid w:val="001F7E31"/>
    <w:rsid w:val="002011C3"/>
    <w:rsid w:val="00203ADB"/>
    <w:rsid w:val="00204D9A"/>
    <w:rsid w:val="0020609C"/>
    <w:rsid w:val="00213558"/>
    <w:rsid w:val="00214BFD"/>
    <w:rsid w:val="00216AEA"/>
    <w:rsid w:val="0021750B"/>
    <w:rsid w:val="00217805"/>
    <w:rsid w:val="0022095A"/>
    <w:rsid w:val="00224083"/>
    <w:rsid w:val="00224BEA"/>
    <w:rsid w:val="00225322"/>
    <w:rsid w:val="002265AB"/>
    <w:rsid w:val="002308B1"/>
    <w:rsid w:val="00231F50"/>
    <w:rsid w:val="0023363A"/>
    <w:rsid w:val="002373F3"/>
    <w:rsid w:val="00245A55"/>
    <w:rsid w:val="00245B12"/>
    <w:rsid w:val="002552E9"/>
    <w:rsid w:val="00272770"/>
    <w:rsid w:val="0027329A"/>
    <w:rsid w:val="00274658"/>
    <w:rsid w:val="002748BB"/>
    <w:rsid w:val="0027619A"/>
    <w:rsid w:val="0028316D"/>
    <w:rsid w:val="00283DF2"/>
    <w:rsid w:val="00286C01"/>
    <w:rsid w:val="00286DE9"/>
    <w:rsid w:val="00297C96"/>
    <w:rsid w:val="002A160C"/>
    <w:rsid w:val="002A3B9A"/>
    <w:rsid w:val="002A3F0D"/>
    <w:rsid w:val="002A5C72"/>
    <w:rsid w:val="002B0DDC"/>
    <w:rsid w:val="002B1B8E"/>
    <w:rsid w:val="002B28BE"/>
    <w:rsid w:val="002B3345"/>
    <w:rsid w:val="002B66C7"/>
    <w:rsid w:val="002B6E5A"/>
    <w:rsid w:val="002C177C"/>
    <w:rsid w:val="002C1DEC"/>
    <w:rsid w:val="002C2921"/>
    <w:rsid w:val="002C7BB3"/>
    <w:rsid w:val="002D2617"/>
    <w:rsid w:val="002D65F2"/>
    <w:rsid w:val="002E2C51"/>
    <w:rsid w:val="002E2E28"/>
    <w:rsid w:val="002E6297"/>
    <w:rsid w:val="002F133C"/>
    <w:rsid w:val="002F5E8B"/>
    <w:rsid w:val="00304893"/>
    <w:rsid w:val="00305144"/>
    <w:rsid w:val="00305E64"/>
    <w:rsid w:val="00311E78"/>
    <w:rsid w:val="00315E5E"/>
    <w:rsid w:val="00320082"/>
    <w:rsid w:val="003221F1"/>
    <w:rsid w:val="00324198"/>
    <w:rsid w:val="00330EAD"/>
    <w:rsid w:val="00334FB0"/>
    <w:rsid w:val="0033728D"/>
    <w:rsid w:val="00340639"/>
    <w:rsid w:val="00342070"/>
    <w:rsid w:val="003436BC"/>
    <w:rsid w:val="00345415"/>
    <w:rsid w:val="00345F22"/>
    <w:rsid w:val="003522FD"/>
    <w:rsid w:val="0035359D"/>
    <w:rsid w:val="003626F9"/>
    <w:rsid w:val="003647D8"/>
    <w:rsid w:val="00364C12"/>
    <w:rsid w:val="00366358"/>
    <w:rsid w:val="00367052"/>
    <w:rsid w:val="00367300"/>
    <w:rsid w:val="003720BE"/>
    <w:rsid w:val="003759C3"/>
    <w:rsid w:val="00375CE8"/>
    <w:rsid w:val="00376A25"/>
    <w:rsid w:val="00377689"/>
    <w:rsid w:val="00380463"/>
    <w:rsid w:val="00381ACA"/>
    <w:rsid w:val="0039046C"/>
    <w:rsid w:val="00390D9A"/>
    <w:rsid w:val="00396465"/>
    <w:rsid w:val="003A031A"/>
    <w:rsid w:val="003A25B0"/>
    <w:rsid w:val="003A3371"/>
    <w:rsid w:val="003A442E"/>
    <w:rsid w:val="003A6AED"/>
    <w:rsid w:val="003B1000"/>
    <w:rsid w:val="003B35B3"/>
    <w:rsid w:val="003C2E1B"/>
    <w:rsid w:val="003C42E3"/>
    <w:rsid w:val="003C69FD"/>
    <w:rsid w:val="003C6B60"/>
    <w:rsid w:val="003E6BC4"/>
    <w:rsid w:val="00400C7E"/>
    <w:rsid w:val="004015F6"/>
    <w:rsid w:val="00401D28"/>
    <w:rsid w:val="00402062"/>
    <w:rsid w:val="00402CF3"/>
    <w:rsid w:val="00403F58"/>
    <w:rsid w:val="0041382E"/>
    <w:rsid w:val="004157A7"/>
    <w:rsid w:val="00416188"/>
    <w:rsid w:val="00417921"/>
    <w:rsid w:val="004242C7"/>
    <w:rsid w:val="00427AD0"/>
    <w:rsid w:val="00430E7A"/>
    <w:rsid w:val="00432001"/>
    <w:rsid w:val="0044420E"/>
    <w:rsid w:val="00451CC9"/>
    <w:rsid w:val="004602FF"/>
    <w:rsid w:val="00461264"/>
    <w:rsid w:val="0046386F"/>
    <w:rsid w:val="00470177"/>
    <w:rsid w:val="004730D4"/>
    <w:rsid w:val="00475FF7"/>
    <w:rsid w:val="004770A6"/>
    <w:rsid w:val="00482EA1"/>
    <w:rsid w:val="00483E4E"/>
    <w:rsid w:val="004849AE"/>
    <w:rsid w:val="0048501C"/>
    <w:rsid w:val="00485CD9"/>
    <w:rsid w:val="00487E9A"/>
    <w:rsid w:val="00497F46"/>
    <w:rsid w:val="004A0682"/>
    <w:rsid w:val="004A0A40"/>
    <w:rsid w:val="004A1372"/>
    <w:rsid w:val="004A1495"/>
    <w:rsid w:val="004A323F"/>
    <w:rsid w:val="004A4BD7"/>
    <w:rsid w:val="004A55CA"/>
    <w:rsid w:val="004B11F4"/>
    <w:rsid w:val="004B73ED"/>
    <w:rsid w:val="004B79B9"/>
    <w:rsid w:val="004C345C"/>
    <w:rsid w:val="004C4111"/>
    <w:rsid w:val="004D2B5A"/>
    <w:rsid w:val="004E0B7B"/>
    <w:rsid w:val="004E475D"/>
    <w:rsid w:val="004F2BB8"/>
    <w:rsid w:val="004F36C5"/>
    <w:rsid w:val="004F3D4D"/>
    <w:rsid w:val="004F41B7"/>
    <w:rsid w:val="0050122D"/>
    <w:rsid w:val="005018C5"/>
    <w:rsid w:val="00502F35"/>
    <w:rsid w:val="00505BFF"/>
    <w:rsid w:val="00510C14"/>
    <w:rsid w:val="00512888"/>
    <w:rsid w:val="00517BF1"/>
    <w:rsid w:val="005200D9"/>
    <w:rsid w:val="00520431"/>
    <w:rsid w:val="005211DB"/>
    <w:rsid w:val="005235D1"/>
    <w:rsid w:val="00523E1E"/>
    <w:rsid w:val="00525987"/>
    <w:rsid w:val="00526EDC"/>
    <w:rsid w:val="00527A4B"/>
    <w:rsid w:val="0053120D"/>
    <w:rsid w:val="005315C3"/>
    <w:rsid w:val="005366DE"/>
    <w:rsid w:val="00537A6B"/>
    <w:rsid w:val="00537CCA"/>
    <w:rsid w:val="00540FD1"/>
    <w:rsid w:val="005453C9"/>
    <w:rsid w:val="005501C9"/>
    <w:rsid w:val="00550384"/>
    <w:rsid w:val="00550AE6"/>
    <w:rsid w:val="00551A21"/>
    <w:rsid w:val="00551FCC"/>
    <w:rsid w:val="00552B3C"/>
    <w:rsid w:val="00552D2D"/>
    <w:rsid w:val="005550C6"/>
    <w:rsid w:val="005576E7"/>
    <w:rsid w:val="0056072C"/>
    <w:rsid w:val="00560B24"/>
    <w:rsid w:val="0056449D"/>
    <w:rsid w:val="00564E8A"/>
    <w:rsid w:val="00570F8D"/>
    <w:rsid w:val="00573D3C"/>
    <w:rsid w:val="0057554B"/>
    <w:rsid w:val="00576EF1"/>
    <w:rsid w:val="0058003B"/>
    <w:rsid w:val="00581D83"/>
    <w:rsid w:val="00585341"/>
    <w:rsid w:val="00586394"/>
    <w:rsid w:val="00591EEF"/>
    <w:rsid w:val="00592E0A"/>
    <w:rsid w:val="00596086"/>
    <w:rsid w:val="00597912"/>
    <w:rsid w:val="00597D1A"/>
    <w:rsid w:val="005A160B"/>
    <w:rsid w:val="005A5AD3"/>
    <w:rsid w:val="005B327D"/>
    <w:rsid w:val="005B4B3B"/>
    <w:rsid w:val="005B64B6"/>
    <w:rsid w:val="005B674D"/>
    <w:rsid w:val="005B686A"/>
    <w:rsid w:val="005C36D2"/>
    <w:rsid w:val="005C3EC4"/>
    <w:rsid w:val="005C62B7"/>
    <w:rsid w:val="005C7B83"/>
    <w:rsid w:val="005D35EF"/>
    <w:rsid w:val="005D6E26"/>
    <w:rsid w:val="005D79C8"/>
    <w:rsid w:val="005D7CB4"/>
    <w:rsid w:val="005D7D45"/>
    <w:rsid w:val="005E06C6"/>
    <w:rsid w:val="005E2C92"/>
    <w:rsid w:val="005E4C33"/>
    <w:rsid w:val="005E5868"/>
    <w:rsid w:val="005E7F63"/>
    <w:rsid w:val="005F019B"/>
    <w:rsid w:val="005F314B"/>
    <w:rsid w:val="00600A87"/>
    <w:rsid w:val="00601C5E"/>
    <w:rsid w:val="0060422B"/>
    <w:rsid w:val="00605310"/>
    <w:rsid w:val="00614FF0"/>
    <w:rsid w:val="00621CAF"/>
    <w:rsid w:val="00621F12"/>
    <w:rsid w:val="006221F8"/>
    <w:rsid w:val="0062362A"/>
    <w:rsid w:val="00632B48"/>
    <w:rsid w:val="00633805"/>
    <w:rsid w:val="00634381"/>
    <w:rsid w:val="00635464"/>
    <w:rsid w:val="00636885"/>
    <w:rsid w:val="00636E5B"/>
    <w:rsid w:val="006445D2"/>
    <w:rsid w:val="00647234"/>
    <w:rsid w:val="00650BFC"/>
    <w:rsid w:val="00652B24"/>
    <w:rsid w:val="00657BFA"/>
    <w:rsid w:val="0066212C"/>
    <w:rsid w:val="006731DE"/>
    <w:rsid w:val="0067736D"/>
    <w:rsid w:val="006803CD"/>
    <w:rsid w:val="00680488"/>
    <w:rsid w:val="00682152"/>
    <w:rsid w:val="00682C4E"/>
    <w:rsid w:val="00686CF1"/>
    <w:rsid w:val="00694543"/>
    <w:rsid w:val="00695F3D"/>
    <w:rsid w:val="0069719B"/>
    <w:rsid w:val="006A1F49"/>
    <w:rsid w:val="006B0BFC"/>
    <w:rsid w:val="006B26C8"/>
    <w:rsid w:val="006B3868"/>
    <w:rsid w:val="006B5518"/>
    <w:rsid w:val="006B6F8D"/>
    <w:rsid w:val="006B754C"/>
    <w:rsid w:val="006B7B02"/>
    <w:rsid w:val="006C04BA"/>
    <w:rsid w:val="006C5466"/>
    <w:rsid w:val="006C5626"/>
    <w:rsid w:val="006C7076"/>
    <w:rsid w:val="006D015B"/>
    <w:rsid w:val="006D24DC"/>
    <w:rsid w:val="006D2AA5"/>
    <w:rsid w:val="006D3037"/>
    <w:rsid w:val="006D45D6"/>
    <w:rsid w:val="006E5C82"/>
    <w:rsid w:val="006E6461"/>
    <w:rsid w:val="006E72F1"/>
    <w:rsid w:val="006F020D"/>
    <w:rsid w:val="006F2521"/>
    <w:rsid w:val="006F373A"/>
    <w:rsid w:val="006F4EC1"/>
    <w:rsid w:val="006F5BC8"/>
    <w:rsid w:val="00704A86"/>
    <w:rsid w:val="00705113"/>
    <w:rsid w:val="0071118F"/>
    <w:rsid w:val="00717159"/>
    <w:rsid w:val="007200C7"/>
    <w:rsid w:val="00722201"/>
    <w:rsid w:val="00723F80"/>
    <w:rsid w:val="00725536"/>
    <w:rsid w:val="00734C43"/>
    <w:rsid w:val="0073650D"/>
    <w:rsid w:val="007413FC"/>
    <w:rsid w:val="00741EE1"/>
    <w:rsid w:val="0074306C"/>
    <w:rsid w:val="00745445"/>
    <w:rsid w:val="0074688F"/>
    <w:rsid w:val="00747558"/>
    <w:rsid w:val="00747B45"/>
    <w:rsid w:val="00747C86"/>
    <w:rsid w:val="007502DC"/>
    <w:rsid w:val="007518E3"/>
    <w:rsid w:val="00752664"/>
    <w:rsid w:val="0075715C"/>
    <w:rsid w:val="00757238"/>
    <w:rsid w:val="0076431E"/>
    <w:rsid w:val="00764E29"/>
    <w:rsid w:val="007744D4"/>
    <w:rsid w:val="0077515F"/>
    <w:rsid w:val="007809CE"/>
    <w:rsid w:val="00781233"/>
    <w:rsid w:val="007842CE"/>
    <w:rsid w:val="007850EF"/>
    <w:rsid w:val="00785CDF"/>
    <w:rsid w:val="0078635D"/>
    <w:rsid w:val="0078680A"/>
    <w:rsid w:val="00790DC3"/>
    <w:rsid w:val="00790F64"/>
    <w:rsid w:val="00793379"/>
    <w:rsid w:val="007A0623"/>
    <w:rsid w:val="007A0A4D"/>
    <w:rsid w:val="007B0A48"/>
    <w:rsid w:val="007B4F95"/>
    <w:rsid w:val="007C0AB0"/>
    <w:rsid w:val="007C2E6A"/>
    <w:rsid w:val="007D2420"/>
    <w:rsid w:val="007D2576"/>
    <w:rsid w:val="007D4055"/>
    <w:rsid w:val="007D40BA"/>
    <w:rsid w:val="007D63FB"/>
    <w:rsid w:val="007E18C2"/>
    <w:rsid w:val="007E2FAD"/>
    <w:rsid w:val="007E432F"/>
    <w:rsid w:val="007E53BF"/>
    <w:rsid w:val="007E5B52"/>
    <w:rsid w:val="007E6B1F"/>
    <w:rsid w:val="007E6D5C"/>
    <w:rsid w:val="007F2CBA"/>
    <w:rsid w:val="007F53E5"/>
    <w:rsid w:val="007F6999"/>
    <w:rsid w:val="007F7FEA"/>
    <w:rsid w:val="0080263E"/>
    <w:rsid w:val="00802CAB"/>
    <w:rsid w:val="0080495B"/>
    <w:rsid w:val="00806D9F"/>
    <w:rsid w:val="008168CD"/>
    <w:rsid w:val="008168F4"/>
    <w:rsid w:val="00821AEC"/>
    <w:rsid w:val="00824276"/>
    <w:rsid w:val="00824C5E"/>
    <w:rsid w:val="008264F3"/>
    <w:rsid w:val="00826F3F"/>
    <w:rsid w:val="0083207B"/>
    <w:rsid w:val="00840E61"/>
    <w:rsid w:val="008422F3"/>
    <w:rsid w:val="0084320F"/>
    <w:rsid w:val="00844F3C"/>
    <w:rsid w:val="00852ECE"/>
    <w:rsid w:val="00860FEE"/>
    <w:rsid w:val="0086307A"/>
    <w:rsid w:val="00866B40"/>
    <w:rsid w:val="00867C5D"/>
    <w:rsid w:val="00870264"/>
    <w:rsid w:val="008716F6"/>
    <w:rsid w:val="008744CF"/>
    <w:rsid w:val="0087693A"/>
    <w:rsid w:val="008778AC"/>
    <w:rsid w:val="008812C3"/>
    <w:rsid w:val="00884795"/>
    <w:rsid w:val="008851FB"/>
    <w:rsid w:val="0088572A"/>
    <w:rsid w:val="00885D11"/>
    <w:rsid w:val="008877E2"/>
    <w:rsid w:val="00887831"/>
    <w:rsid w:val="00890238"/>
    <w:rsid w:val="00891A0B"/>
    <w:rsid w:val="00894D5A"/>
    <w:rsid w:val="008950E8"/>
    <w:rsid w:val="00895CD7"/>
    <w:rsid w:val="00895F34"/>
    <w:rsid w:val="008A0C5C"/>
    <w:rsid w:val="008A17FD"/>
    <w:rsid w:val="008A3E67"/>
    <w:rsid w:val="008A5F96"/>
    <w:rsid w:val="008A757C"/>
    <w:rsid w:val="008B0868"/>
    <w:rsid w:val="008B6A29"/>
    <w:rsid w:val="008C253A"/>
    <w:rsid w:val="008C3547"/>
    <w:rsid w:val="008C4E6E"/>
    <w:rsid w:val="008C5A6B"/>
    <w:rsid w:val="008D1D3F"/>
    <w:rsid w:val="008D2279"/>
    <w:rsid w:val="008D47B2"/>
    <w:rsid w:val="008D4B42"/>
    <w:rsid w:val="008D56C6"/>
    <w:rsid w:val="008D5E37"/>
    <w:rsid w:val="008D5E44"/>
    <w:rsid w:val="008D7464"/>
    <w:rsid w:val="008E20CB"/>
    <w:rsid w:val="008F0C01"/>
    <w:rsid w:val="008F1FB7"/>
    <w:rsid w:val="008F3389"/>
    <w:rsid w:val="008F62F1"/>
    <w:rsid w:val="008F77C5"/>
    <w:rsid w:val="00900285"/>
    <w:rsid w:val="00900C45"/>
    <w:rsid w:val="00900F86"/>
    <w:rsid w:val="009040FE"/>
    <w:rsid w:val="009055F6"/>
    <w:rsid w:val="00906549"/>
    <w:rsid w:val="009066E9"/>
    <w:rsid w:val="00913C4D"/>
    <w:rsid w:val="009151E3"/>
    <w:rsid w:val="0091589C"/>
    <w:rsid w:val="0091615C"/>
    <w:rsid w:val="00920BF6"/>
    <w:rsid w:val="00926380"/>
    <w:rsid w:val="00927293"/>
    <w:rsid w:val="00932304"/>
    <w:rsid w:val="00932786"/>
    <w:rsid w:val="00940D94"/>
    <w:rsid w:val="00941215"/>
    <w:rsid w:val="00943BE4"/>
    <w:rsid w:val="00947198"/>
    <w:rsid w:val="009503F3"/>
    <w:rsid w:val="0095205D"/>
    <w:rsid w:val="00954C7C"/>
    <w:rsid w:val="00955C36"/>
    <w:rsid w:val="00957947"/>
    <w:rsid w:val="00960729"/>
    <w:rsid w:val="009607CF"/>
    <w:rsid w:val="0096100F"/>
    <w:rsid w:val="0096102E"/>
    <w:rsid w:val="00961249"/>
    <w:rsid w:val="00964210"/>
    <w:rsid w:val="0096682A"/>
    <w:rsid w:val="00973E38"/>
    <w:rsid w:val="00977646"/>
    <w:rsid w:val="0098139E"/>
    <w:rsid w:val="009821C2"/>
    <w:rsid w:val="009831B6"/>
    <w:rsid w:val="00984DD5"/>
    <w:rsid w:val="00991B73"/>
    <w:rsid w:val="00991CCA"/>
    <w:rsid w:val="00994393"/>
    <w:rsid w:val="0099454C"/>
    <w:rsid w:val="009A06ED"/>
    <w:rsid w:val="009A7F28"/>
    <w:rsid w:val="009B5FA1"/>
    <w:rsid w:val="009B602E"/>
    <w:rsid w:val="009B686A"/>
    <w:rsid w:val="009B6CBB"/>
    <w:rsid w:val="009B7089"/>
    <w:rsid w:val="009C1CFC"/>
    <w:rsid w:val="009C2DA4"/>
    <w:rsid w:val="009C54BE"/>
    <w:rsid w:val="009C6D2E"/>
    <w:rsid w:val="009D003A"/>
    <w:rsid w:val="009D0D96"/>
    <w:rsid w:val="009D1376"/>
    <w:rsid w:val="009D7224"/>
    <w:rsid w:val="009E4F57"/>
    <w:rsid w:val="009F3D25"/>
    <w:rsid w:val="009F502A"/>
    <w:rsid w:val="00A00106"/>
    <w:rsid w:val="00A005FD"/>
    <w:rsid w:val="00A016FA"/>
    <w:rsid w:val="00A04BAC"/>
    <w:rsid w:val="00A14D0F"/>
    <w:rsid w:val="00A223B1"/>
    <w:rsid w:val="00A24831"/>
    <w:rsid w:val="00A274D8"/>
    <w:rsid w:val="00A2769B"/>
    <w:rsid w:val="00A33F6A"/>
    <w:rsid w:val="00A34491"/>
    <w:rsid w:val="00A35D8D"/>
    <w:rsid w:val="00A424D8"/>
    <w:rsid w:val="00A42688"/>
    <w:rsid w:val="00A46667"/>
    <w:rsid w:val="00A4744B"/>
    <w:rsid w:val="00A51FBC"/>
    <w:rsid w:val="00A524D9"/>
    <w:rsid w:val="00A54643"/>
    <w:rsid w:val="00A54A58"/>
    <w:rsid w:val="00A569CD"/>
    <w:rsid w:val="00A62C1A"/>
    <w:rsid w:val="00A67C37"/>
    <w:rsid w:val="00A67C84"/>
    <w:rsid w:val="00A70AEC"/>
    <w:rsid w:val="00A70F8D"/>
    <w:rsid w:val="00A72D90"/>
    <w:rsid w:val="00A7460E"/>
    <w:rsid w:val="00A746FF"/>
    <w:rsid w:val="00A7514C"/>
    <w:rsid w:val="00A76838"/>
    <w:rsid w:val="00A864F6"/>
    <w:rsid w:val="00A875C7"/>
    <w:rsid w:val="00A904DE"/>
    <w:rsid w:val="00A9101B"/>
    <w:rsid w:val="00A927A9"/>
    <w:rsid w:val="00A9543E"/>
    <w:rsid w:val="00A955F8"/>
    <w:rsid w:val="00A97294"/>
    <w:rsid w:val="00AA548D"/>
    <w:rsid w:val="00AA6E68"/>
    <w:rsid w:val="00AA7A79"/>
    <w:rsid w:val="00AB060B"/>
    <w:rsid w:val="00AB577F"/>
    <w:rsid w:val="00AC398D"/>
    <w:rsid w:val="00AC3C84"/>
    <w:rsid w:val="00AD2919"/>
    <w:rsid w:val="00AD2955"/>
    <w:rsid w:val="00AD330F"/>
    <w:rsid w:val="00AD38D5"/>
    <w:rsid w:val="00AD3A38"/>
    <w:rsid w:val="00AD52F5"/>
    <w:rsid w:val="00AD6632"/>
    <w:rsid w:val="00AD6B01"/>
    <w:rsid w:val="00AD7F4F"/>
    <w:rsid w:val="00AE0612"/>
    <w:rsid w:val="00AE27FC"/>
    <w:rsid w:val="00AE3D33"/>
    <w:rsid w:val="00AE779A"/>
    <w:rsid w:val="00AF256C"/>
    <w:rsid w:val="00AF4367"/>
    <w:rsid w:val="00AF48EE"/>
    <w:rsid w:val="00AF649D"/>
    <w:rsid w:val="00AF714A"/>
    <w:rsid w:val="00AF7952"/>
    <w:rsid w:val="00B006BD"/>
    <w:rsid w:val="00B00811"/>
    <w:rsid w:val="00B016C2"/>
    <w:rsid w:val="00B04398"/>
    <w:rsid w:val="00B05A37"/>
    <w:rsid w:val="00B15FD1"/>
    <w:rsid w:val="00B275A4"/>
    <w:rsid w:val="00B31085"/>
    <w:rsid w:val="00B32019"/>
    <w:rsid w:val="00B32AB8"/>
    <w:rsid w:val="00B36A18"/>
    <w:rsid w:val="00B37730"/>
    <w:rsid w:val="00B4155E"/>
    <w:rsid w:val="00B43204"/>
    <w:rsid w:val="00B45F31"/>
    <w:rsid w:val="00B532DD"/>
    <w:rsid w:val="00B538FF"/>
    <w:rsid w:val="00B53ED0"/>
    <w:rsid w:val="00B55EB2"/>
    <w:rsid w:val="00B5632A"/>
    <w:rsid w:val="00B5685C"/>
    <w:rsid w:val="00B6175D"/>
    <w:rsid w:val="00B619AE"/>
    <w:rsid w:val="00B63370"/>
    <w:rsid w:val="00B662C4"/>
    <w:rsid w:val="00B66669"/>
    <w:rsid w:val="00B67140"/>
    <w:rsid w:val="00B7197B"/>
    <w:rsid w:val="00B71FAA"/>
    <w:rsid w:val="00B7407F"/>
    <w:rsid w:val="00B80152"/>
    <w:rsid w:val="00B816F2"/>
    <w:rsid w:val="00B8276E"/>
    <w:rsid w:val="00B83E2D"/>
    <w:rsid w:val="00B853ED"/>
    <w:rsid w:val="00B86905"/>
    <w:rsid w:val="00B91A0B"/>
    <w:rsid w:val="00B92155"/>
    <w:rsid w:val="00BA4EB2"/>
    <w:rsid w:val="00BA5C93"/>
    <w:rsid w:val="00BA7DC9"/>
    <w:rsid w:val="00BB3F6E"/>
    <w:rsid w:val="00BB5E55"/>
    <w:rsid w:val="00BB6E17"/>
    <w:rsid w:val="00BC15B7"/>
    <w:rsid w:val="00BC2CA9"/>
    <w:rsid w:val="00BD5865"/>
    <w:rsid w:val="00BE4D84"/>
    <w:rsid w:val="00BE5263"/>
    <w:rsid w:val="00BF148F"/>
    <w:rsid w:val="00BF165A"/>
    <w:rsid w:val="00BF40C1"/>
    <w:rsid w:val="00BF4708"/>
    <w:rsid w:val="00BF5F16"/>
    <w:rsid w:val="00BF7A7F"/>
    <w:rsid w:val="00C053B0"/>
    <w:rsid w:val="00C0586B"/>
    <w:rsid w:val="00C07A9B"/>
    <w:rsid w:val="00C15DF1"/>
    <w:rsid w:val="00C15EF1"/>
    <w:rsid w:val="00C166C5"/>
    <w:rsid w:val="00C23F14"/>
    <w:rsid w:val="00C24C75"/>
    <w:rsid w:val="00C263D2"/>
    <w:rsid w:val="00C31B44"/>
    <w:rsid w:val="00C346E3"/>
    <w:rsid w:val="00C35D76"/>
    <w:rsid w:val="00C36870"/>
    <w:rsid w:val="00C42EAB"/>
    <w:rsid w:val="00C43FB9"/>
    <w:rsid w:val="00C461DE"/>
    <w:rsid w:val="00C46A81"/>
    <w:rsid w:val="00C51D2F"/>
    <w:rsid w:val="00C52C6B"/>
    <w:rsid w:val="00C533FF"/>
    <w:rsid w:val="00C53870"/>
    <w:rsid w:val="00C53C7C"/>
    <w:rsid w:val="00C5460A"/>
    <w:rsid w:val="00C575F5"/>
    <w:rsid w:val="00C60D2C"/>
    <w:rsid w:val="00C61088"/>
    <w:rsid w:val="00C65C8B"/>
    <w:rsid w:val="00C672C6"/>
    <w:rsid w:val="00C72CC9"/>
    <w:rsid w:val="00C7455A"/>
    <w:rsid w:val="00C74D24"/>
    <w:rsid w:val="00C75F21"/>
    <w:rsid w:val="00C761C8"/>
    <w:rsid w:val="00C76AE4"/>
    <w:rsid w:val="00C77F83"/>
    <w:rsid w:val="00C85696"/>
    <w:rsid w:val="00C87F23"/>
    <w:rsid w:val="00C91AAE"/>
    <w:rsid w:val="00C9402E"/>
    <w:rsid w:val="00C94D36"/>
    <w:rsid w:val="00C9625F"/>
    <w:rsid w:val="00C97221"/>
    <w:rsid w:val="00C973F7"/>
    <w:rsid w:val="00CA031E"/>
    <w:rsid w:val="00CA0A1D"/>
    <w:rsid w:val="00CA2B0F"/>
    <w:rsid w:val="00CA2E4C"/>
    <w:rsid w:val="00CB3EE2"/>
    <w:rsid w:val="00CC1439"/>
    <w:rsid w:val="00CC21DF"/>
    <w:rsid w:val="00CC7F23"/>
    <w:rsid w:val="00CD0718"/>
    <w:rsid w:val="00CD14A6"/>
    <w:rsid w:val="00CD229A"/>
    <w:rsid w:val="00CD2C0D"/>
    <w:rsid w:val="00CD3A46"/>
    <w:rsid w:val="00CD3EC8"/>
    <w:rsid w:val="00CD4C6A"/>
    <w:rsid w:val="00CE48DA"/>
    <w:rsid w:val="00CE4F94"/>
    <w:rsid w:val="00CE5013"/>
    <w:rsid w:val="00CE51DB"/>
    <w:rsid w:val="00CE5EF4"/>
    <w:rsid w:val="00CE668B"/>
    <w:rsid w:val="00CE7B1F"/>
    <w:rsid w:val="00CF4451"/>
    <w:rsid w:val="00CF47C5"/>
    <w:rsid w:val="00CF5985"/>
    <w:rsid w:val="00D00393"/>
    <w:rsid w:val="00D01038"/>
    <w:rsid w:val="00D040A7"/>
    <w:rsid w:val="00D16DC0"/>
    <w:rsid w:val="00D215FA"/>
    <w:rsid w:val="00D2196C"/>
    <w:rsid w:val="00D23770"/>
    <w:rsid w:val="00D33570"/>
    <w:rsid w:val="00D407F1"/>
    <w:rsid w:val="00D41108"/>
    <w:rsid w:val="00D446F3"/>
    <w:rsid w:val="00D50E66"/>
    <w:rsid w:val="00D520D8"/>
    <w:rsid w:val="00D52BBC"/>
    <w:rsid w:val="00D604DE"/>
    <w:rsid w:val="00D66B0A"/>
    <w:rsid w:val="00D7041A"/>
    <w:rsid w:val="00D72354"/>
    <w:rsid w:val="00D73AB5"/>
    <w:rsid w:val="00D74DEE"/>
    <w:rsid w:val="00D77E91"/>
    <w:rsid w:val="00D840C0"/>
    <w:rsid w:val="00D87C4A"/>
    <w:rsid w:val="00D91825"/>
    <w:rsid w:val="00D93CDA"/>
    <w:rsid w:val="00D971F4"/>
    <w:rsid w:val="00D97C27"/>
    <w:rsid w:val="00DA4909"/>
    <w:rsid w:val="00DA5275"/>
    <w:rsid w:val="00DA6728"/>
    <w:rsid w:val="00DA67EE"/>
    <w:rsid w:val="00DB20F3"/>
    <w:rsid w:val="00DB2925"/>
    <w:rsid w:val="00DB4F4A"/>
    <w:rsid w:val="00DB5C0A"/>
    <w:rsid w:val="00DB614B"/>
    <w:rsid w:val="00DB6254"/>
    <w:rsid w:val="00DB7461"/>
    <w:rsid w:val="00DC0F51"/>
    <w:rsid w:val="00DC2391"/>
    <w:rsid w:val="00DC247C"/>
    <w:rsid w:val="00DC2BF7"/>
    <w:rsid w:val="00DC4C7F"/>
    <w:rsid w:val="00DD028E"/>
    <w:rsid w:val="00DD34A7"/>
    <w:rsid w:val="00DD4396"/>
    <w:rsid w:val="00DD56D8"/>
    <w:rsid w:val="00DE10A1"/>
    <w:rsid w:val="00DE2E3C"/>
    <w:rsid w:val="00DE413B"/>
    <w:rsid w:val="00DE428B"/>
    <w:rsid w:val="00DF0119"/>
    <w:rsid w:val="00DF0607"/>
    <w:rsid w:val="00E0030D"/>
    <w:rsid w:val="00E036EB"/>
    <w:rsid w:val="00E0562B"/>
    <w:rsid w:val="00E0662B"/>
    <w:rsid w:val="00E11701"/>
    <w:rsid w:val="00E12E0A"/>
    <w:rsid w:val="00E17859"/>
    <w:rsid w:val="00E20FDB"/>
    <w:rsid w:val="00E22F5E"/>
    <w:rsid w:val="00E2345E"/>
    <w:rsid w:val="00E33285"/>
    <w:rsid w:val="00E333E9"/>
    <w:rsid w:val="00E37F83"/>
    <w:rsid w:val="00E41549"/>
    <w:rsid w:val="00E45C73"/>
    <w:rsid w:val="00E54971"/>
    <w:rsid w:val="00E57DC5"/>
    <w:rsid w:val="00E61566"/>
    <w:rsid w:val="00E61590"/>
    <w:rsid w:val="00E70F7D"/>
    <w:rsid w:val="00E73950"/>
    <w:rsid w:val="00E73FD7"/>
    <w:rsid w:val="00E74049"/>
    <w:rsid w:val="00E742FC"/>
    <w:rsid w:val="00E75022"/>
    <w:rsid w:val="00E77220"/>
    <w:rsid w:val="00E81485"/>
    <w:rsid w:val="00E823FC"/>
    <w:rsid w:val="00E83CAE"/>
    <w:rsid w:val="00E847B0"/>
    <w:rsid w:val="00E8521B"/>
    <w:rsid w:val="00E86085"/>
    <w:rsid w:val="00E86B7C"/>
    <w:rsid w:val="00E90F95"/>
    <w:rsid w:val="00E91466"/>
    <w:rsid w:val="00E93591"/>
    <w:rsid w:val="00E94A69"/>
    <w:rsid w:val="00EA0F05"/>
    <w:rsid w:val="00EA3414"/>
    <w:rsid w:val="00EA3440"/>
    <w:rsid w:val="00EB0EA0"/>
    <w:rsid w:val="00EB2B29"/>
    <w:rsid w:val="00EB382C"/>
    <w:rsid w:val="00EB4303"/>
    <w:rsid w:val="00EB7782"/>
    <w:rsid w:val="00EC190D"/>
    <w:rsid w:val="00EC3BFB"/>
    <w:rsid w:val="00EC741C"/>
    <w:rsid w:val="00EC74FE"/>
    <w:rsid w:val="00EC78F1"/>
    <w:rsid w:val="00ED0C61"/>
    <w:rsid w:val="00ED296F"/>
    <w:rsid w:val="00ED40D6"/>
    <w:rsid w:val="00ED676D"/>
    <w:rsid w:val="00ED7F75"/>
    <w:rsid w:val="00EE0A6C"/>
    <w:rsid w:val="00EF1967"/>
    <w:rsid w:val="00EF3535"/>
    <w:rsid w:val="00EF6453"/>
    <w:rsid w:val="00EF6F54"/>
    <w:rsid w:val="00F00CDB"/>
    <w:rsid w:val="00F00E5B"/>
    <w:rsid w:val="00F02008"/>
    <w:rsid w:val="00F04283"/>
    <w:rsid w:val="00F056D6"/>
    <w:rsid w:val="00F05A10"/>
    <w:rsid w:val="00F07A36"/>
    <w:rsid w:val="00F07C4C"/>
    <w:rsid w:val="00F07EFF"/>
    <w:rsid w:val="00F11638"/>
    <w:rsid w:val="00F16A20"/>
    <w:rsid w:val="00F21DFC"/>
    <w:rsid w:val="00F2346F"/>
    <w:rsid w:val="00F257EB"/>
    <w:rsid w:val="00F25A43"/>
    <w:rsid w:val="00F3097F"/>
    <w:rsid w:val="00F31455"/>
    <w:rsid w:val="00F320F9"/>
    <w:rsid w:val="00F33CAB"/>
    <w:rsid w:val="00F36A8D"/>
    <w:rsid w:val="00F3716D"/>
    <w:rsid w:val="00F41C53"/>
    <w:rsid w:val="00F45D4C"/>
    <w:rsid w:val="00F56AD3"/>
    <w:rsid w:val="00F62882"/>
    <w:rsid w:val="00F634EA"/>
    <w:rsid w:val="00F63625"/>
    <w:rsid w:val="00F67D6C"/>
    <w:rsid w:val="00F70BB4"/>
    <w:rsid w:val="00F73311"/>
    <w:rsid w:val="00F73F87"/>
    <w:rsid w:val="00F75212"/>
    <w:rsid w:val="00F811BE"/>
    <w:rsid w:val="00F827B6"/>
    <w:rsid w:val="00F92A9F"/>
    <w:rsid w:val="00F97254"/>
    <w:rsid w:val="00FA0D61"/>
    <w:rsid w:val="00FA296B"/>
    <w:rsid w:val="00FA3AA5"/>
    <w:rsid w:val="00FA3B30"/>
    <w:rsid w:val="00FA7C89"/>
    <w:rsid w:val="00FA7F41"/>
    <w:rsid w:val="00FB3F61"/>
    <w:rsid w:val="00FB3FD7"/>
    <w:rsid w:val="00FB613E"/>
    <w:rsid w:val="00FC2854"/>
    <w:rsid w:val="00FD13A9"/>
    <w:rsid w:val="00FD2A84"/>
    <w:rsid w:val="00FD4007"/>
    <w:rsid w:val="00FD5CC4"/>
    <w:rsid w:val="00FD5FD2"/>
    <w:rsid w:val="00FD72EB"/>
    <w:rsid w:val="00FE1F76"/>
    <w:rsid w:val="00FE2C90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28BBB3C"/>
  <w15:docId w15:val="{4B7E33A7-33FB-449E-87E7-F921E14FD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7F46"/>
  </w:style>
  <w:style w:type="paragraph" w:styleId="Nadpis1">
    <w:name w:val="heading 1"/>
    <w:basedOn w:val="Normln"/>
    <w:next w:val="Normln"/>
    <w:link w:val="Nadpis1Char"/>
    <w:uiPriority w:val="9"/>
    <w:qFormat/>
    <w:rsid w:val="00245B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45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34C43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34C43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E8521B"/>
    <w:pPr>
      <w:spacing w:after="100"/>
      <w:ind w:left="22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E8521B"/>
    <w:pPr>
      <w:spacing w:after="100"/>
      <w:ind w:left="440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4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7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1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List_aplikace_Microsoft_Excel.xlsx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DB210-0487-497F-A71C-B5077E939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1640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Harvanková Monika</cp:lastModifiedBy>
  <cp:revision>5</cp:revision>
  <cp:lastPrinted>2015-12-04T07:43:00Z</cp:lastPrinted>
  <dcterms:created xsi:type="dcterms:W3CDTF">2018-05-03T11:51:00Z</dcterms:created>
  <dcterms:modified xsi:type="dcterms:W3CDTF">2019-05-31T08:12:00Z</dcterms:modified>
</cp:coreProperties>
</file>