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4CB8715D"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67F317A" w14:textId="77777777" w:rsidR="00E71619" w:rsidRPr="001E1A0D" w:rsidRDefault="00E71619" w:rsidP="000755A0">
      <w:pPr>
        <w:widowControl w:val="0"/>
        <w:autoSpaceDE w:val="0"/>
        <w:autoSpaceDN w:val="0"/>
        <w:adjustRightInd w:val="0"/>
        <w:spacing w:before="360"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0755A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77777777" w:rsidR="00E71619" w:rsidRPr="001E1A0D" w:rsidRDefault="00E71619" w:rsidP="000755A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42541185" w:rsidR="00E71619" w:rsidRPr="00C6602D" w:rsidRDefault="00C6602D" w:rsidP="000755A0">
      <w:pPr>
        <w:widowControl w:val="0"/>
        <w:autoSpaceDE w:val="0"/>
        <w:autoSpaceDN w:val="0"/>
        <w:adjustRightInd w:val="0"/>
        <w:spacing w:after="240" w:line="288" w:lineRule="auto"/>
        <w:jc w:val="center"/>
        <w:textAlignment w:val="center"/>
        <w:rPr>
          <w:rFonts w:ascii="Arial" w:eastAsia="MS Mincho" w:hAnsi="Arial" w:cs="Arial"/>
          <w:b/>
          <w:bCs/>
          <w:smallCaps/>
          <w:color w:val="0B5294"/>
          <w:sz w:val="44"/>
          <w:szCs w:val="44"/>
          <w:lang w:eastAsia="ja-JP"/>
        </w:rPr>
      </w:pPr>
      <w:r>
        <w:rPr>
          <w:rFonts w:ascii="Arial" w:eastAsia="MS Mincho" w:hAnsi="Arial" w:cs="Arial"/>
          <w:b/>
          <w:bCs/>
          <w:smallCaps/>
          <w:color w:val="0B5294"/>
          <w:sz w:val="44"/>
          <w:szCs w:val="44"/>
          <w:lang w:eastAsia="ja-JP"/>
        </w:rPr>
        <w:t>Metodické listy indikátorů</w:t>
      </w:r>
    </w:p>
    <w:p w14:paraId="2C151536" w14:textId="426EEA68" w:rsidR="001F62C1" w:rsidRPr="003122BC" w:rsidRDefault="00393F34" w:rsidP="00393F34">
      <w:pPr>
        <w:pStyle w:val="Zkladnodstavec"/>
        <w:jc w:val="center"/>
        <w:rPr>
          <w:rFonts w:ascii="Arial" w:hAnsi="Arial" w:cs="Arial"/>
          <w:color w:val="auto"/>
          <w:sz w:val="32"/>
          <w:szCs w:val="32"/>
        </w:rPr>
      </w:pPr>
      <w:r w:rsidRPr="00D737C9">
        <w:rPr>
          <w:rFonts w:ascii="Arial" w:hAnsi="Arial" w:cs="Arial"/>
          <w:color w:val="auto"/>
          <w:sz w:val="32"/>
          <w:szCs w:val="32"/>
        </w:rPr>
        <w:t>89</w:t>
      </w:r>
      <w:r w:rsidR="001F62C1" w:rsidRPr="00D737C9">
        <w:rPr>
          <w:rFonts w:ascii="Arial" w:hAnsi="Arial" w:cs="Arial"/>
          <w:color w:val="auto"/>
          <w:sz w:val="32"/>
          <w:szCs w:val="32"/>
        </w:rPr>
        <w:t xml:space="preserve">. VÝZVA IROP </w:t>
      </w:r>
      <w:r w:rsidR="001F62C1" w:rsidRPr="003122BC">
        <w:rPr>
          <w:rFonts w:ascii="Arial" w:hAnsi="Arial" w:cs="Arial"/>
          <w:color w:val="auto"/>
          <w:sz w:val="32"/>
          <w:szCs w:val="32"/>
        </w:rPr>
        <w:t>–</w:t>
      </w:r>
      <w:r w:rsidR="001F62C1" w:rsidRPr="00D737C9">
        <w:rPr>
          <w:rFonts w:ascii="Arial" w:hAnsi="Arial" w:cs="Arial"/>
          <w:color w:val="auto"/>
          <w:sz w:val="32"/>
          <w:szCs w:val="32"/>
        </w:rPr>
        <w:t xml:space="preserve"> KYBERNETICKÁ BEZPEČNOST –</w:t>
      </w:r>
      <w:r w:rsidRPr="00D737C9">
        <w:rPr>
          <w:rFonts w:ascii="Arial" w:hAnsi="Arial" w:cs="Arial"/>
          <w:color w:val="auto"/>
          <w:sz w:val="32"/>
          <w:szCs w:val="32"/>
        </w:rPr>
        <w:t xml:space="preserve"> NÚKIB –</w:t>
      </w:r>
      <w:r w:rsidR="00293A96" w:rsidRPr="00D737C9">
        <w:rPr>
          <w:rFonts w:ascii="Arial" w:hAnsi="Arial" w:cs="Arial"/>
          <w:color w:val="auto"/>
          <w:sz w:val="32"/>
          <w:szCs w:val="32"/>
        </w:rPr>
        <w:t> </w:t>
      </w:r>
      <w:r w:rsidR="001F62C1" w:rsidRPr="00D737C9">
        <w:rPr>
          <w:rFonts w:ascii="Arial" w:hAnsi="Arial" w:cs="Arial"/>
          <w:color w:val="auto"/>
          <w:sz w:val="32"/>
          <w:szCs w:val="32"/>
        </w:rPr>
        <w:t>SC</w:t>
      </w:r>
      <w:r w:rsidR="00293A96" w:rsidRPr="00D737C9">
        <w:rPr>
          <w:rFonts w:ascii="Arial" w:hAnsi="Arial" w:cs="Arial"/>
          <w:color w:val="auto"/>
          <w:sz w:val="32"/>
          <w:szCs w:val="32"/>
        </w:rPr>
        <w:t> </w:t>
      </w:r>
      <w:r w:rsidR="001F62C1" w:rsidRPr="00D737C9">
        <w:rPr>
          <w:rFonts w:ascii="Arial" w:hAnsi="Arial" w:cs="Arial"/>
          <w:color w:val="auto"/>
          <w:sz w:val="32"/>
          <w:szCs w:val="32"/>
        </w:rPr>
        <w:t>1.1 (</w:t>
      </w:r>
      <w:r w:rsidRPr="00D737C9">
        <w:rPr>
          <w:rFonts w:ascii="Arial" w:hAnsi="Arial" w:cs="Arial"/>
          <w:color w:val="auto"/>
          <w:sz w:val="32"/>
          <w:szCs w:val="32"/>
        </w:rPr>
        <w:t>Č</w:t>
      </w:r>
      <w:r w:rsidR="001F62C1" w:rsidRPr="00D737C9">
        <w:rPr>
          <w:rFonts w:ascii="Arial" w:hAnsi="Arial" w:cs="Arial"/>
          <w:color w:val="auto"/>
          <w:sz w:val="32"/>
          <w:szCs w:val="32"/>
        </w:rPr>
        <w:t>R)</w:t>
      </w:r>
    </w:p>
    <w:p w14:paraId="29F7EAC3" w14:textId="738824AC" w:rsidR="00E71619" w:rsidRPr="001E1A0D" w:rsidRDefault="00E06794" w:rsidP="000755A0">
      <w:pPr>
        <w:spacing w:after="200" w:line="276" w:lineRule="auto"/>
        <w:jc w:val="center"/>
        <w:rPr>
          <w:rFonts w:ascii="Arial" w:eastAsia="Calibri" w:hAnsi="Arial" w:cs="Arial"/>
          <w:caps/>
          <w:color w:val="7F7F7F"/>
          <w:sz w:val="32"/>
          <w:szCs w:val="32"/>
          <w:lang w:eastAsia="en-US"/>
        </w:rPr>
        <w:sectPr w:rsidR="00E71619" w:rsidRPr="001E1A0D" w:rsidSect="000755A0">
          <w:headerReference w:type="even" r:id="rId12"/>
          <w:headerReference w:type="default" r:id="rId13"/>
          <w:footerReference w:type="even" r:id="rId14"/>
          <w:footerReference w:type="default" r:id="rId15"/>
          <w:headerReference w:type="first" r:id="rId16"/>
          <w:footerReference w:type="first" r:id="rId17"/>
          <w:pgSz w:w="11906" w:h="16838"/>
          <w:pgMar w:top="1418" w:right="991" w:bottom="1418" w:left="1021"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3F267F">
        <w:rPr>
          <w:rFonts w:ascii="Arial" w:eastAsia="Calibri" w:hAnsi="Arial" w:cs="Arial"/>
          <w:caps/>
          <w:color w:val="7F7F7F"/>
          <w:sz w:val="32"/>
          <w:szCs w:val="32"/>
          <w:lang w:eastAsia="en-US"/>
        </w:rPr>
        <w:t>1</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71619" w:rsidRPr="00CE6BEE" w14:paraId="07722685"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3B066C" w14:textId="77777777" w:rsidR="00E71619" w:rsidRPr="000465C4" w:rsidRDefault="00E71619"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71619" w:rsidRPr="00CE6BEE" w14:paraId="2636EA29"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C6228" w14:textId="77777777" w:rsidR="00E71619" w:rsidRPr="00C81922" w:rsidRDefault="00E71619" w:rsidP="00E7161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E67F5" w14:textId="28771235" w:rsidR="00E71619" w:rsidRPr="00C81922" w:rsidRDefault="00E71619" w:rsidP="00E71619">
            <w:pPr>
              <w:spacing w:before="80" w:after="80" w:line="276" w:lineRule="auto"/>
              <w:ind w:right="170"/>
              <w:jc w:val="center"/>
              <w:rPr>
                <w:rFonts w:ascii="Arial" w:eastAsiaTheme="minorEastAsia" w:hAnsi="Arial" w:cs="Arial"/>
                <w:b/>
                <w:color w:val="000000"/>
                <w:lang w:eastAsia="en-US"/>
              </w:rPr>
            </w:pPr>
            <w:r w:rsidRPr="0DF1ADDF">
              <w:rPr>
                <w:rFonts w:ascii="Arial" w:eastAsiaTheme="minorEastAsia" w:hAnsi="Arial" w:cs="Arial"/>
                <w:b/>
                <w:color w:val="000000" w:themeColor="text1"/>
                <w:lang w:eastAsia="en-US"/>
              </w:rPr>
              <w:t>304 002 -</w:t>
            </w:r>
            <w:r w:rsidRPr="46A5D909">
              <w:rPr>
                <w:rFonts w:ascii="Arial" w:eastAsia="SimSun" w:hAnsi="Arial" w:cs="Arial"/>
                <w:b/>
                <w:bCs/>
                <w:color w:val="2F5496"/>
                <w:sz w:val="48"/>
                <w:szCs w:val="48"/>
                <w:lang w:eastAsia="zh-CN"/>
              </w:rPr>
              <w:t xml:space="preserve"> </w:t>
            </w:r>
            <w:r w:rsidRPr="46A5D909">
              <w:rPr>
                <w:rFonts w:ascii="Arial" w:eastAsiaTheme="minorEastAsia" w:hAnsi="Arial" w:cs="Arial"/>
                <w:b/>
                <w:bCs/>
                <w:color w:val="000000" w:themeColor="text1"/>
                <w:lang w:eastAsia="en-US"/>
              </w:rPr>
              <w:t>Nové</w:t>
            </w:r>
            <w:r w:rsidRPr="0DF1ADDF">
              <w:rPr>
                <w:rFonts w:ascii="Arial" w:eastAsiaTheme="minorEastAsia" w:hAnsi="Arial" w:cs="Arial"/>
                <w:b/>
                <w:color w:val="000000" w:themeColor="text1"/>
                <w:lang w:eastAsia="en-US"/>
              </w:rPr>
              <w:t xml:space="preserve"> nebo modernizované prvky k zajištění standardů kybernetické bezpečnosti</w:t>
            </w:r>
          </w:p>
        </w:tc>
      </w:tr>
      <w:tr w:rsidR="00E71619" w:rsidRPr="00AB1542" w14:paraId="7D4546F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3C1FDAA" w14:textId="77777777" w:rsidR="00E71619" w:rsidRPr="00C81922" w:rsidRDefault="00E71619" w:rsidP="00E71619">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2D2345" w14:textId="77777777" w:rsidR="00E71619" w:rsidRPr="00C81922" w:rsidRDefault="00E71619" w:rsidP="00E71619">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AEF6F8" w14:textId="77777777" w:rsidR="00E71619" w:rsidRPr="00C81922" w:rsidRDefault="00E71619" w:rsidP="00E71619">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E71619" w:rsidRPr="00AB1542" w14:paraId="781E62C2"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5C00E0D" w14:textId="77777777" w:rsidR="00E71619" w:rsidRPr="00C81922" w:rsidRDefault="00E71619" w:rsidP="00E71619">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3E7FC0A"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rPr>
              <w:t>prvek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BCD403"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4E535DC7"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7D0A092C" w:rsidR="008A2193" w:rsidRPr="009A4CBD" w:rsidRDefault="008C7931" w:rsidP="01498D3D">
      <w:pPr>
        <w:spacing w:after="200" w:line="276" w:lineRule="auto"/>
        <w:jc w:val="both"/>
        <w:rPr>
          <w:rFonts w:ascii="Arial" w:hAnsi="Arial" w:cs="Arial"/>
          <w:sz w:val="22"/>
          <w:szCs w:val="22"/>
        </w:rPr>
      </w:pPr>
      <w:r w:rsidRPr="01498D3D">
        <w:rPr>
          <w:rFonts w:ascii="Arial" w:hAnsi="Arial" w:cs="Arial"/>
          <w:sz w:val="22"/>
          <w:szCs w:val="22"/>
        </w:rPr>
        <w:t>Nové nebo modernizované prvky k zajištění standardů kybernetické bezpečnosti: jedná se o počet realizovaných technických bezpečnostních opatření podle zákona č. 181/2014 Sb., o kybernetické bezpečnosti, jimiž je řešena kybernetická bezpečnost i</w:t>
      </w:r>
      <w:r w:rsidR="00092BD6" w:rsidRPr="01498D3D">
        <w:rPr>
          <w:rFonts w:ascii="Arial" w:hAnsi="Arial" w:cs="Arial"/>
          <w:sz w:val="22"/>
          <w:szCs w:val="22"/>
        </w:rPr>
        <w:t>nformačních a </w:t>
      </w:r>
      <w:r w:rsidRPr="01498D3D">
        <w:rPr>
          <w:rFonts w:ascii="Arial" w:hAnsi="Arial" w:cs="Arial"/>
          <w:sz w:val="22"/>
          <w:szCs w:val="22"/>
        </w:rPr>
        <w:t>komunikačních systémů organizačních složek státu a jejich příspěvkových organizací, obcí a krajů a jimi zřizovaných nebo zakládaných organizací, státních organizací a státních podniků.</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5" w:name="_Toc97720346"/>
      <w:r w:rsidRPr="000465C4">
        <w:rPr>
          <w:rStyle w:val="Zdraznnintenzivn"/>
          <w:rFonts w:ascii="Arial" w:hAnsi="Arial" w:cs="Arial"/>
          <w:color w:val="31849B" w:themeColor="accent5" w:themeShade="BF"/>
        </w:rPr>
        <w:t>Upřesňující informace</w:t>
      </w:r>
      <w:bookmarkEnd w:id="5"/>
    </w:p>
    <w:p w14:paraId="7BAC7CCE" w14:textId="6B202B60" w:rsidR="002C04B8" w:rsidRPr="00D27F55" w:rsidRDefault="0057432E" w:rsidP="0094772F">
      <w:pPr>
        <w:spacing w:after="240"/>
        <w:jc w:val="both"/>
        <w:rPr>
          <w:rFonts w:ascii="Arial" w:hAnsi="Arial" w:cs="Arial"/>
          <w:sz w:val="22"/>
          <w:szCs w:val="22"/>
        </w:rPr>
      </w:pPr>
      <w:r w:rsidRPr="00392A98">
        <w:rPr>
          <w:rFonts w:ascii="Arial" w:hAnsi="Arial" w:cs="Arial"/>
          <w:sz w:val="22"/>
          <w:szCs w:val="22"/>
        </w:rPr>
        <w:t>Indikátor</w:t>
      </w:r>
      <w:r w:rsidR="00822000" w:rsidRPr="00392A98">
        <w:rPr>
          <w:rFonts w:ascii="Arial" w:hAnsi="Arial" w:cs="Arial"/>
          <w:sz w:val="22"/>
          <w:szCs w:val="22"/>
        </w:rPr>
        <w:t xml:space="preserve"> je</w:t>
      </w:r>
      <w:r w:rsidRPr="00392A98">
        <w:rPr>
          <w:rFonts w:ascii="Arial" w:hAnsi="Arial" w:cs="Arial"/>
          <w:sz w:val="22"/>
          <w:szCs w:val="22"/>
        </w:rPr>
        <w:t xml:space="preserve"> </w:t>
      </w:r>
      <w:r w:rsidR="003E3EA1" w:rsidRPr="00392A98">
        <w:rPr>
          <w:rFonts w:ascii="Arial" w:hAnsi="Arial" w:cs="Arial"/>
          <w:sz w:val="22"/>
          <w:szCs w:val="22"/>
        </w:rPr>
        <w:t>povinný k výběru a naplnění</w:t>
      </w:r>
      <w:r w:rsidRPr="00392A98">
        <w:rPr>
          <w:rFonts w:ascii="Arial" w:hAnsi="Arial" w:cs="Arial"/>
          <w:sz w:val="22"/>
          <w:szCs w:val="22"/>
        </w:rPr>
        <w:t xml:space="preserve"> pro všechny</w:t>
      </w:r>
      <w:r w:rsidR="002C04B8" w:rsidRPr="00392A98">
        <w:rPr>
          <w:rFonts w:ascii="Arial" w:hAnsi="Arial" w:cs="Arial"/>
          <w:sz w:val="22"/>
          <w:szCs w:val="22"/>
        </w:rPr>
        <w:t xml:space="preserve"> žádosti o podporu</w:t>
      </w:r>
      <w:r w:rsidRPr="00392A98">
        <w:rPr>
          <w:rFonts w:ascii="Arial" w:hAnsi="Arial" w:cs="Arial"/>
          <w:sz w:val="22"/>
          <w:szCs w:val="22"/>
        </w:rPr>
        <w:t>.</w:t>
      </w:r>
      <w:r w:rsidR="00D85674" w:rsidRPr="00D27F55">
        <w:rPr>
          <w:rFonts w:ascii="Arial" w:hAnsi="Arial" w:cs="Arial"/>
          <w:sz w:val="22"/>
          <w:szCs w:val="22"/>
        </w:rPr>
        <w:t xml:space="preserve"> </w:t>
      </w:r>
    </w:p>
    <w:p w14:paraId="1A1B93B9" w14:textId="1D3E983A" w:rsidR="00392A98" w:rsidRDefault="008A2193">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00392A98" w:rsidRPr="00392A98">
        <w:rPr>
          <w:rFonts w:ascii="Arial" w:hAnsi="Arial" w:cs="Arial"/>
          <w:sz w:val="22"/>
          <w:szCs w:val="22"/>
        </w:rPr>
        <w:t>počet nových nebo modernizovaných prvků</w:t>
      </w:r>
      <w:r w:rsidR="00392A98">
        <w:rPr>
          <w:rFonts w:ascii="Arial" w:hAnsi="Arial" w:cs="Arial"/>
          <w:sz w:val="22"/>
          <w:szCs w:val="22"/>
        </w:rPr>
        <w:t xml:space="preserve"> </w:t>
      </w:r>
      <w:r w:rsidR="00392A98" w:rsidRPr="00392A98">
        <w:rPr>
          <w:rFonts w:ascii="Arial" w:hAnsi="Arial" w:cs="Arial"/>
          <w:sz w:val="22"/>
          <w:szCs w:val="22"/>
        </w:rPr>
        <w:t>k zajištění standardů kybernetické bezpečnosti</w:t>
      </w:r>
      <w:r w:rsidR="00392A98">
        <w:rPr>
          <w:rFonts w:ascii="Arial" w:hAnsi="Arial" w:cs="Arial"/>
          <w:sz w:val="22"/>
          <w:szCs w:val="22"/>
        </w:rPr>
        <w:t>.</w:t>
      </w:r>
      <w:r w:rsidR="0094772F">
        <w:rPr>
          <w:rFonts w:ascii="Arial" w:hAnsi="Arial" w:cs="Arial"/>
          <w:sz w:val="22"/>
          <w:szCs w:val="22"/>
        </w:rPr>
        <w:t xml:space="preserve"> </w:t>
      </w:r>
      <w:r w:rsidR="00392A98" w:rsidRPr="01498D3D">
        <w:rPr>
          <w:rFonts w:ascii="Arial" w:hAnsi="Arial" w:cs="Arial"/>
          <w:sz w:val="22"/>
          <w:szCs w:val="22"/>
        </w:rPr>
        <w:t>Prvkem je technické opatření podle § 5, odst. 3 zákona č. 181/2014 Sb., o kybernetické bezpečnosti a o změně souvisejících zákonů (zákon o kybernetické bezpečnosti).</w:t>
      </w:r>
    </w:p>
    <w:p w14:paraId="63EE9C8D" w14:textId="77777777" w:rsidR="00392A98" w:rsidRPr="00392A98" w:rsidRDefault="00392A98">
      <w:pPr>
        <w:spacing w:after="240"/>
        <w:jc w:val="both"/>
        <w:rPr>
          <w:rFonts w:ascii="Arial" w:hAnsi="Arial" w:cs="Arial"/>
          <w:sz w:val="22"/>
          <w:szCs w:val="22"/>
        </w:rPr>
      </w:pPr>
      <w:r w:rsidRPr="1B0D0B02">
        <w:rPr>
          <w:rFonts w:ascii="Arial" w:hAnsi="Arial" w:cs="Arial"/>
          <w:sz w:val="22"/>
          <w:szCs w:val="22"/>
        </w:rPr>
        <w:t>Každý prvek bude do hodnoty indikátoru započítán takto:</w:t>
      </w:r>
    </w:p>
    <w:p w14:paraId="53F8A9D5" w14:textId="77777777" w:rsidR="00392A98" w:rsidRPr="00392A98" w:rsidRDefault="00392A98" w:rsidP="000875BA">
      <w:pPr>
        <w:spacing w:after="240"/>
        <w:ind w:left="852" w:hanging="284"/>
        <w:jc w:val="both"/>
        <w:rPr>
          <w:rFonts w:ascii="Arial" w:hAnsi="Arial" w:cs="Arial"/>
          <w:sz w:val="22"/>
          <w:szCs w:val="22"/>
        </w:rPr>
      </w:pPr>
      <w:r w:rsidRPr="1B0D0B02">
        <w:rPr>
          <w:rFonts w:ascii="Arial" w:hAnsi="Arial" w:cs="Arial"/>
          <w:sz w:val="22"/>
          <w:szCs w:val="22"/>
        </w:rPr>
        <w:t>a)</w:t>
      </w:r>
      <w:r>
        <w:tab/>
      </w:r>
      <w:r w:rsidRPr="1B0D0B02">
        <w:rPr>
          <w:rFonts w:ascii="Arial" w:hAnsi="Arial" w:cs="Arial"/>
          <w:sz w:val="22"/>
          <w:szCs w:val="22"/>
        </w:rPr>
        <w:t>V případě VIS/ISZS/IS/KS bude každý prvek započítán pro každý systém zvlášť.</w:t>
      </w:r>
    </w:p>
    <w:p w14:paraId="05983DB4" w14:textId="55A1C148" w:rsidR="00392A98" w:rsidRPr="00392A98" w:rsidRDefault="00392A98" w:rsidP="000875BA">
      <w:pPr>
        <w:spacing w:after="240"/>
        <w:ind w:left="852" w:hanging="284"/>
        <w:jc w:val="both"/>
        <w:rPr>
          <w:rFonts w:ascii="Arial" w:hAnsi="Arial" w:cs="Arial"/>
          <w:sz w:val="22"/>
          <w:szCs w:val="22"/>
        </w:rPr>
      </w:pPr>
      <w:r w:rsidRPr="1B0D0B02">
        <w:rPr>
          <w:rFonts w:ascii="Arial" w:hAnsi="Arial" w:cs="Arial"/>
          <w:sz w:val="22"/>
          <w:szCs w:val="22"/>
        </w:rPr>
        <w:t>b)</w:t>
      </w:r>
      <w:r>
        <w:tab/>
      </w:r>
      <w:r w:rsidRPr="1B0D0B02">
        <w:rPr>
          <w:rFonts w:ascii="Arial" w:hAnsi="Arial" w:cs="Arial"/>
          <w:sz w:val="22"/>
          <w:szCs w:val="22"/>
        </w:rPr>
        <w:t>V případě KII bude prvek započítán pouze jednou pro každou infrastrukturu, bez ohledu na to</w:t>
      </w:r>
      <w:r w:rsidR="006C57EC" w:rsidRPr="1B0D0B02">
        <w:rPr>
          <w:rFonts w:ascii="Arial" w:hAnsi="Arial" w:cs="Arial"/>
          <w:sz w:val="22"/>
          <w:szCs w:val="22"/>
        </w:rPr>
        <w:t>,</w:t>
      </w:r>
      <w:r w:rsidRPr="1B0D0B02">
        <w:rPr>
          <w:rFonts w:ascii="Arial" w:hAnsi="Arial" w:cs="Arial"/>
          <w:sz w:val="22"/>
          <w:szCs w:val="22"/>
        </w:rPr>
        <w:t xml:space="preserve"> kolik jednotlivých systémů obsahuje.</w:t>
      </w:r>
    </w:p>
    <w:p w14:paraId="73689146" w14:textId="79524D2D" w:rsidR="00392A98" w:rsidRDefault="00392A98">
      <w:pPr>
        <w:spacing w:after="240"/>
        <w:jc w:val="both"/>
        <w:rPr>
          <w:rFonts w:ascii="Arial" w:hAnsi="Arial" w:cs="Arial"/>
          <w:sz w:val="22"/>
          <w:szCs w:val="22"/>
        </w:rPr>
      </w:pPr>
      <w:r w:rsidRPr="1B0D0B02">
        <w:rPr>
          <w:rFonts w:ascii="Arial" w:hAnsi="Arial" w:cs="Arial"/>
          <w:sz w:val="22"/>
          <w:szCs w:val="22"/>
        </w:rPr>
        <w:t>Pokud bude technické opatření sdíleno více KII/VIS/ISZS/IS/KS, bude započítán tolikrát, kolika KII/VIS/ISZS/IS/KS bude sdílen.</w:t>
      </w:r>
    </w:p>
    <w:p w14:paraId="6567ACE8" w14:textId="29A738F2" w:rsidR="00392A98" w:rsidRDefault="00392A98">
      <w:pPr>
        <w:spacing w:after="240"/>
        <w:jc w:val="both"/>
        <w:rPr>
          <w:rFonts w:ascii="Arial" w:hAnsi="Arial" w:cs="Arial"/>
          <w:sz w:val="22"/>
          <w:szCs w:val="22"/>
        </w:rPr>
      </w:pPr>
      <w:r w:rsidRPr="01498D3D">
        <w:rPr>
          <w:rFonts w:ascii="Arial" w:hAnsi="Arial" w:cs="Arial"/>
          <w:sz w:val="22"/>
          <w:szCs w:val="22"/>
        </w:rPr>
        <w:t>Modernizovaným prvkem se rozumí náhrada existujícího tec</w:t>
      </w:r>
      <w:r w:rsidR="00E06794" w:rsidRPr="01498D3D">
        <w:rPr>
          <w:rFonts w:ascii="Arial" w:hAnsi="Arial" w:cs="Arial"/>
          <w:sz w:val="22"/>
          <w:szCs w:val="22"/>
        </w:rPr>
        <w:t>hnického opatření, které není v </w:t>
      </w:r>
      <w:r w:rsidRPr="01498D3D">
        <w:rPr>
          <w:rFonts w:ascii="Arial" w:hAnsi="Arial" w:cs="Arial"/>
          <w:sz w:val="22"/>
          <w:szCs w:val="22"/>
        </w:rPr>
        <w:t>souladu s technickými opatřeními definovanými v zákoně o kybernetické bezpečnosti, za takové technické opatření, které je v souladu s definovanými technickými opatřeními v</w:t>
      </w:r>
      <w:r w:rsidR="00B86B49">
        <w:rPr>
          <w:rFonts w:ascii="Arial" w:hAnsi="Arial" w:cs="Arial"/>
          <w:sz w:val="22"/>
          <w:szCs w:val="22"/>
        </w:rPr>
        <w:t xml:space="preserve"> </w:t>
      </w:r>
      <w:r w:rsidRPr="01498D3D">
        <w:rPr>
          <w:rFonts w:ascii="Arial" w:hAnsi="Arial" w:cs="Arial"/>
          <w:sz w:val="22"/>
          <w:szCs w:val="22"/>
        </w:rPr>
        <w:t>zákoně o kybernetické bezpečnosti.</w:t>
      </w:r>
    </w:p>
    <w:p w14:paraId="1C8C5576" w14:textId="360D3738" w:rsidR="00822000" w:rsidRDefault="00822000">
      <w:pPr>
        <w:spacing w:before="240" w:after="240"/>
        <w:jc w:val="both"/>
        <w:rPr>
          <w:rFonts w:ascii="Arial" w:hAnsi="Arial" w:cs="Arial"/>
          <w:sz w:val="22"/>
          <w:szCs w:val="22"/>
          <w:u w:val="single"/>
        </w:rPr>
      </w:pPr>
      <w:r w:rsidRPr="1B0D0B02">
        <w:rPr>
          <w:rFonts w:ascii="Arial" w:hAnsi="Arial" w:cs="Arial"/>
          <w:sz w:val="22"/>
          <w:szCs w:val="22"/>
        </w:rPr>
        <w:t xml:space="preserve">Hodnoty jsou vykazovány jako prostý součet </w:t>
      </w:r>
      <w:r w:rsidR="003E0963" w:rsidRPr="1B0D0B02">
        <w:rPr>
          <w:rFonts w:ascii="Arial" w:hAnsi="Arial" w:cs="Arial"/>
          <w:sz w:val="22"/>
          <w:szCs w:val="22"/>
        </w:rPr>
        <w:t>nových nebo modernizovaných prvků</w:t>
      </w:r>
      <w:r w:rsidRPr="1B0D0B02">
        <w:rPr>
          <w:rFonts w:ascii="Arial" w:hAnsi="Arial" w:cs="Arial"/>
          <w:sz w:val="22"/>
          <w:szCs w:val="22"/>
        </w:rPr>
        <w:t xml:space="preserve">. Hodnota je vykazována s přesností na celé jednotky </w:t>
      </w:r>
      <w:r w:rsidRPr="1B0D0B02">
        <w:rPr>
          <w:rFonts w:ascii="Arial" w:hAnsi="Arial" w:cs="Arial"/>
          <w:sz w:val="22"/>
          <w:szCs w:val="22"/>
          <w:u w:val="single"/>
        </w:rPr>
        <w:t>(není možné vykázat desetinné číslo)</w:t>
      </w:r>
      <w:r w:rsidR="00690293" w:rsidRPr="1B0D0B02">
        <w:rPr>
          <w:rFonts w:ascii="Arial" w:hAnsi="Arial" w:cs="Arial"/>
          <w:sz w:val="22"/>
          <w:szCs w:val="22"/>
          <w:u w:val="single"/>
        </w:rPr>
        <w:t>.</w:t>
      </w:r>
    </w:p>
    <w:p w14:paraId="340C38BC" w14:textId="7328F853" w:rsidR="003B6FED" w:rsidRPr="003B6FED" w:rsidRDefault="003B6FED">
      <w:pPr>
        <w:spacing w:before="240" w:after="240"/>
        <w:jc w:val="both"/>
        <w:rPr>
          <w:rFonts w:ascii="Arial" w:hAnsi="Arial" w:cs="Arial"/>
          <w:sz w:val="22"/>
          <w:szCs w:val="22"/>
        </w:rPr>
      </w:pPr>
      <w:r w:rsidRPr="1B0D0B02">
        <w:rPr>
          <w:rFonts w:ascii="Arial" w:hAnsi="Arial" w:cs="Arial"/>
          <w:sz w:val="22"/>
          <w:szCs w:val="22"/>
        </w:rPr>
        <w:t>Modelový příklad výpočtu je uveden v části Návod</w:t>
      </w:r>
      <w:r w:rsidR="00991200">
        <w:rPr>
          <w:rFonts w:ascii="Arial" w:hAnsi="Arial" w:cs="Arial"/>
          <w:sz w:val="22"/>
          <w:szCs w:val="22"/>
        </w:rPr>
        <w:t xml:space="preserve"> na </w:t>
      </w:r>
      <w:r w:rsidRPr="1B0D0B02">
        <w:rPr>
          <w:rFonts w:ascii="Arial" w:hAnsi="Arial" w:cs="Arial"/>
          <w:sz w:val="22"/>
          <w:szCs w:val="22"/>
        </w:rPr>
        <w:t>výpoč</w:t>
      </w:r>
      <w:r w:rsidR="00991200">
        <w:rPr>
          <w:rFonts w:ascii="Arial" w:hAnsi="Arial" w:cs="Arial"/>
          <w:sz w:val="22"/>
          <w:szCs w:val="22"/>
        </w:rPr>
        <w:t>et</w:t>
      </w:r>
      <w:r w:rsidRPr="1B0D0B02">
        <w:rPr>
          <w:rFonts w:ascii="Arial" w:hAnsi="Arial" w:cs="Arial"/>
          <w:sz w:val="22"/>
          <w:szCs w:val="22"/>
        </w:rPr>
        <w:t>.</w:t>
      </w:r>
    </w:p>
    <w:p w14:paraId="09538449" w14:textId="2F237D00" w:rsidR="00373858" w:rsidRPr="000465C4" w:rsidRDefault="00822000" w:rsidP="002C3E6B">
      <w:pPr>
        <w:keepNext/>
        <w:spacing w:line="276" w:lineRule="auto"/>
        <w:jc w:val="both"/>
        <w:rPr>
          <w:rStyle w:val="Zdraznnintenzivn"/>
          <w:rFonts w:ascii="Arial" w:eastAsiaTheme="minorEastAsia" w:hAnsi="Arial" w:cs="Arial"/>
          <w:b/>
          <w:bCs/>
          <w:caps/>
          <w:color w:val="31849B" w:themeColor="accent5" w:themeShade="BF"/>
          <w:lang w:eastAsia="en-US"/>
        </w:rPr>
      </w:pPr>
      <w:r w:rsidRPr="3FBFF665">
        <w:rPr>
          <w:rStyle w:val="Zdraznnintenzivn"/>
          <w:rFonts w:ascii="Arial" w:eastAsiaTheme="minorEastAsia" w:hAnsi="Arial" w:cs="Arial"/>
          <w:b/>
          <w:bCs/>
          <w:caps/>
          <w:color w:val="31849B" w:themeColor="accent5" w:themeShade="BF"/>
          <w:lang w:eastAsia="en-US"/>
        </w:rPr>
        <w:t>postup vykazování</w:t>
      </w:r>
    </w:p>
    <w:p w14:paraId="0A13694C" w14:textId="553261A6" w:rsidR="008A2193" w:rsidRPr="009A4CBD"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0E6BF5">
        <w:rPr>
          <w:rFonts w:ascii="Arial" w:hAnsi="Arial" w:cs="Arial"/>
          <w:sz w:val="22"/>
          <w:szCs w:val="22"/>
        </w:rPr>
        <w:t>P</w:t>
      </w:r>
      <w:r w:rsidRPr="003E0963">
        <w:rPr>
          <w:rFonts w:ascii="Arial" w:hAnsi="Arial" w:cs="Arial"/>
          <w:sz w:val="22"/>
          <w:szCs w:val="22"/>
        </w:rPr>
        <w:t>očet</w:t>
      </w:r>
      <w:r w:rsidR="00D27F55" w:rsidRPr="003E0963">
        <w:rPr>
          <w:rFonts w:ascii="Arial" w:hAnsi="Arial" w:cs="Arial"/>
          <w:sz w:val="22"/>
          <w:szCs w:val="22"/>
        </w:rPr>
        <w:t xml:space="preserve"> </w:t>
      </w:r>
      <w:r w:rsidR="003E0963" w:rsidRPr="003E0963">
        <w:rPr>
          <w:rFonts w:ascii="Arial" w:hAnsi="Arial" w:cs="Arial"/>
          <w:sz w:val="22"/>
          <w:szCs w:val="22"/>
        </w:rPr>
        <w:t>nových nebo modernizova</w:t>
      </w:r>
      <w:r w:rsidR="003E0963">
        <w:rPr>
          <w:rFonts w:ascii="Arial" w:hAnsi="Arial" w:cs="Arial"/>
          <w:sz w:val="22"/>
          <w:szCs w:val="22"/>
        </w:rPr>
        <w:t>ných prvků</w:t>
      </w:r>
      <w:r w:rsidR="003E0963" w:rsidRPr="003E0963">
        <w:rPr>
          <w:rFonts w:ascii="Arial" w:hAnsi="Arial" w:cs="Arial"/>
          <w:sz w:val="22"/>
          <w:szCs w:val="22"/>
        </w:rPr>
        <w:t xml:space="preserve"> k zajištění standardů kybernetické bezpečnost</w:t>
      </w:r>
      <w:r w:rsidR="000E6BF5">
        <w:rPr>
          <w:rFonts w:ascii="Arial" w:hAnsi="Arial" w:cs="Arial"/>
          <w:sz w:val="22"/>
          <w:szCs w:val="22"/>
        </w:rPr>
        <w:t>i</w:t>
      </w:r>
      <w:r w:rsidR="003E3EA1">
        <w:rPr>
          <w:rFonts w:ascii="Arial" w:hAnsi="Arial" w:cs="Arial"/>
          <w:sz w:val="22"/>
          <w:szCs w:val="22"/>
        </w:rPr>
        <w:t xml:space="preserve">, které se žadatel zavazuje </w:t>
      </w:r>
      <w:r w:rsidR="003E0963">
        <w:rPr>
          <w:rFonts w:ascii="Arial" w:hAnsi="Arial" w:cs="Arial"/>
          <w:color w:val="000000" w:themeColor="text1"/>
          <w:sz w:val="22"/>
          <w:szCs w:val="22"/>
        </w:rPr>
        <w:t>zavést.</w:t>
      </w:r>
      <w:r w:rsidR="003E3EA1" w:rsidRPr="00D27F55">
        <w:rPr>
          <w:rFonts w:ascii="Arial" w:hAnsi="Arial" w:cs="Arial"/>
          <w:color w:val="000000" w:themeColor="text1"/>
          <w:sz w:val="22"/>
          <w:szCs w:val="22"/>
        </w:rPr>
        <w:t xml:space="preserve"> </w:t>
      </w:r>
      <w:r w:rsidR="00D85674" w:rsidRPr="003E0963">
        <w:rPr>
          <w:rFonts w:ascii="Arial" w:hAnsi="Arial" w:cs="Arial"/>
          <w:b/>
          <w:bCs/>
          <w:sz w:val="22"/>
          <w:szCs w:val="22"/>
        </w:rPr>
        <w:t>Žadatel v</w:t>
      </w:r>
      <w:r w:rsidR="002C04B8" w:rsidRPr="003E0963">
        <w:rPr>
          <w:rFonts w:ascii="Arial" w:hAnsi="Arial" w:cs="Arial"/>
          <w:b/>
          <w:bCs/>
          <w:sz w:val="22"/>
          <w:szCs w:val="22"/>
        </w:rPr>
        <w:t xml:space="preserve">e Studii proveditelnosti </w:t>
      </w:r>
      <w:r w:rsidR="00D85674" w:rsidRPr="003E0963">
        <w:rPr>
          <w:rFonts w:ascii="Arial" w:hAnsi="Arial" w:cs="Arial"/>
          <w:b/>
          <w:bCs/>
          <w:sz w:val="22"/>
          <w:szCs w:val="22"/>
        </w:rPr>
        <w:t>uvede způsob výpočtu takovým způsobem, aby jeho výsledek odpovídal cílové hodnotě a bylo možné ho ověřit.</w:t>
      </w:r>
      <w:r w:rsidR="007A3276" w:rsidRPr="009A4CBD">
        <w:rPr>
          <w:rFonts w:ascii="Arial" w:hAnsi="Arial" w:cs="Arial"/>
          <w:b/>
          <w:bCs/>
          <w:sz w:val="22"/>
          <w:szCs w:val="22"/>
        </w:rPr>
        <w:t xml:space="preserve"> </w:t>
      </w:r>
      <w:r w:rsidR="007A3276" w:rsidRPr="009A4CBD">
        <w:rPr>
          <w:rFonts w:ascii="Arial" w:hAnsi="Arial" w:cs="Arial"/>
          <w:sz w:val="22"/>
          <w:szCs w:val="22"/>
        </w:rPr>
        <w:t xml:space="preserve">Tuto hodnotu se příjemce zavazuje </w:t>
      </w:r>
      <w:r w:rsidR="007A3276" w:rsidRPr="009A4CBD">
        <w:rPr>
          <w:rFonts w:ascii="Arial" w:hAnsi="Arial" w:cs="Arial"/>
          <w:sz w:val="22"/>
          <w:szCs w:val="22"/>
        </w:rPr>
        <w:lastRenderedPageBreak/>
        <w:t>naplnit k </w:t>
      </w:r>
      <w:r w:rsidR="007A3276" w:rsidRPr="003E0963">
        <w:rPr>
          <w:rFonts w:ascii="Arial" w:hAnsi="Arial" w:cs="Arial"/>
          <w:sz w:val="22"/>
          <w:szCs w:val="22"/>
        </w:rPr>
        <w:t xml:space="preserve">datu </w:t>
      </w:r>
      <w:r w:rsidR="007A3276" w:rsidRPr="003E0963">
        <w:rPr>
          <w:rFonts w:ascii="Arial" w:hAnsi="Arial" w:cs="Arial"/>
          <w:color w:val="000000" w:themeColor="text1"/>
          <w:sz w:val="22"/>
          <w:szCs w:val="22"/>
        </w:rPr>
        <w:t>ukončení realizace</w:t>
      </w:r>
      <w:r w:rsidR="002C04B8" w:rsidRPr="003E0963">
        <w:rPr>
          <w:rFonts w:ascii="Arial" w:hAnsi="Arial" w:cs="Arial"/>
          <w:color w:val="000000" w:themeColor="text1"/>
          <w:sz w:val="22"/>
          <w:szCs w:val="22"/>
        </w:rPr>
        <w:t xml:space="preserve"> projektu </w:t>
      </w:r>
      <w:r w:rsidR="007A3276" w:rsidRPr="003E0963">
        <w:rPr>
          <w:rFonts w:ascii="Arial" w:hAnsi="Arial" w:cs="Arial"/>
          <w:sz w:val="22"/>
          <w:szCs w:val="22"/>
        </w:rPr>
        <w:t>a o</w:t>
      </w:r>
      <w:r w:rsidR="002C04B8" w:rsidRPr="003E0963">
        <w:rPr>
          <w:rFonts w:ascii="Arial" w:hAnsi="Arial" w:cs="Arial"/>
          <w:sz w:val="22"/>
          <w:szCs w:val="22"/>
        </w:rPr>
        <w:t>d</w:t>
      </w:r>
      <w:r w:rsidR="007A3276" w:rsidRPr="003E0963">
        <w:rPr>
          <w:rFonts w:ascii="Arial" w:hAnsi="Arial" w:cs="Arial"/>
          <w:sz w:val="22"/>
          <w:szCs w:val="22"/>
        </w:rPr>
        <w:t xml:space="preserve"> tohoto</w:t>
      </w:r>
      <w:r w:rsidR="007A3276" w:rsidRPr="009A4CBD">
        <w:rPr>
          <w:rFonts w:ascii="Arial" w:hAnsi="Arial" w:cs="Arial"/>
          <w:sz w:val="22"/>
          <w:szCs w:val="22"/>
        </w:rPr>
        <w:t xml:space="preserve"> okamžiku udržet až do konce udržitelnosti projektu.</w:t>
      </w:r>
      <w:r w:rsidR="0084772A" w:rsidRPr="009A4CBD">
        <w:rPr>
          <w:rFonts w:ascii="Arial" w:hAnsi="Arial" w:cs="Arial"/>
          <w:sz w:val="22"/>
          <w:szCs w:val="22"/>
        </w:rPr>
        <w:t xml:space="preserve"> </w:t>
      </w:r>
    </w:p>
    <w:p w14:paraId="5B954E88" w14:textId="08D909BB" w:rsidR="00184DE7" w:rsidRPr="003E0963" w:rsidRDefault="0084772A" w:rsidP="00822000">
      <w:pPr>
        <w:spacing w:after="200" w:line="276" w:lineRule="auto"/>
        <w:jc w:val="both"/>
        <w:rPr>
          <w:rFonts w:ascii="Arial" w:hAnsi="Arial" w:cs="Arial"/>
          <w:color w:val="FF0000"/>
          <w:sz w:val="22"/>
          <w:szCs w:val="22"/>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3E0963">
        <w:rPr>
          <w:rFonts w:ascii="Arial" w:hAnsi="Arial" w:cs="Arial"/>
          <w:sz w:val="22"/>
          <w:szCs w:val="22"/>
        </w:rPr>
        <w:t xml:space="preserve">Žadatel </w:t>
      </w:r>
      <w:r w:rsidRPr="003E0963">
        <w:rPr>
          <w:rFonts w:ascii="Arial" w:hAnsi="Arial" w:cs="Arial"/>
          <w:sz w:val="22"/>
          <w:szCs w:val="22"/>
        </w:rPr>
        <w:t>v žádosti o podporu stanovuje jako datum ukončení realizace</w:t>
      </w:r>
      <w:r w:rsidR="000465C4" w:rsidRPr="003E0963">
        <w:rPr>
          <w:rFonts w:ascii="Arial" w:hAnsi="Arial" w:cs="Arial"/>
          <w:sz w:val="22"/>
          <w:szCs w:val="22"/>
        </w:rPr>
        <w:t xml:space="preserve"> projektu</w:t>
      </w:r>
      <w:r w:rsidR="003E0963" w:rsidRPr="003E0963">
        <w:rPr>
          <w:rFonts w:ascii="Arial" w:hAnsi="Arial" w:cs="Arial"/>
          <w:sz w:val="22"/>
          <w:szCs w:val="22"/>
        </w:rPr>
        <w:t xml:space="preserve">. </w:t>
      </w:r>
      <w:r w:rsidR="003E3EA1" w:rsidRPr="003E0963">
        <w:rPr>
          <w:rFonts w:ascii="Arial" w:hAnsi="Arial" w:cs="Arial"/>
          <w:sz w:val="22"/>
          <w:szCs w:val="22"/>
        </w:rPr>
        <w:t>Toto datum se považuje za Rozhodné datum pro naplnění indikátoru a jsou k němu vztahovány další postupy v době udržitelnosti.</w:t>
      </w:r>
    </w:p>
    <w:p w14:paraId="407446C8" w14:textId="128B7BDB" w:rsidR="0084772A" w:rsidRPr="009A4CBD" w:rsidRDefault="00184DE7" w:rsidP="00822000">
      <w:pPr>
        <w:spacing w:after="200" w:line="276" w:lineRule="auto"/>
        <w:jc w:val="both"/>
        <w:rPr>
          <w:rFonts w:ascii="Arial" w:hAnsi="Arial" w:cs="Arial"/>
          <w:sz w:val="22"/>
          <w:szCs w:val="22"/>
        </w:rPr>
      </w:pPr>
      <w:r w:rsidRPr="003E0963">
        <w:rPr>
          <w:rFonts w:ascii="Arial" w:hAnsi="Arial" w:cs="Arial"/>
          <w:sz w:val="22"/>
          <w:szCs w:val="22"/>
        </w:rPr>
        <w:t>Datum je</w:t>
      </w:r>
      <w:r w:rsidR="00690293" w:rsidRPr="003E0963">
        <w:rPr>
          <w:rFonts w:ascii="Arial" w:hAnsi="Arial" w:cs="Arial"/>
          <w:sz w:val="22"/>
          <w:szCs w:val="22"/>
        </w:rPr>
        <w:t xml:space="preserve"> nutné</w:t>
      </w:r>
      <w:r w:rsidRPr="003E0963">
        <w:rPr>
          <w:rFonts w:ascii="Arial" w:hAnsi="Arial" w:cs="Arial"/>
          <w:sz w:val="22"/>
          <w:szCs w:val="22"/>
        </w:rPr>
        <w:t xml:space="preserve"> při případném prodloužení realizace projektu udržovat aktuální, tj. v souladu s výše uvedeným.</w:t>
      </w:r>
    </w:p>
    <w:p w14:paraId="0990AFD1" w14:textId="0956F80B" w:rsidR="008A2193" w:rsidRDefault="008A2193" w:rsidP="00822000">
      <w:pPr>
        <w:spacing w:after="200" w:line="276" w:lineRule="auto"/>
        <w:jc w:val="both"/>
        <w:rPr>
          <w:rFonts w:ascii="Arial" w:hAnsi="Arial" w:cs="Arial"/>
          <w:sz w:val="22"/>
          <w:szCs w:val="22"/>
        </w:rPr>
      </w:pPr>
      <w:r w:rsidRPr="01498D3D">
        <w:rPr>
          <w:rFonts w:ascii="Arial" w:hAnsi="Arial" w:cs="Arial"/>
          <w:b/>
          <w:bCs/>
          <w:sz w:val="22"/>
          <w:szCs w:val="22"/>
        </w:rPr>
        <w:t>Dosažená hodnota:</w:t>
      </w:r>
      <w:r w:rsidRPr="01498D3D">
        <w:rPr>
          <w:rFonts w:ascii="Arial" w:hAnsi="Arial" w:cs="Arial"/>
          <w:sz w:val="22"/>
          <w:szCs w:val="22"/>
        </w:rPr>
        <w:t xml:space="preserve"> Skutečný počet</w:t>
      </w:r>
      <w:r w:rsidR="000E6BF5" w:rsidRPr="01498D3D">
        <w:rPr>
          <w:rFonts w:ascii="Arial" w:hAnsi="Arial" w:cs="Arial"/>
          <w:sz w:val="22"/>
          <w:szCs w:val="22"/>
        </w:rPr>
        <w:t xml:space="preserve"> zavedených nových nebo modernizovaných prvků k</w:t>
      </w:r>
      <w:r w:rsidR="0027694C">
        <w:rPr>
          <w:rFonts w:ascii="Arial" w:hAnsi="Arial" w:cs="Arial"/>
          <w:sz w:val="22"/>
          <w:szCs w:val="22"/>
        </w:rPr>
        <w:t> </w:t>
      </w:r>
      <w:r w:rsidR="000E6BF5" w:rsidRPr="01498D3D">
        <w:rPr>
          <w:rFonts w:ascii="Arial" w:hAnsi="Arial" w:cs="Arial"/>
          <w:sz w:val="22"/>
          <w:szCs w:val="22"/>
        </w:rPr>
        <w:t>zajištění standardů kybernetické bezpečnosti</w:t>
      </w:r>
      <w:r w:rsidR="007A3276" w:rsidRPr="01498D3D">
        <w:rPr>
          <w:rFonts w:ascii="Arial" w:hAnsi="Arial" w:cs="Arial"/>
          <w:sz w:val="22"/>
          <w:szCs w:val="22"/>
        </w:rPr>
        <w:t xml:space="preserve">. </w:t>
      </w:r>
      <w:r w:rsidR="003E3EA1" w:rsidRPr="01498D3D">
        <w:rPr>
          <w:rFonts w:ascii="Arial" w:hAnsi="Arial" w:cs="Arial"/>
          <w:sz w:val="22"/>
          <w:szCs w:val="22"/>
        </w:rPr>
        <w:t>Hodnotu je nutné poprvé vykázat nejpozději k</w:t>
      </w:r>
      <w:r w:rsidR="0027694C">
        <w:rPr>
          <w:rFonts w:ascii="Arial" w:hAnsi="Arial" w:cs="Arial"/>
          <w:sz w:val="22"/>
          <w:szCs w:val="22"/>
        </w:rPr>
        <w:t> </w:t>
      </w:r>
      <w:r w:rsidR="003E3EA1" w:rsidRPr="01498D3D">
        <w:rPr>
          <w:rFonts w:ascii="Arial" w:hAnsi="Arial" w:cs="Arial"/>
          <w:sz w:val="22"/>
          <w:szCs w:val="22"/>
        </w:rPr>
        <w:t>Rozhodnému datu, tedy v Závěrečné zprávě o realizaci</w:t>
      </w:r>
      <w:r w:rsidR="00690293" w:rsidRPr="01498D3D">
        <w:rPr>
          <w:rFonts w:ascii="Arial" w:hAnsi="Arial" w:cs="Arial"/>
          <w:sz w:val="22"/>
          <w:szCs w:val="22"/>
        </w:rPr>
        <w:t xml:space="preserve"> k datu ukončení realizace projektu</w:t>
      </w:r>
      <w:r w:rsidR="000E6BF5" w:rsidRPr="01498D3D">
        <w:rPr>
          <w:rFonts w:ascii="Arial" w:hAnsi="Arial" w:cs="Arial"/>
          <w:sz w:val="22"/>
          <w:szCs w:val="22"/>
        </w:rPr>
        <w:t xml:space="preserve">. </w:t>
      </w:r>
      <w:r w:rsidR="00690293" w:rsidRPr="01498D3D">
        <w:rPr>
          <w:rFonts w:ascii="Arial" w:hAnsi="Arial" w:cs="Arial"/>
          <w:sz w:val="22"/>
          <w:szCs w:val="22"/>
        </w:rPr>
        <w:t xml:space="preserve">Tímto </w:t>
      </w:r>
      <w:r w:rsidR="003E3EA1" w:rsidRPr="01498D3D">
        <w:rPr>
          <w:rFonts w:ascii="Arial" w:hAnsi="Arial" w:cs="Arial"/>
          <w:sz w:val="22"/>
          <w:szCs w:val="22"/>
        </w:rPr>
        <w:t xml:space="preserve">projekt </w:t>
      </w:r>
      <w:r w:rsidR="00690293" w:rsidRPr="01498D3D">
        <w:rPr>
          <w:rFonts w:ascii="Arial" w:hAnsi="Arial" w:cs="Arial"/>
          <w:sz w:val="22"/>
          <w:szCs w:val="22"/>
        </w:rPr>
        <w:t xml:space="preserve">prokazuje </w:t>
      </w:r>
      <w:r w:rsidR="003E3EA1" w:rsidRPr="01498D3D">
        <w:rPr>
          <w:rFonts w:ascii="Arial" w:hAnsi="Arial" w:cs="Arial"/>
          <w:sz w:val="22"/>
          <w:szCs w:val="22"/>
        </w:rPr>
        <w:t>naplnění stanovené hodnoty svojí realizací.</w:t>
      </w:r>
    </w:p>
    <w:p w14:paraId="4011E333" w14:textId="48A16B35"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r w:rsidR="0027694C">
        <w:rPr>
          <w:rFonts w:ascii="Arial" w:hAnsi="Arial" w:cs="Arial"/>
          <w:sz w:val="22"/>
          <w:szCs w:val="22"/>
        </w:rPr>
        <w:t xml:space="preserve"> </w:t>
      </w:r>
      <w:r w:rsidR="0027694C" w:rsidRPr="0027694C">
        <w:rPr>
          <w:rFonts w:ascii="Arial" w:hAnsi="Arial" w:cs="Arial"/>
          <w:sz w:val="22"/>
          <w:szCs w:val="22"/>
        </w:rPr>
        <w:t xml:space="preserve">Pokud v době udržitelnosti dojde ke spojení funkcí několika informačních systémů do rozšířeného/nového IS, aniž by byl negativně ovlivněn rozsah poskytovaných služeb či agend, nepovažuje se taková změna za snížení dosažené hodnoty indikátoru (množství zabezpečeného „výkonu“ IS zůstává shodné), nicméně tato skutečnost musí být v rámci </w:t>
      </w:r>
      <w:proofErr w:type="spellStart"/>
      <w:r w:rsidR="0027694C" w:rsidRPr="0027694C">
        <w:rPr>
          <w:rFonts w:ascii="Arial" w:hAnsi="Arial" w:cs="Arial"/>
          <w:sz w:val="22"/>
          <w:szCs w:val="22"/>
        </w:rPr>
        <w:t>ZoU</w:t>
      </w:r>
      <w:proofErr w:type="spellEnd"/>
      <w:r w:rsidR="0027694C" w:rsidRPr="0027694C">
        <w:rPr>
          <w:rFonts w:ascii="Arial" w:hAnsi="Arial" w:cs="Arial"/>
          <w:sz w:val="22"/>
          <w:szCs w:val="22"/>
        </w:rPr>
        <w:t xml:space="preserve"> popsána a zdůvodněna.</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1498D3D">
        <w:trPr>
          <w:trHeight w:val="1793"/>
        </w:trPr>
        <w:tc>
          <w:tcPr>
            <w:tcW w:w="4575" w:type="dxa"/>
          </w:tcPr>
          <w:p w14:paraId="02234105" w14:textId="5F77FB25" w:rsidR="007A3276" w:rsidRPr="009A4CBD" w:rsidRDefault="007A3276" w:rsidP="006A09C6">
            <w:pPr>
              <w:spacing w:before="120" w:after="120" w:line="276" w:lineRule="auto"/>
              <w:ind w:left="52"/>
              <w:jc w:val="both"/>
              <w:rPr>
                <w:rFonts w:ascii="Arial" w:hAnsi="Arial" w:cs="Arial"/>
                <w:b/>
                <w:bCs/>
                <w:sz w:val="22"/>
                <w:szCs w:val="22"/>
              </w:rPr>
            </w:pPr>
            <w:r w:rsidRPr="009A4CBD">
              <w:rPr>
                <w:rFonts w:ascii="Arial" w:hAnsi="Arial" w:cs="Arial"/>
                <w:b/>
                <w:bCs/>
                <w:sz w:val="22"/>
                <w:szCs w:val="22"/>
              </w:rPr>
              <w:t>V Závěrečné zprávě</w:t>
            </w:r>
            <w:r w:rsidR="007A77B8" w:rsidRPr="009A4CBD">
              <w:rPr>
                <w:rFonts w:ascii="Arial" w:hAnsi="Arial" w:cs="Arial"/>
                <w:b/>
                <w:bCs/>
                <w:sz w:val="22"/>
                <w:szCs w:val="22"/>
              </w:rPr>
              <w:t xml:space="preserve"> o realizaci projektu</w:t>
            </w:r>
            <w:r w:rsidRPr="009A4CBD">
              <w:rPr>
                <w:rFonts w:ascii="Arial" w:hAnsi="Arial" w:cs="Arial"/>
                <w:b/>
                <w:bCs/>
                <w:sz w:val="22"/>
                <w:szCs w:val="22"/>
              </w:rPr>
              <w:t>:</w:t>
            </w:r>
          </w:p>
          <w:p w14:paraId="1A0B8066" w14:textId="64043C20" w:rsidR="007A3276" w:rsidRPr="00092BD6" w:rsidRDefault="00092BD6" w:rsidP="0066441E">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fotodokumentace;</w:t>
            </w:r>
          </w:p>
          <w:p w14:paraId="4911DE47" w14:textId="27FCB02C" w:rsidR="007A3276" w:rsidRDefault="00092BD6" w:rsidP="0066441E">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a</w:t>
            </w:r>
            <w:r w:rsidRPr="00092BD6">
              <w:rPr>
                <w:rFonts w:ascii="Arial" w:hAnsi="Arial" w:cs="Arial"/>
                <w:sz w:val="22"/>
                <w:szCs w:val="22"/>
              </w:rPr>
              <w:t>kceptační protokol</w:t>
            </w:r>
            <w:r>
              <w:rPr>
                <w:rFonts w:ascii="Arial" w:hAnsi="Arial" w:cs="Arial"/>
                <w:sz w:val="22"/>
                <w:szCs w:val="22"/>
              </w:rPr>
              <w:t>;</w:t>
            </w:r>
          </w:p>
          <w:p w14:paraId="23FF5DDB" w14:textId="5CDAC60A" w:rsidR="006A09C6" w:rsidRPr="006A09C6" w:rsidRDefault="006A09C6" w:rsidP="0066441E">
            <w:pPr>
              <w:pStyle w:val="Odstavecseseznamem"/>
              <w:numPr>
                <w:ilvl w:val="0"/>
                <w:numId w:val="36"/>
              </w:numPr>
              <w:spacing w:before="120" w:after="120"/>
              <w:ind w:left="269" w:hanging="218"/>
              <w:contextualSpacing w:val="0"/>
              <w:jc w:val="both"/>
              <w:rPr>
                <w:rFonts w:ascii="Arial" w:hAnsi="Arial" w:cs="Arial"/>
                <w:sz w:val="22"/>
                <w:szCs w:val="22"/>
              </w:rPr>
            </w:pPr>
            <w:r w:rsidRPr="006A09C6">
              <w:rPr>
                <w:rFonts w:ascii="Arial" w:hAnsi="Arial" w:cs="Arial"/>
                <w:sz w:val="22"/>
                <w:szCs w:val="22"/>
              </w:rPr>
              <w:t>doklad o zprovoznění přístrojového vybavení a zaškolení personálu;</w:t>
            </w:r>
          </w:p>
          <w:p w14:paraId="57BF392A" w14:textId="79203C11" w:rsidR="003E3EA1" w:rsidRDefault="00092BD6" w:rsidP="0066441E">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d</w:t>
            </w:r>
            <w:r w:rsidR="003E3EA1" w:rsidRPr="00092BD6">
              <w:rPr>
                <w:rFonts w:ascii="Arial" w:hAnsi="Arial" w:cs="Arial"/>
                <w:sz w:val="22"/>
                <w:szCs w:val="22"/>
              </w:rPr>
              <w:t>oklad o předání a převzetí díla</w:t>
            </w:r>
            <w:r>
              <w:rPr>
                <w:rFonts w:ascii="Arial" w:hAnsi="Arial" w:cs="Arial"/>
                <w:sz w:val="22"/>
                <w:szCs w:val="22"/>
              </w:rPr>
              <w:t>;</w:t>
            </w:r>
          </w:p>
          <w:p w14:paraId="6BCD25B8" w14:textId="7D9C62B3" w:rsidR="003E3EA1" w:rsidRPr="00092BD6" w:rsidRDefault="00092BD6" w:rsidP="01498D3D">
            <w:pPr>
              <w:pStyle w:val="Odstavecseseznamem"/>
              <w:numPr>
                <w:ilvl w:val="0"/>
                <w:numId w:val="36"/>
              </w:numPr>
              <w:spacing w:before="120" w:after="120"/>
              <w:ind w:left="269" w:hanging="218"/>
              <w:jc w:val="both"/>
              <w:rPr>
                <w:rFonts w:ascii="Arial" w:hAnsi="Arial" w:cs="Arial"/>
                <w:sz w:val="22"/>
                <w:szCs w:val="22"/>
              </w:rPr>
            </w:pPr>
            <w:r w:rsidRPr="01498D3D">
              <w:rPr>
                <w:rFonts w:ascii="Arial" w:hAnsi="Arial" w:cs="Arial"/>
                <w:sz w:val="22"/>
                <w:szCs w:val="22"/>
              </w:rPr>
              <w:t>kolaudační souhlas nebo kolaudační rozhodnutí, nebo rozhodnutí o povolení k</w:t>
            </w:r>
            <w:r w:rsidR="000875BA">
              <w:rPr>
                <w:rFonts w:ascii="Arial" w:hAnsi="Arial" w:cs="Arial"/>
                <w:sz w:val="22"/>
                <w:szCs w:val="22"/>
              </w:rPr>
              <w:t xml:space="preserve"> </w:t>
            </w:r>
            <w:r w:rsidRPr="01498D3D">
              <w:rPr>
                <w:rFonts w:ascii="Arial" w:hAnsi="Arial" w:cs="Arial"/>
                <w:sz w:val="22"/>
                <w:szCs w:val="22"/>
              </w:rPr>
              <w:t>předčasnému užívání stavby.</w:t>
            </w:r>
          </w:p>
        </w:tc>
        <w:tc>
          <w:tcPr>
            <w:tcW w:w="4691" w:type="dxa"/>
          </w:tcPr>
          <w:p w14:paraId="3BFA7394" w14:textId="61E2DF7C" w:rsidR="007A3276" w:rsidRPr="0010396E" w:rsidRDefault="007A3276" w:rsidP="006A09C6">
            <w:pPr>
              <w:spacing w:before="120" w:after="120" w:line="276" w:lineRule="auto"/>
              <w:jc w:val="both"/>
              <w:rPr>
                <w:rFonts w:ascii="Arial" w:hAnsi="Arial" w:cs="Arial"/>
                <w:b/>
                <w:bCs/>
                <w:sz w:val="22"/>
                <w:szCs w:val="22"/>
              </w:rPr>
            </w:pPr>
            <w:r w:rsidRPr="0010396E">
              <w:rPr>
                <w:rFonts w:ascii="Arial" w:hAnsi="Arial" w:cs="Arial"/>
                <w:b/>
                <w:bCs/>
                <w:sz w:val="22"/>
                <w:szCs w:val="22"/>
              </w:rPr>
              <w:t xml:space="preserve">V </w:t>
            </w:r>
            <w:r w:rsidR="00291A5A" w:rsidRPr="0010396E">
              <w:rPr>
                <w:rFonts w:ascii="Arial" w:hAnsi="Arial" w:cs="Arial"/>
                <w:b/>
                <w:bCs/>
                <w:sz w:val="22"/>
                <w:szCs w:val="22"/>
              </w:rPr>
              <w:t>1.</w:t>
            </w:r>
            <w:r w:rsidRPr="0010396E">
              <w:rPr>
                <w:rFonts w:ascii="Arial" w:hAnsi="Arial" w:cs="Arial"/>
                <w:b/>
                <w:bCs/>
                <w:sz w:val="22"/>
                <w:szCs w:val="22"/>
              </w:rPr>
              <w:t xml:space="preserve"> Zprávě o udržitelnosti projektu:</w:t>
            </w:r>
            <w:r w:rsidRPr="0010396E">
              <w:rPr>
                <w:rFonts w:ascii="Arial" w:hAnsi="Arial" w:cs="Arial"/>
                <w:b/>
                <w:bCs/>
                <w:sz w:val="28"/>
                <w:szCs w:val="28"/>
              </w:rPr>
              <w:t xml:space="preserve"> </w:t>
            </w:r>
          </w:p>
          <w:p w14:paraId="68A84354" w14:textId="61E850AC" w:rsidR="007A3276" w:rsidRPr="0010396E" w:rsidRDefault="5F007F4B" w:rsidP="0010396E">
            <w:pPr>
              <w:pStyle w:val="Odstavecseseznamem"/>
              <w:numPr>
                <w:ilvl w:val="0"/>
                <w:numId w:val="36"/>
              </w:numPr>
              <w:spacing w:line="276" w:lineRule="auto"/>
              <w:ind w:left="373"/>
              <w:jc w:val="both"/>
              <w:rPr>
                <w:rFonts w:ascii="Arial" w:hAnsi="Arial" w:cs="Arial"/>
                <w:b/>
                <w:bCs/>
                <w:sz w:val="22"/>
                <w:szCs w:val="22"/>
              </w:rPr>
            </w:pPr>
            <w:r w:rsidRPr="01498D3D">
              <w:rPr>
                <w:rFonts w:ascii="Arial" w:hAnsi="Arial" w:cs="Arial"/>
                <w:sz w:val="22"/>
                <w:szCs w:val="22"/>
              </w:rPr>
              <w:t>kolaudační souhlas nebo kolaudační rozhodnutí, pokud nebylo doloženo v</w:t>
            </w:r>
            <w:r w:rsidR="00B86B49">
              <w:rPr>
                <w:rFonts w:ascii="Arial" w:hAnsi="Arial" w:cs="Arial"/>
                <w:sz w:val="22"/>
                <w:szCs w:val="22"/>
              </w:rPr>
              <w:t xml:space="preserve"> </w:t>
            </w:r>
            <w:r w:rsidRPr="01498D3D">
              <w:rPr>
                <w:rFonts w:ascii="Arial" w:hAnsi="Arial" w:cs="Arial"/>
                <w:sz w:val="22"/>
                <w:szCs w:val="22"/>
              </w:rPr>
              <w:t>Závěrečné zprávě o realizaci projektu.</w:t>
            </w:r>
          </w:p>
        </w:tc>
      </w:tr>
    </w:tbl>
    <w:p w14:paraId="4B297C5A" w14:textId="09E0E990"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00690293" w:rsidRPr="000E6BF5">
        <w:rPr>
          <w:rFonts w:ascii="Arial" w:hAnsi="Arial" w:cs="Arial"/>
          <w:sz w:val="22"/>
          <w:szCs w:val="22"/>
        </w:rPr>
        <w:t xml:space="preserve">relevantní </w:t>
      </w:r>
      <w:r w:rsidRPr="000E6BF5">
        <w:rPr>
          <w:rFonts w:ascii="Arial" w:hAnsi="Arial" w:cs="Arial"/>
          <w:sz w:val="22"/>
          <w:szCs w:val="22"/>
        </w:rPr>
        <w:t>uvedené dokumenty</w:t>
      </w:r>
      <w:r w:rsidRPr="009A4CBD">
        <w:rPr>
          <w:rFonts w:ascii="Arial" w:hAnsi="Arial" w:cs="Arial"/>
          <w:sz w:val="22"/>
          <w:szCs w:val="22"/>
        </w:rPr>
        <w:t>.</w:t>
      </w:r>
      <w:r w:rsidR="00441B57">
        <w:rPr>
          <w:rFonts w:ascii="Arial" w:hAnsi="Arial" w:cs="Arial"/>
          <w:sz w:val="22"/>
          <w:szCs w:val="22"/>
        </w:rPr>
        <w:t xml:space="preserve"> Pokud v době udržitelnosti dojde ke změnám, bude v nejbližší následující Zprávě o udržitelnosti </w:t>
      </w:r>
      <w:r w:rsidR="007F7F35">
        <w:rPr>
          <w:rFonts w:ascii="Arial" w:hAnsi="Arial" w:cs="Arial"/>
          <w:sz w:val="22"/>
          <w:szCs w:val="22"/>
        </w:rPr>
        <w:t xml:space="preserve">projektu </w:t>
      </w:r>
      <w:r w:rsidR="00441B57">
        <w:rPr>
          <w:rFonts w:ascii="Arial" w:hAnsi="Arial" w:cs="Arial"/>
          <w:sz w:val="22"/>
          <w:szCs w:val="22"/>
        </w:rPr>
        <w:t xml:space="preserve">vykázána aktualizovaná hodnota, včetně data, od kterého platí. </w:t>
      </w:r>
      <w:r w:rsidR="00AF3D0A" w:rsidRPr="00AF3D0A">
        <w:rPr>
          <w:rFonts w:ascii="Arial" w:hAnsi="Arial" w:cs="Arial"/>
          <w:sz w:val="22"/>
          <w:szCs w:val="22"/>
        </w:rPr>
        <w:t>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4B73D90F" w14:textId="679A833A" w:rsidR="00AF3D0A" w:rsidRDefault="008A2193" w:rsidP="00822000">
      <w:pPr>
        <w:spacing w:after="200" w:line="276" w:lineRule="auto"/>
        <w:jc w:val="both"/>
        <w:rPr>
          <w:rFonts w:ascii="Arial" w:hAnsi="Arial" w:cs="Arial"/>
          <w:sz w:val="22"/>
          <w:szCs w:val="22"/>
        </w:rPr>
      </w:pPr>
      <w:r w:rsidRPr="01498D3D">
        <w:rPr>
          <w:rFonts w:ascii="Arial" w:hAnsi="Arial" w:cs="Arial"/>
          <w:sz w:val="22"/>
          <w:szCs w:val="22"/>
        </w:rPr>
        <w:t>Ž</w:t>
      </w:r>
      <w:r w:rsidR="0084772A" w:rsidRPr="01498D3D">
        <w:rPr>
          <w:rFonts w:ascii="Arial" w:hAnsi="Arial" w:cs="Arial"/>
          <w:sz w:val="22"/>
          <w:szCs w:val="22"/>
        </w:rPr>
        <w:t>ádná, p</w:t>
      </w:r>
      <w:r w:rsidRPr="01498D3D">
        <w:rPr>
          <w:rFonts w:ascii="Arial" w:hAnsi="Arial" w:cs="Arial"/>
          <w:sz w:val="22"/>
          <w:szCs w:val="22"/>
        </w:rPr>
        <w:t>okud není dosažena cílová hodnota</w:t>
      </w:r>
      <w:r w:rsidR="00E71619" w:rsidRPr="01498D3D">
        <w:rPr>
          <w:rFonts w:ascii="Arial" w:hAnsi="Arial" w:cs="Arial"/>
          <w:sz w:val="22"/>
          <w:szCs w:val="22"/>
        </w:rPr>
        <w:t>, bude postupováno dle Podmínek Právního aktu</w:t>
      </w:r>
      <w:r w:rsidR="001A1B79" w:rsidRPr="01498D3D">
        <w:rPr>
          <w:rFonts w:ascii="Arial" w:hAnsi="Arial" w:cs="Arial"/>
          <w:sz w:val="22"/>
          <w:szCs w:val="22"/>
        </w:rPr>
        <w:t xml:space="preserve"> </w:t>
      </w:r>
      <w:r w:rsidR="00E71619" w:rsidRPr="01498D3D">
        <w:rPr>
          <w:rFonts w:ascii="Arial" w:hAnsi="Arial" w:cs="Arial"/>
          <w:sz w:val="22"/>
          <w:szCs w:val="22"/>
        </w:rPr>
        <w:t>/</w:t>
      </w:r>
      <w:r w:rsidR="001A1B79" w:rsidRPr="01498D3D">
        <w:rPr>
          <w:rFonts w:ascii="Arial" w:hAnsi="Arial" w:cs="Arial"/>
          <w:sz w:val="22"/>
          <w:szCs w:val="22"/>
        </w:rPr>
        <w:t xml:space="preserve"> </w:t>
      </w:r>
      <w:r w:rsidR="00E71619" w:rsidRPr="01498D3D">
        <w:rPr>
          <w:rFonts w:ascii="Arial" w:hAnsi="Arial" w:cs="Arial"/>
          <w:sz w:val="22"/>
          <w:szCs w:val="22"/>
        </w:rPr>
        <w:t>Rozhodnutí</w:t>
      </w:r>
      <w:r w:rsidRPr="01498D3D">
        <w:rPr>
          <w:rFonts w:ascii="Arial" w:hAnsi="Arial" w:cs="Arial"/>
          <w:sz w:val="22"/>
          <w:szCs w:val="22"/>
        </w:rPr>
        <w:t xml:space="preserve">. </w:t>
      </w:r>
      <w:r w:rsidR="00AF3D0A" w:rsidRPr="01498D3D">
        <w:rPr>
          <w:rFonts w:ascii="Arial" w:hAnsi="Arial" w:cs="Arial"/>
          <w:sz w:val="22"/>
          <w:szCs w:val="22"/>
        </w:rPr>
        <w:t xml:space="preserve">Pokud se během realizace projektu objeví skutečnosti, které </w:t>
      </w:r>
      <w:r w:rsidR="000875BA" w:rsidRPr="01498D3D">
        <w:rPr>
          <w:rFonts w:ascii="Arial" w:hAnsi="Arial" w:cs="Arial"/>
          <w:sz w:val="22"/>
          <w:szCs w:val="22"/>
        </w:rPr>
        <w:t>povedou k</w:t>
      </w:r>
      <w:r w:rsidR="000875BA">
        <w:rPr>
          <w:rFonts w:ascii="Arial" w:hAnsi="Arial" w:cs="Arial"/>
          <w:sz w:val="22"/>
          <w:szCs w:val="22"/>
        </w:rPr>
        <w:t xml:space="preserve"> nenaplnění</w:t>
      </w:r>
      <w:r w:rsidR="00AF3D0A" w:rsidRPr="01498D3D">
        <w:rPr>
          <w:rFonts w:ascii="Arial" w:hAnsi="Arial" w:cs="Arial"/>
          <w:sz w:val="22"/>
          <w:szCs w:val="22"/>
        </w:rPr>
        <w:t xml:space="preserve"> cílové hodnoty, je možné ze strany příjemce iniciovat změnové řízení, kde příjemce zdůvodní nutnost změny cílové hodnoty indikátoru a navrhne úpravy projektu, které poměrově zohlední změnu hodnoty, například </w:t>
      </w:r>
      <w:r w:rsidR="0064281D" w:rsidRPr="01498D3D">
        <w:rPr>
          <w:rFonts w:ascii="Arial" w:hAnsi="Arial" w:cs="Arial"/>
          <w:sz w:val="22"/>
          <w:szCs w:val="22"/>
        </w:rPr>
        <w:t>s</w:t>
      </w:r>
      <w:r w:rsidR="00AF3D0A" w:rsidRPr="01498D3D">
        <w:rPr>
          <w:rFonts w:ascii="Arial" w:hAnsi="Arial" w:cs="Arial"/>
          <w:sz w:val="22"/>
          <w:szCs w:val="22"/>
        </w:rPr>
        <w:t xml:space="preserve">nížením přímých výdajů projektu vážících se na daný výstup. V takovém případě bude možné tuto žádost </w:t>
      </w:r>
      <w:r w:rsidR="006A4A02" w:rsidRPr="01498D3D">
        <w:rPr>
          <w:rFonts w:ascii="Arial" w:hAnsi="Arial" w:cs="Arial"/>
          <w:sz w:val="22"/>
          <w:szCs w:val="22"/>
        </w:rPr>
        <w:t>posoudit a</w:t>
      </w:r>
      <w:r w:rsidR="00AF3D0A" w:rsidRPr="01498D3D">
        <w:rPr>
          <w:rFonts w:ascii="Arial" w:hAnsi="Arial" w:cs="Arial"/>
          <w:sz w:val="22"/>
          <w:szCs w:val="22"/>
        </w:rPr>
        <w:t xml:space="preserve"> rozhodnout, zda lze cílovou hodnotu snížit. </w:t>
      </w:r>
    </w:p>
    <w:p w14:paraId="38AA3078" w14:textId="5F59E96E" w:rsidR="00151D2B" w:rsidRDefault="00690293" w:rsidP="00822000">
      <w:pPr>
        <w:spacing w:after="200" w:line="276" w:lineRule="auto"/>
        <w:jc w:val="both"/>
        <w:rPr>
          <w:rFonts w:ascii="Arial" w:hAnsi="Arial" w:cs="Arial"/>
          <w:sz w:val="22"/>
          <w:szCs w:val="22"/>
        </w:rPr>
      </w:pPr>
      <w:r w:rsidRPr="01498D3D">
        <w:rPr>
          <w:rFonts w:ascii="Arial" w:hAnsi="Arial" w:cs="Arial"/>
          <w:sz w:val="22"/>
          <w:szCs w:val="22"/>
        </w:rPr>
        <w:lastRenderedPageBreak/>
        <w:t>Když</w:t>
      </w:r>
      <w:r w:rsidR="00FE118B" w:rsidRPr="01498D3D">
        <w:rPr>
          <w:rFonts w:ascii="Arial" w:hAnsi="Arial" w:cs="Arial"/>
          <w:sz w:val="22"/>
          <w:szCs w:val="22"/>
        </w:rPr>
        <w:t xml:space="preserve"> tak příjemce neučiní</w:t>
      </w:r>
      <w:r w:rsidRPr="01498D3D">
        <w:rPr>
          <w:rFonts w:ascii="Arial" w:hAnsi="Arial" w:cs="Arial"/>
          <w:sz w:val="22"/>
          <w:szCs w:val="22"/>
        </w:rPr>
        <w:t>,</w:t>
      </w:r>
      <w:r w:rsidR="00145671" w:rsidRPr="01498D3D">
        <w:rPr>
          <w:rFonts w:ascii="Arial" w:hAnsi="Arial" w:cs="Arial"/>
          <w:sz w:val="22"/>
          <w:szCs w:val="22"/>
        </w:rPr>
        <w:t xml:space="preserve"> zůstává cílová hodnota platná v nezměněné výši.</w:t>
      </w:r>
      <w:r w:rsidR="000875BA">
        <w:rPr>
          <w:rFonts w:ascii="Arial" w:hAnsi="Arial" w:cs="Arial"/>
          <w:sz w:val="22"/>
          <w:szCs w:val="22"/>
        </w:rPr>
        <w:t xml:space="preserve"> </w:t>
      </w:r>
      <w:r w:rsidR="00145671" w:rsidRPr="01498D3D">
        <w:rPr>
          <w:rFonts w:ascii="Arial" w:hAnsi="Arial" w:cs="Arial"/>
          <w:sz w:val="22"/>
          <w:szCs w:val="22"/>
        </w:rPr>
        <w:t xml:space="preserve">Pokud </w:t>
      </w:r>
      <w:r w:rsidR="00FE118B" w:rsidRPr="01498D3D">
        <w:rPr>
          <w:rFonts w:ascii="Arial" w:hAnsi="Arial" w:cs="Arial"/>
          <w:sz w:val="22"/>
          <w:szCs w:val="22"/>
        </w:rPr>
        <w:t>vykázaná</w:t>
      </w:r>
      <w:r w:rsidR="008E0493" w:rsidRPr="01498D3D">
        <w:rPr>
          <w:rFonts w:ascii="Arial" w:hAnsi="Arial" w:cs="Arial"/>
          <w:sz w:val="22"/>
          <w:szCs w:val="22"/>
        </w:rPr>
        <w:t xml:space="preserve"> dosažená</w:t>
      </w:r>
      <w:r w:rsidR="00FE118B" w:rsidRPr="01498D3D">
        <w:rPr>
          <w:rFonts w:ascii="Arial" w:hAnsi="Arial" w:cs="Arial"/>
          <w:sz w:val="22"/>
          <w:szCs w:val="22"/>
        </w:rPr>
        <w:t xml:space="preserve"> hodnota bude </w:t>
      </w:r>
      <w:r w:rsidR="00E252BB">
        <w:rPr>
          <w:rFonts w:ascii="Arial" w:hAnsi="Arial" w:cs="Arial"/>
          <w:sz w:val="22"/>
          <w:szCs w:val="22"/>
        </w:rPr>
        <w:t>nižší než hodnota cílová</w:t>
      </w:r>
      <w:r w:rsidR="00FE118B" w:rsidRPr="01498D3D">
        <w:rPr>
          <w:rFonts w:ascii="Arial" w:hAnsi="Arial" w:cs="Arial"/>
          <w:sz w:val="22"/>
          <w:szCs w:val="22"/>
        </w:rPr>
        <w:t>, bude postupováno dle Podmínek Právního aktu / Rozhodnutí, které stanoví konkrétní výš</w:t>
      </w:r>
      <w:r w:rsidR="00737E0E">
        <w:rPr>
          <w:rFonts w:ascii="Arial" w:hAnsi="Arial" w:cs="Arial"/>
          <w:sz w:val="22"/>
          <w:szCs w:val="22"/>
        </w:rPr>
        <w:t>i</w:t>
      </w:r>
      <w:r w:rsidR="00FE118B" w:rsidRPr="01498D3D">
        <w:rPr>
          <w:rFonts w:ascii="Arial" w:hAnsi="Arial" w:cs="Arial"/>
          <w:sz w:val="22"/>
          <w:szCs w:val="22"/>
        </w:rPr>
        <w:t xml:space="preserve"> a typ sankce aplikované při nenaplnění cílové hodnoty indikátoru.</w:t>
      </w:r>
    </w:p>
    <w:p w14:paraId="398F5330" w14:textId="337A8B93" w:rsidR="00AF3D0A" w:rsidRDefault="00AF3D0A" w:rsidP="00822000">
      <w:pPr>
        <w:spacing w:after="200" w:line="276" w:lineRule="auto"/>
        <w:jc w:val="both"/>
        <w:rPr>
          <w:rFonts w:ascii="Arial" w:hAnsi="Arial" w:cs="Arial"/>
          <w:sz w:val="22"/>
          <w:szCs w:val="22"/>
        </w:rPr>
      </w:pPr>
      <w:r w:rsidRPr="01498D3D">
        <w:rPr>
          <w:rFonts w:ascii="Arial" w:hAnsi="Arial" w:cs="Arial"/>
          <w:sz w:val="22"/>
          <w:szCs w:val="22"/>
        </w:rPr>
        <w:t xml:space="preserve">V době udržitelnosti již </w:t>
      </w:r>
      <w:r w:rsidRPr="01498D3D">
        <w:rPr>
          <w:rFonts w:ascii="Arial" w:hAnsi="Arial" w:cs="Arial"/>
          <w:b/>
          <w:bCs/>
          <w:sz w:val="22"/>
          <w:szCs w:val="22"/>
          <w:u w:val="single"/>
        </w:rPr>
        <w:t>nelze cílovou hodnotu upravit</w:t>
      </w:r>
      <w:r w:rsidRPr="01498D3D">
        <w:rPr>
          <w:rFonts w:ascii="Arial" w:hAnsi="Arial" w:cs="Arial"/>
          <w:sz w:val="22"/>
          <w:szCs w:val="22"/>
        </w:rPr>
        <w:t xml:space="preserve"> a zůstává zafixovaná ve výši platné k</w:t>
      </w:r>
      <w:r w:rsidR="00371437" w:rsidRPr="01498D3D">
        <w:rPr>
          <w:rFonts w:ascii="Arial" w:hAnsi="Arial" w:cs="Arial"/>
          <w:sz w:val="22"/>
          <w:szCs w:val="22"/>
        </w:rPr>
        <w:t> datu skutečného ukončení realizace projektu</w:t>
      </w:r>
      <w:r w:rsidR="003C5E8B">
        <w:rPr>
          <w:rFonts w:ascii="Arial" w:hAnsi="Arial" w:cs="Arial"/>
          <w:sz w:val="22"/>
          <w:szCs w:val="22"/>
        </w:rPr>
        <w:t xml:space="preserve">. </w:t>
      </w:r>
      <w:r w:rsidR="003C5E8B" w:rsidRPr="003C5E8B">
        <w:rPr>
          <w:rFonts w:ascii="Arial" w:hAnsi="Arial" w:cs="Arial"/>
          <w:sz w:val="22"/>
          <w:szCs w:val="22"/>
        </w:rPr>
        <w:t>Pokud bude v období udržitelnosti vykázaná dosažená hodnota nižší než dosažená hodnota k Rozhodnému datu</w:t>
      </w:r>
      <w:r w:rsidRPr="01498D3D">
        <w:rPr>
          <w:rFonts w:ascii="Arial" w:hAnsi="Arial" w:cs="Arial"/>
          <w:sz w:val="22"/>
          <w:szCs w:val="22"/>
        </w:rPr>
        <w:t>, bude postupováno dle Podmínek Právního aktu / Rozhodnutí, které stanoví konkrétní výš</w:t>
      </w:r>
      <w:r w:rsidR="00E1654A">
        <w:rPr>
          <w:rFonts w:ascii="Arial" w:hAnsi="Arial" w:cs="Arial"/>
          <w:sz w:val="22"/>
          <w:szCs w:val="22"/>
        </w:rPr>
        <w:t>i</w:t>
      </w:r>
      <w:r w:rsidRPr="01498D3D">
        <w:rPr>
          <w:rFonts w:ascii="Arial" w:hAnsi="Arial" w:cs="Arial"/>
          <w:sz w:val="22"/>
          <w:szCs w:val="22"/>
        </w:rPr>
        <w:t xml:space="preserve"> a typ sankce aplikované při ne</w:t>
      </w:r>
      <w:r w:rsidR="00291A5A" w:rsidRPr="01498D3D">
        <w:rPr>
          <w:rFonts w:ascii="Arial" w:hAnsi="Arial" w:cs="Arial"/>
          <w:sz w:val="22"/>
          <w:szCs w:val="22"/>
        </w:rPr>
        <w:t>udržení</w:t>
      </w:r>
      <w:r w:rsidRPr="01498D3D">
        <w:rPr>
          <w:rFonts w:ascii="Arial" w:hAnsi="Arial" w:cs="Arial"/>
          <w:sz w:val="22"/>
          <w:szCs w:val="22"/>
        </w:rPr>
        <w:t xml:space="preserve"> cílové hodnoty indikátoru, a to poměrově, vztaženo k délce období udržitelnosti, době neplnění a výši neplnění.</w:t>
      </w:r>
    </w:p>
    <w:p w14:paraId="37D13382" w14:textId="7E114ED2" w:rsidR="008A2193" w:rsidRPr="000465C4"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3B6FED">
        <w:rPr>
          <w:rStyle w:val="Zdraznnintenzivn"/>
          <w:rFonts w:ascii="Arial" w:eastAsiaTheme="minorHAnsi" w:hAnsi="Arial" w:cs="Arial"/>
          <w:b/>
          <w:bCs/>
          <w:caps/>
          <w:color w:val="31849B" w:themeColor="accent5" w:themeShade="BF"/>
          <w:lang w:eastAsia="en-US"/>
        </w:rPr>
        <w:t xml:space="preserve">Návod na </w:t>
      </w:r>
      <w:r w:rsidR="008A2193" w:rsidRPr="003B6FED">
        <w:rPr>
          <w:rStyle w:val="Zdraznnintenzivn"/>
          <w:rFonts w:ascii="Arial" w:eastAsiaTheme="minorHAnsi" w:hAnsi="Arial" w:cs="Arial"/>
          <w:b/>
          <w:bCs/>
          <w:caps/>
          <w:color w:val="31849B" w:themeColor="accent5" w:themeShade="BF"/>
          <w:lang w:eastAsia="en-US"/>
        </w:rPr>
        <w:t>Výpočet</w:t>
      </w:r>
    </w:p>
    <w:p w14:paraId="21F65D2E" w14:textId="4A116A3E" w:rsidR="006B454F" w:rsidRPr="000875BA" w:rsidRDefault="003B6FED" w:rsidP="00DF75BF">
      <w:pPr>
        <w:spacing w:before="120" w:after="120" w:line="276" w:lineRule="auto"/>
        <w:rPr>
          <w:rFonts w:ascii="Arial" w:hAnsi="Arial" w:cs="Arial"/>
          <w:b/>
          <w:bCs/>
          <w:sz w:val="22"/>
          <w:szCs w:val="22"/>
        </w:rPr>
      </w:pPr>
      <w:r w:rsidRPr="000875BA">
        <w:rPr>
          <w:rFonts w:ascii="Arial" w:hAnsi="Arial" w:cs="Arial"/>
          <w:b/>
          <w:bCs/>
          <w:sz w:val="22"/>
          <w:szCs w:val="22"/>
        </w:rPr>
        <w:t>P</w:t>
      </w:r>
      <w:r w:rsidR="006B454F" w:rsidRPr="000875BA">
        <w:rPr>
          <w:rFonts w:ascii="Arial" w:hAnsi="Arial" w:cs="Arial"/>
          <w:b/>
          <w:bCs/>
          <w:sz w:val="22"/>
          <w:szCs w:val="22"/>
        </w:rPr>
        <w:t>říklad:</w:t>
      </w:r>
    </w:p>
    <w:p w14:paraId="71EA5D58" w14:textId="21ECFC97" w:rsidR="0084772A" w:rsidRDefault="006B454F" w:rsidP="000875BA">
      <w:pPr>
        <w:spacing w:after="200" w:line="276" w:lineRule="auto"/>
        <w:jc w:val="both"/>
        <w:rPr>
          <w:rFonts w:ascii="Arial" w:hAnsi="Arial" w:cs="Arial"/>
          <w:sz w:val="22"/>
          <w:szCs w:val="22"/>
        </w:rPr>
      </w:pPr>
      <w:r w:rsidRPr="00DF75BF">
        <w:rPr>
          <w:rFonts w:ascii="Arial" w:hAnsi="Arial" w:cs="Arial"/>
          <w:sz w:val="22"/>
          <w:szCs w:val="22"/>
        </w:rPr>
        <w:t xml:space="preserve">Žadatel plánuje v rámci předkládaného projektu zabezpečení 4 </w:t>
      </w:r>
      <w:r w:rsidR="00DF75BF">
        <w:rPr>
          <w:rFonts w:ascii="Arial" w:hAnsi="Arial" w:cs="Arial"/>
          <w:sz w:val="22"/>
          <w:szCs w:val="22"/>
        </w:rPr>
        <w:t>IS</w:t>
      </w:r>
      <w:r w:rsidRPr="00DF75BF">
        <w:rPr>
          <w:rFonts w:ascii="Arial" w:hAnsi="Arial" w:cs="Arial"/>
          <w:sz w:val="22"/>
          <w:szCs w:val="22"/>
        </w:rPr>
        <w:t xml:space="preserve"> </w:t>
      </w:r>
      <w:r w:rsidR="00DF75BF">
        <w:rPr>
          <w:rFonts w:ascii="Arial" w:hAnsi="Arial" w:cs="Arial"/>
          <w:sz w:val="22"/>
          <w:szCs w:val="22"/>
        </w:rPr>
        <w:t>(IS</w:t>
      </w:r>
      <w:r w:rsidR="00CD258C">
        <w:rPr>
          <w:rFonts w:ascii="Arial" w:hAnsi="Arial" w:cs="Arial"/>
          <w:sz w:val="22"/>
          <w:szCs w:val="22"/>
        </w:rPr>
        <w:t>0</w:t>
      </w:r>
      <w:r w:rsidR="00DF75BF">
        <w:rPr>
          <w:rFonts w:ascii="Arial" w:hAnsi="Arial" w:cs="Arial"/>
          <w:sz w:val="22"/>
          <w:szCs w:val="22"/>
        </w:rPr>
        <w:t xml:space="preserve">1 až </w:t>
      </w:r>
      <w:r w:rsidR="00CD258C">
        <w:rPr>
          <w:rFonts w:ascii="Arial" w:hAnsi="Arial" w:cs="Arial"/>
          <w:sz w:val="22"/>
          <w:szCs w:val="22"/>
        </w:rPr>
        <w:t>0</w:t>
      </w:r>
      <w:r w:rsidR="00DF75BF">
        <w:rPr>
          <w:rFonts w:ascii="Arial" w:hAnsi="Arial" w:cs="Arial"/>
          <w:sz w:val="22"/>
          <w:szCs w:val="22"/>
        </w:rPr>
        <w:t xml:space="preserve">4) </w:t>
      </w:r>
      <w:r w:rsidRPr="00DF75BF">
        <w:rPr>
          <w:rFonts w:ascii="Arial" w:hAnsi="Arial" w:cs="Arial"/>
          <w:sz w:val="22"/>
          <w:szCs w:val="22"/>
        </w:rPr>
        <w:t xml:space="preserve">a 1 </w:t>
      </w:r>
      <w:r w:rsidR="00DF75BF">
        <w:rPr>
          <w:rFonts w:ascii="Arial" w:hAnsi="Arial" w:cs="Arial"/>
          <w:sz w:val="22"/>
          <w:szCs w:val="22"/>
        </w:rPr>
        <w:t>KS</w:t>
      </w:r>
      <w:r w:rsidR="00CD258C">
        <w:rPr>
          <w:rFonts w:ascii="Arial" w:hAnsi="Arial" w:cs="Arial"/>
          <w:sz w:val="22"/>
          <w:szCs w:val="22"/>
        </w:rPr>
        <w:t xml:space="preserve"> (KS0</w:t>
      </w:r>
      <w:r w:rsidR="00DF75BF">
        <w:rPr>
          <w:rFonts w:ascii="Arial" w:hAnsi="Arial" w:cs="Arial"/>
          <w:sz w:val="22"/>
          <w:szCs w:val="22"/>
        </w:rPr>
        <w:t>1)</w:t>
      </w:r>
      <w:r w:rsidRPr="00DF75BF">
        <w:rPr>
          <w:rFonts w:ascii="Arial" w:hAnsi="Arial" w:cs="Arial"/>
          <w:sz w:val="22"/>
          <w:szCs w:val="22"/>
        </w:rPr>
        <w:t xml:space="preserve">. Zabezpečení bude realizováno v rozsahu 2 technických opatření, která definuje </w:t>
      </w:r>
      <w:r w:rsidR="00DF75BF" w:rsidRPr="00DF75BF">
        <w:rPr>
          <w:rFonts w:ascii="Arial" w:hAnsi="Arial" w:cs="Arial"/>
          <w:sz w:val="22"/>
          <w:szCs w:val="22"/>
        </w:rPr>
        <w:t>§ 5, odst. 3, zákona o kybernetické bezpečnosti</w:t>
      </w:r>
      <w:r w:rsidR="00DF75BF">
        <w:rPr>
          <w:rFonts w:ascii="Arial" w:hAnsi="Arial" w:cs="Arial"/>
          <w:sz w:val="22"/>
          <w:szCs w:val="22"/>
        </w:rPr>
        <w:t>, a to v oblasti fyzické bezpečnosti (písm. a) a oblasti nástroje ověřování identity uživatelů (písm. c).</w:t>
      </w:r>
    </w:p>
    <w:p w14:paraId="46DF7C7D" w14:textId="2EE9E21D" w:rsidR="00DF75BF" w:rsidRDefault="00DF75BF" w:rsidP="000875BA">
      <w:pPr>
        <w:spacing w:after="200" w:line="276" w:lineRule="auto"/>
        <w:jc w:val="both"/>
        <w:rPr>
          <w:rFonts w:ascii="Arial" w:hAnsi="Arial" w:cs="Arial"/>
          <w:sz w:val="22"/>
          <w:szCs w:val="22"/>
        </w:rPr>
      </w:pPr>
      <w:r>
        <w:rPr>
          <w:rFonts w:ascii="Arial" w:hAnsi="Arial" w:cs="Arial"/>
          <w:sz w:val="22"/>
          <w:szCs w:val="22"/>
        </w:rPr>
        <w:t xml:space="preserve">Opatření v oblasti fyzické bezpečnosti bude aplikováno pro všechny </w:t>
      </w:r>
      <w:r w:rsidR="00CD258C">
        <w:rPr>
          <w:rFonts w:ascii="Arial" w:hAnsi="Arial" w:cs="Arial"/>
          <w:sz w:val="22"/>
          <w:szCs w:val="22"/>
        </w:rPr>
        <w:t>definované</w:t>
      </w:r>
      <w:r>
        <w:rPr>
          <w:rFonts w:ascii="Arial" w:hAnsi="Arial" w:cs="Arial"/>
          <w:sz w:val="22"/>
          <w:szCs w:val="22"/>
        </w:rPr>
        <w:t xml:space="preserve"> IS a KS. Opatření v oblasti nástroje ověřování identity uživatelů bude aplikováno u 2 </w:t>
      </w:r>
      <w:r w:rsidR="003B6FED">
        <w:rPr>
          <w:rFonts w:ascii="Arial" w:hAnsi="Arial" w:cs="Arial"/>
          <w:sz w:val="22"/>
          <w:szCs w:val="22"/>
        </w:rPr>
        <w:t>IS (IS03 a IS04) a KS (KS0</w:t>
      </w:r>
      <w:r>
        <w:rPr>
          <w:rFonts w:ascii="Arial" w:hAnsi="Arial" w:cs="Arial"/>
          <w:sz w:val="22"/>
          <w:szCs w:val="22"/>
        </w:rPr>
        <w:t>1).</w:t>
      </w:r>
    </w:p>
    <w:tbl>
      <w:tblPr>
        <w:tblStyle w:val="Mkatabulky"/>
        <w:tblW w:w="0" w:type="auto"/>
        <w:tblLook w:val="04A0" w:firstRow="1" w:lastRow="0" w:firstColumn="1" w:lastColumn="0" w:noHBand="0" w:noVBand="1"/>
      </w:tblPr>
      <w:tblGrid>
        <w:gridCol w:w="3020"/>
        <w:gridCol w:w="3020"/>
        <w:gridCol w:w="3020"/>
      </w:tblGrid>
      <w:tr w:rsidR="00DF75BF" w14:paraId="2913A9B1" w14:textId="77777777" w:rsidTr="000875BA">
        <w:trPr>
          <w:trHeight w:val="547"/>
        </w:trPr>
        <w:tc>
          <w:tcPr>
            <w:tcW w:w="3020" w:type="dxa"/>
            <w:shd w:val="clear" w:color="auto" w:fill="9CC2E5"/>
            <w:vAlign w:val="center"/>
          </w:tcPr>
          <w:p w14:paraId="46EFA7C2" w14:textId="614B2F23" w:rsidR="00DF75BF" w:rsidRDefault="00DF75BF" w:rsidP="00CD258C">
            <w:pPr>
              <w:spacing w:before="120" w:after="120" w:line="276" w:lineRule="auto"/>
              <w:jc w:val="center"/>
              <w:rPr>
                <w:rFonts w:ascii="Arial" w:hAnsi="Arial" w:cs="Arial"/>
                <w:sz w:val="22"/>
                <w:szCs w:val="22"/>
              </w:rPr>
            </w:pPr>
            <w:r>
              <w:rPr>
                <w:rFonts w:ascii="Arial" w:hAnsi="Arial" w:cs="Arial"/>
                <w:sz w:val="22"/>
                <w:szCs w:val="22"/>
              </w:rPr>
              <w:t>Název systému</w:t>
            </w:r>
          </w:p>
        </w:tc>
        <w:tc>
          <w:tcPr>
            <w:tcW w:w="3020" w:type="dxa"/>
            <w:shd w:val="clear" w:color="auto" w:fill="9CC2E5"/>
            <w:vAlign w:val="center"/>
          </w:tcPr>
          <w:p w14:paraId="73039D62" w14:textId="1B7188EC" w:rsidR="00DF75BF" w:rsidRDefault="00071C5C" w:rsidP="00CD258C">
            <w:pPr>
              <w:spacing w:before="120" w:after="120" w:line="276" w:lineRule="auto"/>
              <w:jc w:val="center"/>
              <w:rPr>
                <w:rFonts w:ascii="Arial" w:hAnsi="Arial" w:cs="Arial"/>
                <w:sz w:val="22"/>
                <w:szCs w:val="22"/>
              </w:rPr>
            </w:pPr>
            <w:r>
              <w:rPr>
                <w:rFonts w:ascii="Arial" w:hAnsi="Arial" w:cs="Arial"/>
                <w:sz w:val="22"/>
                <w:szCs w:val="22"/>
              </w:rPr>
              <w:t xml:space="preserve">a) </w:t>
            </w:r>
            <w:r w:rsidR="00981E4A">
              <w:rPr>
                <w:rFonts w:ascii="Arial" w:hAnsi="Arial" w:cs="Arial"/>
                <w:sz w:val="22"/>
                <w:szCs w:val="22"/>
              </w:rPr>
              <w:t>f</w:t>
            </w:r>
            <w:r w:rsidR="00CD258C">
              <w:rPr>
                <w:rFonts w:ascii="Arial" w:hAnsi="Arial" w:cs="Arial"/>
                <w:sz w:val="22"/>
                <w:szCs w:val="22"/>
              </w:rPr>
              <w:t>yzická</w:t>
            </w:r>
            <w:r w:rsidR="00DF75BF">
              <w:rPr>
                <w:rFonts w:ascii="Arial" w:hAnsi="Arial" w:cs="Arial"/>
                <w:sz w:val="22"/>
                <w:szCs w:val="22"/>
              </w:rPr>
              <w:t xml:space="preserve"> bezpečnost</w:t>
            </w:r>
          </w:p>
        </w:tc>
        <w:tc>
          <w:tcPr>
            <w:tcW w:w="3020" w:type="dxa"/>
            <w:shd w:val="clear" w:color="auto" w:fill="9CC2E5"/>
            <w:vAlign w:val="center"/>
          </w:tcPr>
          <w:p w14:paraId="6CB9A59F" w14:textId="75D0E276" w:rsidR="00DF75BF" w:rsidRDefault="00071C5C" w:rsidP="00CD258C">
            <w:pPr>
              <w:spacing w:before="120" w:after="120" w:line="276" w:lineRule="auto"/>
              <w:jc w:val="center"/>
              <w:rPr>
                <w:rFonts w:ascii="Arial" w:hAnsi="Arial" w:cs="Arial"/>
                <w:sz w:val="22"/>
                <w:szCs w:val="22"/>
              </w:rPr>
            </w:pPr>
            <w:r>
              <w:rPr>
                <w:rFonts w:ascii="Arial" w:hAnsi="Arial" w:cs="Arial"/>
                <w:sz w:val="22"/>
                <w:szCs w:val="22"/>
              </w:rPr>
              <w:t xml:space="preserve">c) </w:t>
            </w:r>
            <w:r w:rsidR="00981E4A">
              <w:rPr>
                <w:rFonts w:ascii="Arial" w:hAnsi="Arial" w:cs="Arial"/>
                <w:sz w:val="22"/>
                <w:szCs w:val="22"/>
              </w:rPr>
              <w:t>n</w:t>
            </w:r>
            <w:r w:rsidR="00CD258C">
              <w:rPr>
                <w:rFonts w:ascii="Arial" w:hAnsi="Arial" w:cs="Arial"/>
                <w:sz w:val="22"/>
                <w:szCs w:val="22"/>
              </w:rPr>
              <w:t>ástroj</w:t>
            </w:r>
            <w:r w:rsidR="00DF75BF">
              <w:rPr>
                <w:rFonts w:ascii="Arial" w:hAnsi="Arial" w:cs="Arial"/>
                <w:sz w:val="22"/>
                <w:szCs w:val="22"/>
              </w:rPr>
              <w:t xml:space="preserve"> ověřování identity uživatelů</w:t>
            </w:r>
          </w:p>
        </w:tc>
      </w:tr>
      <w:tr w:rsidR="00DF75BF" w14:paraId="76B752FA" w14:textId="77777777" w:rsidTr="00CD258C">
        <w:trPr>
          <w:trHeight w:val="397"/>
        </w:trPr>
        <w:tc>
          <w:tcPr>
            <w:tcW w:w="3020" w:type="dxa"/>
            <w:vAlign w:val="center"/>
          </w:tcPr>
          <w:p w14:paraId="7261B88D" w14:textId="7134B045"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1</w:t>
            </w:r>
          </w:p>
        </w:tc>
        <w:tc>
          <w:tcPr>
            <w:tcW w:w="3020" w:type="dxa"/>
            <w:vAlign w:val="center"/>
          </w:tcPr>
          <w:p w14:paraId="29F1DD7A" w14:textId="19E58853"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3ECA6CA9" w14:textId="0285E5B4" w:rsidR="00DF75BF" w:rsidRDefault="00CD258C" w:rsidP="00FE7E9E">
            <w:pPr>
              <w:spacing w:before="120" w:after="120"/>
              <w:jc w:val="center"/>
              <w:rPr>
                <w:rFonts w:ascii="Arial" w:hAnsi="Arial" w:cs="Arial"/>
                <w:sz w:val="22"/>
                <w:szCs w:val="22"/>
              </w:rPr>
            </w:pPr>
            <w:r>
              <w:rPr>
                <w:rFonts w:ascii="Arial" w:hAnsi="Arial" w:cs="Arial"/>
                <w:sz w:val="22"/>
                <w:szCs w:val="22"/>
              </w:rPr>
              <w:t>X</w:t>
            </w:r>
          </w:p>
        </w:tc>
      </w:tr>
      <w:tr w:rsidR="00DF75BF" w14:paraId="7A97C9D9" w14:textId="77777777" w:rsidTr="00CD258C">
        <w:trPr>
          <w:trHeight w:val="397"/>
        </w:trPr>
        <w:tc>
          <w:tcPr>
            <w:tcW w:w="3020" w:type="dxa"/>
            <w:vAlign w:val="center"/>
          </w:tcPr>
          <w:p w14:paraId="71F73AE0" w14:textId="1AF4EDC5"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2</w:t>
            </w:r>
          </w:p>
        </w:tc>
        <w:tc>
          <w:tcPr>
            <w:tcW w:w="3020" w:type="dxa"/>
            <w:vAlign w:val="center"/>
          </w:tcPr>
          <w:p w14:paraId="349A9F88" w14:textId="7855D8B5"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2AE6FD7F" w14:textId="64E53044" w:rsidR="00DF75BF" w:rsidRDefault="00CD258C" w:rsidP="00FE7E9E">
            <w:pPr>
              <w:spacing w:before="120" w:after="120"/>
              <w:jc w:val="center"/>
              <w:rPr>
                <w:rFonts w:ascii="Arial" w:hAnsi="Arial" w:cs="Arial"/>
                <w:sz w:val="22"/>
                <w:szCs w:val="22"/>
              </w:rPr>
            </w:pPr>
            <w:r>
              <w:rPr>
                <w:rFonts w:ascii="Arial" w:hAnsi="Arial" w:cs="Arial"/>
                <w:sz w:val="22"/>
                <w:szCs w:val="22"/>
              </w:rPr>
              <w:t>X</w:t>
            </w:r>
          </w:p>
        </w:tc>
      </w:tr>
      <w:tr w:rsidR="00DF75BF" w14:paraId="20056628" w14:textId="77777777" w:rsidTr="00CD258C">
        <w:trPr>
          <w:trHeight w:val="397"/>
        </w:trPr>
        <w:tc>
          <w:tcPr>
            <w:tcW w:w="3020" w:type="dxa"/>
            <w:vAlign w:val="center"/>
          </w:tcPr>
          <w:p w14:paraId="2C278C6F" w14:textId="72870982"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3</w:t>
            </w:r>
          </w:p>
        </w:tc>
        <w:tc>
          <w:tcPr>
            <w:tcW w:w="3020" w:type="dxa"/>
            <w:vAlign w:val="center"/>
          </w:tcPr>
          <w:p w14:paraId="044348E2" w14:textId="6BB85728"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244FAF50" w14:textId="505807C5"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DF75BF" w14:paraId="7F51A4FC" w14:textId="77777777" w:rsidTr="00CD258C">
        <w:trPr>
          <w:trHeight w:val="397"/>
        </w:trPr>
        <w:tc>
          <w:tcPr>
            <w:tcW w:w="3020" w:type="dxa"/>
            <w:vAlign w:val="center"/>
          </w:tcPr>
          <w:p w14:paraId="0A2CDB0F" w14:textId="235FD703"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4</w:t>
            </w:r>
          </w:p>
        </w:tc>
        <w:tc>
          <w:tcPr>
            <w:tcW w:w="3020" w:type="dxa"/>
            <w:vAlign w:val="center"/>
          </w:tcPr>
          <w:p w14:paraId="75DC8FB5" w14:textId="39EB0EF5"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29821AFA" w14:textId="4E8F4FBC"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DF75BF" w14:paraId="14C8C734" w14:textId="77777777" w:rsidTr="003B6FED">
        <w:trPr>
          <w:trHeight w:val="397"/>
        </w:trPr>
        <w:tc>
          <w:tcPr>
            <w:tcW w:w="3020" w:type="dxa"/>
            <w:tcBorders>
              <w:bottom w:val="double" w:sz="4" w:space="0" w:color="auto"/>
            </w:tcBorders>
            <w:vAlign w:val="center"/>
          </w:tcPr>
          <w:p w14:paraId="7A335247" w14:textId="1D893D11" w:rsidR="00DF75BF" w:rsidRDefault="00CD258C" w:rsidP="00FE7E9E">
            <w:pPr>
              <w:spacing w:before="120" w:after="120"/>
              <w:jc w:val="center"/>
              <w:rPr>
                <w:rFonts w:ascii="Arial" w:hAnsi="Arial" w:cs="Arial"/>
                <w:sz w:val="22"/>
                <w:szCs w:val="22"/>
              </w:rPr>
            </w:pPr>
            <w:r>
              <w:rPr>
                <w:rFonts w:ascii="Arial" w:hAnsi="Arial" w:cs="Arial"/>
                <w:sz w:val="22"/>
                <w:szCs w:val="22"/>
              </w:rPr>
              <w:t>KS0</w:t>
            </w:r>
            <w:r w:rsidR="00DF75BF">
              <w:rPr>
                <w:rFonts w:ascii="Arial" w:hAnsi="Arial" w:cs="Arial"/>
                <w:sz w:val="22"/>
                <w:szCs w:val="22"/>
              </w:rPr>
              <w:t>1</w:t>
            </w:r>
          </w:p>
        </w:tc>
        <w:tc>
          <w:tcPr>
            <w:tcW w:w="3020" w:type="dxa"/>
            <w:tcBorders>
              <w:bottom w:val="double" w:sz="4" w:space="0" w:color="auto"/>
            </w:tcBorders>
            <w:vAlign w:val="center"/>
          </w:tcPr>
          <w:p w14:paraId="1DE85C04" w14:textId="76C38A1F" w:rsidR="00CD258C"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tcBorders>
              <w:bottom w:val="double" w:sz="4" w:space="0" w:color="auto"/>
            </w:tcBorders>
            <w:vAlign w:val="center"/>
          </w:tcPr>
          <w:p w14:paraId="761EC06B" w14:textId="57C9F01F" w:rsidR="00CD258C"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CD258C" w14:paraId="15ACD400" w14:textId="77777777" w:rsidTr="003B6FED">
        <w:trPr>
          <w:trHeight w:val="397"/>
        </w:trPr>
        <w:tc>
          <w:tcPr>
            <w:tcW w:w="3020" w:type="dxa"/>
            <w:tcBorders>
              <w:top w:val="double" w:sz="4" w:space="0" w:color="auto"/>
            </w:tcBorders>
            <w:vAlign w:val="center"/>
          </w:tcPr>
          <w:p w14:paraId="481712BC" w14:textId="4BF4022E" w:rsidR="00CD258C" w:rsidRDefault="00CD258C" w:rsidP="00FE7E9E">
            <w:pPr>
              <w:spacing w:before="120" w:after="120"/>
              <w:jc w:val="center"/>
              <w:rPr>
                <w:rFonts w:ascii="Arial" w:hAnsi="Arial" w:cs="Arial"/>
                <w:sz w:val="22"/>
                <w:szCs w:val="22"/>
              </w:rPr>
            </w:pPr>
            <w:r>
              <w:rPr>
                <w:rFonts w:ascii="Arial" w:hAnsi="Arial" w:cs="Arial"/>
                <w:sz w:val="22"/>
                <w:szCs w:val="22"/>
              </w:rPr>
              <w:t>Celkem</w:t>
            </w:r>
          </w:p>
        </w:tc>
        <w:tc>
          <w:tcPr>
            <w:tcW w:w="3020" w:type="dxa"/>
            <w:tcBorders>
              <w:top w:val="double" w:sz="4" w:space="0" w:color="auto"/>
            </w:tcBorders>
            <w:vAlign w:val="center"/>
          </w:tcPr>
          <w:p w14:paraId="383693CF" w14:textId="1BB57FEF" w:rsidR="00CD258C" w:rsidRDefault="00CD258C" w:rsidP="00FE7E9E">
            <w:pPr>
              <w:spacing w:before="120" w:after="120"/>
              <w:jc w:val="center"/>
              <w:rPr>
                <w:rFonts w:ascii="Arial" w:hAnsi="Arial" w:cs="Arial"/>
                <w:sz w:val="22"/>
                <w:szCs w:val="22"/>
              </w:rPr>
            </w:pPr>
            <w:r>
              <w:rPr>
                <w:rFonts w:ascii="Arial" w:hAnsi="Arial" w:cs="Arial"/>
                <w:sz w:val="22"/>
                <w:szCs w:val="22"/>
              </w:rPr>
              <w:t>5</w:t>
            </w:r>
          </w:p>
        </w:tc>
        <w:tc>
          <w:tcPr>
            <w:tcW w:w="3020" w:type="dxa"/>
            <w:tcBorders>
              <w:top w:val="double" w:sz="4" w:space="0" w:color="auto"/>
            </w:tcBorders>
            <w:vAlign w:val="center"/>
          </w:tcPr>
          <w:p w14:paraId="20D13A0D" w14:textId="61DD2DD0" w:rsidR="00CD258C" w:rsidRDefault="00CD258C" w:rsidP="00FE7E9E">
            <w:pPr>
              <w:spacing w:before="120" w:after="120"/>
              <w:jc w:val="center"/>
              <w:rPr>
                <w:rFonts w:ascii="Arial" w:hAnsi="Arial" w:cs="Arial"/>
                <w:sz w:val="22"/>
                <w:szCs w:val="22"/>
              </w:rPr>
            </w:pPr>
            <w:r>
              <w:rPr>
                <w:rFonts w:ascii="Arial" w:hAnsi="Arial" w:cs="Arial"/>
                <w:sz w:val="22"/>
                <w:szCs w:val="22"/>
              </w:rPr>
              <w:t>3</w:t>
            </w:r>
          </w:p>
        </w:tc>
      </w:tr>
    </w:tbl>
    <w:p w14:paraId="24D60179" w14:textId="356BE97A" w:rsidR="00FE7E9E" w:rsidRPr="003B6FED" w:rsidRDefault="00D76323" w:rsidP="003B6FED">
      <w:pPr>
        <w:spacing w:before="120" w:after="120"/>
        <w:jc w:val="both"/>
        <w:rPr>
          <w:rFonts w:ascii="Arial" w:hAnsi="Arial" w:cs="Arial"/>
          <w:b/>
          <w:sz w:val="22"/>
          <w:szCs w:val="22"/>
        </w:rPr>
      </w:pPr>
      <w:r>
        <w:rPr>
          <w:rFonts w:ascii="Arial" w:hAnsi="Arial" w:cs="Arial"/>
          <w:b/>
          <w:sz w:val="22"/>
          <w:szCs w:val="22"/>
        </w:rPr>
        <w:t xml:space="preserve">Hodnota indikátoru </w:t>
      </w:r>
      <w:r w:rsidR="00FE7E9E" w:rsidRPr="003B6FED">
        <w:rPr>
          <w:rFonts w:ascii="Arial" w:hAnsi="Arial" w:cs="Arial"/>
          <w:b/>
          <w:sz w:val="22"/>
          <w:szCs w:val="22"/>
        </w:rPr>
        <w:t>Počet nových nebo modernizovaných prvků k zajištění standardů kybernetické bezpečnosti je 8.</w:t>
      </w:r>
    </w:p>
    <w:p w14:paraId="48C8C552" w14:textId="77777777" w:rsidR="00DF75BF" w:rsidRPr="00DF75BF" w:rsidRDefault="00DF75BF" w:rsidP="003E0963">
      <w:pPr>
        <w:spacing w:after="200" w:line="276" w:lineRule="auto"/>
        <w:rPr>
          <w:rStyle w:val="Zdraznnintenzivn"/>
          <w:rFonts w:asciiTheme="majorHAnsi" w:eastAsiaTheme="minorHAnsi" w:hAnsiTheme="majorHAnsi" w:cstheme="minorHAnsi"/>
          <w:caps/>
          <w:color w:val="auto"/>
          <w:lang w:eastAsia="en-US"/>
        </w:rPr>
      </w:pPr>
    </w:p>
    <w:sectPr w:rsidR="00DF75BF" w:rsidRPr="00DF75BF" w:rsidSect="003E0963">
      <w:headerReference w:type="even" r:id="rId18"/>
      <w:headerReference w:type="default" r:id="rId19"/>
      <w:footerReference w:type="default" r:id="rId20"/>
      <w:headerReference w:type="first" r:id="rId2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0901" w14:textId="77777777" w:rsidR="00191363" w:rsidRDefault="00191363" w:rsidP="00634381">
      <w:r>
        <w:separator/>
      </w:r>
    </w:p>
    <w:p w14:paraId="16345AA2" w14:textId="77777777" w:rsidR="00191363" w:rsidRDefault="00191363"/>
  </w:endnote>
  <w:endnote w:type="continuationSeparator" w:id="0">
    <w:p w14:paraId="346C936F" w14:textId="77777777" w:rsidR="00191363" w:rsidRDefault="00191363" w:rsidP="00634381">
      <w:r>
        <w:continuationSeparator/>
      </w:r>
    </w:p>
    <w:p w14:paraId="4460CFAF" w14:textId="77777777" w:rsidR="00191363" w:rsidRDefault="00191363"/>
  </w:endnote>
  <w:endnote w:type="continuationNotice" w:id="1">
    <w:p w14:paraId="5C6F5F47" w14:textId="77777777" w:rsidR="00191363" w:rsidRDefault="001913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47517" w14:textId="77777777" w:rsidR="00BD1F6E" w:rsidRDefault="00BD1F6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671A6" w14:textId="77777777" w:rsidR="00BD1F6E" w:rsidRDefault="00BD1F6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0CB4B" w14:textId="77777777" w:rsidR="00BD1F6E" w:rsidRDefault="00BD1F6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5166191"/>
      <w:docPartObj>
        <w:docPartGallery w:val="Page Numbers (Bottom of Page)"/>
        <w:docPartUnique/>
      </w:docPartObj>
    </w:sdtPr>
    <w:sdtEndPr>
      <w:rPr>
        <w:rFonts w:ascii="Arial" w:hAnsi="Arial" w:cs="Arial"/>
        <w:sz w:val="18"/>
      </w:rPr>
    </w:sdtEndPr>
    <w:sdtContent>
      <w:sdt>
        <w:sdtPr>
          <w:rPr>
            <w:rFonts w:ascii="Arial" w:hAnsi="Arial" w:cs="Arial"/>
            <w:sz w:val="18"/>
          </w:rPr>
          <w:id w:val="-1769616900"/>
          <w:docPartObj>
            <w:docPartGallery w:val="Page Numbers (Top of Page)"/>
            <w:docPartUnique/>
          </w:docPartObj>
        </w:sdtPr>
        <w:sdtEndPr/>
        <w:sdtContent>
          <w:p w14:paraId="05072B1E" w14:textId="1DDACCD5" w:rsidR="00B0760C" w:rsidRPr="00CF6EB2" w:rsidRDefault="00B0760C">
            <w:pPr>
              <w:pStyle w:val="Zpat"/>
              <w:jc w:val="right"/>
              <w:rPr>
                <w:rFonts w:ascii="Arial" w:hAnsi="Arial" w:cs="Arial"/>
                <w:sz w:val="18"/>
              </w:rPr>
            </w:pPr>
            <w:r w:rsidRPr="00CF6EB2">
              <w:rPr>
                <w:rFonts w:ascii="Arial" w:hAnsi="Arial" w:cs="Arial"/>
                <w:sz w:val="18"/>
              </w:rPr>
              <w:t xml:space="preserve">Stránka </w:t>
            </w:r>
            <w:r w:rsidRPr="00CF6EB2">
              <w:rPr>
                <w:rFonts w:ascii="Arial" w:hAnsi="Arial" w:cs="Arial"/>
                <w:b/>
                <w:bCs/>
                <w:sz w:val="18"/>
              </w:rPr>
              <w:fldChar w:fldCharType="begin"/>
            </w:r>
            <w:r w:rsidRPr="00CF6EB2">
              <w:rPr>
                <w:rFonts w:ascii="Arial" w:hAnsi="Arial" w:cs="Arial"/>
                <w:b/>
                <w:bCs/>
                <w:sz w:val="18"/>
              </w:rPr>
              <w:instrText>PAGE</w:instrText>
            </w:r>
            <w:r w:rsidRPr="00CF6EB2">
              <w:rPr>
                <w:rFonts w:ascii="Arial" w:hAnsi="Arial" w:cs="Arial"/>
                <w:b/>
                <w:bCs/>
                <w:sz w:val="18"/>
              </w:rPr>
              <w:fldChar w:fldCharType="separate"/>
            </w:r>
            <w:r w:rsidR="00B61368">
              <w:rPr>
                <w:rFonts w:ascii="Arial" w:hAnsi="Arial" w:cs="Arial"/>
                <w:b/>
                <w:bCs/>
                <w:noProof/>
                <w:sz w:val="18"/>
              </w:rPr>
              <w:t>2</w:t>
            </w:r>
            <w:r w:rsidRPr="00CF6EB2">
              <w:rPr>
                <w:rFonts w:ascii="Arial" w:hAnsi="Arial" w:cs="Arial"/>
                <w:b/>
                <w:bCs/>
                <w:sz w:val="18"/>
              </w:rPr>
              <w:fldChar w:fldCharType="end"/>
            </w:r>
            <w:r w:rsidRPr="00CF6EB2">
              <w:rPr>
                <w:rFonts w:ascii="Arial" w:hAnsi="Arial" w:cs="Arial"/>
                <w:sz w:val="18"/>
              </w:rPr>
              <w:t xml:space="preserve"> z </w:t>
            </w:r>
            <w:r w:rsidRPr="00CF6EB2">
              <w:rPr>
                <w:rFonts w:ascii="Arial" w:hAnsi="Arial" w:cs="Arial"/>
                <w:b/>
                <w:bCs/>
                <w:sz w:val="18"/>
              </w:rPr>
              <w:fldChar w:fldCharType="begin"/>
            </w:r>
            <w:r w:rsidRPr="00CF6EB2">
              <w:rPr>
                <w:rFonts w:ascii="Arial" w:hAnsi="Arial" w:cs="Arial"/>
                <w:b/>
                <w:bCs/>
                <w:sz w:val="18"/>
              </w:rPr>
              <w:instrText>NUMPAGES</w:instrText>
            </w:r>
            <w:r w:rsidRPr="00CF6EB2">
              <w:rPr>
                <w:rFonts w:ascii="Arial" w:hAnsi="Arial" w:cs="Arial"/>
                <w:b/>
                <w:bCs/>
                <w:sz w:val="18"/>
              </w:rPr>
              <w:fldChar w:fldCharType="separate"/>
            </w:r>
            <w:r w:rsidR="00B61368">
              <w:rPr>
                <w:rFonts w:ascii="Arial" w:hAnsi="Arial" w:cs="Arial"/>
                <w:b/>
                <w:bCs/>
                <w:noProof/>
                <w:sz w:val="18"/>
              </w:rPr>
              <w:t>4</w:t>
            </w:r>
            <w:r w:rsidRPr="00CF6EB2">
              <w:rPr>
                <w:rFonts w:ascii="Arial" w:hAnsi="Arial" w:cs="Arial"/>
                <w:b/>
                <w:bCs/>
                <w:sz w:val="18"/>
              </w:rPr>
              <w:fldChar w:fldCharType="end"/>
            </w:r>
          </w:p>
        </w:sdtContent>
      </w:sdt>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993D1" w14:textId="77777777" w:rsidR="00191363" w:rsidRDefault="00191363">
      <w:r>
        <w:separator/>
      </w:r>
    </w:p>
  </w:footnote>
  <w:footnote w:type="continuationSeparator" w:id="0">
    <w:p w14:paraId="7033A0B2" w14:textId="77777777" w:rsidR="00191363" w:rsidRDefault="00191363" w:rsidP="00634381">
      <w:r>
        <w:continuationSeparator/>
      </w:r>
    </w:p>
    <w:p w14:paraId="07A8C933" w14:textId="77777777" w:rsidR="00191363" w:rsidRDefault="00191363"/>
  </w:footnote>
  <w:footnote w:type="continuationNotice" w:id="1">
    <w:p w14:paraId="0CCAC848" w14:textId="77777777" w:rsidR="00191363" w:rsidRDefault="001913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46017" w14:textId="3FD4C7A0" w:rsidR="002C3E6B" w:rsidRDefault="002C3E6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60FB0FD4" w:rsidR="00E71619" w:rsidRDefault="00E71619" w:rsidP="00AB630C">
    <w:pPr>
      <w:pStyle w:val="Zhlav"/>
      <w:jc w:val="center"/>
    </w:pPr>
  </w:p>
  <w:p w14:paraId="3B8FCE2C" w14:textId="77777777" w:rsidR="00E71619" w:rsidRDefault="00E7161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2E098F8C" w:rsidR="00E71619" w:rsidRDefault="00E71619" w:rsidP="00AB630C">
    <w:pPr>
      <w:pStyle w:val="Zhlav"/>
      <w:jc w:val="center"/>
    </w:pPr>
    <w:r>
      <w:rPr>
        <w:noProof/>
      </w:rPr>
      <w:drawing>
        <wp:inline distT="0" distB="0" distL="0" distR="0" wp14:anchorId="3C67B055" wp14:editId="70E47542">
          <wp:extent cx="5759450" cy="699135"/>
          <wp:effectExtent l="0" t="0" r="0" b="571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39D1A" w14:textId="4A95A9E5" w:rsidR="002C3E6B" w:rsidRDefault="002C3E6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6AA38577"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01B40" w14:textId="1A9B1587" w:rsidR="002C3E6B" w:rsidRDefault="002C3E6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6291135">
    <w:abstractNumId w:val="11"/>
  </w:num>
  <w:num w:numId="2" w16cid:durableId="1966739539">
    <w:abstractNumId w:val="12"/>
  </w:num>
  <w:num w:numId="3" w16cid:durableId="1878929796">
    <w:abstractNumId w:val="16"/>
  </w:num>
  <w:num w:numId="4" w16cid:durableId="1417900446">
    <w:abstractNumId w:val="32"/>
  </w:num>
  <w:num w:numId="5" w16cid:durableId="1027951465">
    <w:abstractNumId w:val="6"/>
  </w:num>
  <w:num w:numId="6" w16cid:durableId="1934362563">
    <w:abstractNumId w:val="27"/>
  </w:num>
  <w:num w:numId="7" w16cid:durableId="740055108">
    <w:abstractNumId w:val="8"/>
  </w:num>
  <w:num w:numId="8" w16cid:durableId="1434590997">
    <w:abstractNumId w:val="9"/>
  </w:num>
  <w:num w:numId="9" w16cid:durableId="1206673154">
    <w:abstractNumId w:val="19"/>
  </w:num>
  <w:num w:numId="10" w16cid:durableId="365104548">
    <w:abstractNumId w:val="4"/>
  </w:num>
  <w:num w:numId="11" w16cid:durableId="798106378">
    <w:abstractNumId w:val="33"/>
  </w:num>
  <w:num w:numId="12" w16cid:durableId="437061727">
    <w:abstractNumId w:val="24"/>
  </w:num>
  <w:num w:numId="13" w16cid:durableId="110130522">
    <w:abstractNumId w:val="8"/>
    <w:lvlOverride w:ilvl="0">
      <w:startOverride w:val="1"/>
    </w:lvlOverride>
  </w:num>
  <w:num w:numId="14" w16cid:durableId="1055931157">
    <w:abstractNumId w:val="28"/>
  </w:num>
  <w:num w:numId="15" w16cid:durableId="413235957">
    <w:abstractNumId w:val="2"/>
  </w:num>
  <w:num w:numId="16" w16cid:durableId="1473673146">
    <w:abstractNumId w:val="14"/>
  </w:num>
  <w:num w:numId="17" w16cid:durableId="2123767099">
    <w:abstractNumId w:val="13"/>
  </w:num>
  <w:num w:numId="18" w16cid:durableId="1623657713">
    <w:abstractNumId w:val="34"/>
  </w:num>
  <w:num w:numId="19" w16cid:durableId="1243222365">
    <w:abstractNumId w:val="7"/>
  </w:num>
  <w:num w:numId="20" w16cid:durableId="1681080054">
    <w:abstractNumId w:val="31"/>
  </w:num>
  <w:num w:numId="21" w16cid:durableId="1062215405">
    <w:abstractNumId w:val="30"/>
  </w:num>
  <w:num w:numId="22" w16cid:durableId="1059062018">
    <w:abstractNumId w:val="5"/>
  </w:num>
  <w:num w:numId="23" w16cid:durableId="1861778878">
    <w:abstractNumId w:val="23"/>
  </w:num>
  <w:num w:numId="24" w16cid:durableId="1178735887">
    <w:abstractNumId w:val="26"/>
  </w:num>
  <w:num w:numId="25" w16cid:durableId="1700426189">
    <w:abstractNumId w:val="0"/>
  </w:num>
  <w:num w:numId="26" w16cid:durableId="1359938676">
    <w:abstractNumId w:val="15"/>
  </w:num>
  <w:num w:numId="27" w16cid:durableId="1755739512">
    <w:abstractNumId w:val="25"/>
  </w:num>
  <w:num w:numId="28" w16cid:durableId="24721620">
    <w:abstractNumId w:val="29"/>
  </w:num>
  <w:num w:numId="29" w16cid:durableId="1396664505">
    <w:abstractNumId w:val="10"/>
  </w:num>
  <w:num w:numId="30" w16cid:durableId="116410082">
    <w:abstractNumId w:val="18"/>
  </w:num>
  <w:num w:numId="31" w16cid:durableId="342631891">
    <w:abstractNumId w:val="21"/>
  </w:num>
  <w:num w:numId="32" w16cid:durableId="846215534">
    <w:abstractNumId w:val="1"/>
  </w:num>
  <w:num w:numId="33" w16cid:durableId="789781216">
    <w:abstractNumId w:val="35"/>
  </w:num>
  <w:num w:numId="34" w16cid:durableId="1849908642">
    <w:abstractNumId w:val="22"/>
  </w:num>
  <w:num w:numId="35" w16cid:durableId="532226385">
    <w:abstractNumId w:val="3"/>
  </w:num>
  <w:num w:numId="36" w16cid:durableId="1057051076">
    <w:abstractNumId w:val="17"/>
  </w:num>
  <w:num w:numId="37" w16cid:durableId="1110947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34331"/>
    <w:rsid w:val="000465C4"/>
    <w:rsid w:val="00057399"/>
    <w:rsid w:val="000576DC"/>
    <w:rsid w:val="00057C7F"/>
    <w:rsid w:val="0007022E"/>
    <w:rsid w:val="00070FE9"/>
    <w:rsid w:val="00071C5C"/>
    <w:rsid w:val="000755A0"/>
    <w:rsid w:val="00082647"/>
    <w:rsid w:val="000875BA"/>
    <w:rsid w:val="00092BD6"/>
    <w:rsid w:val="00093BFD"/>
    <w:rsid w:val="000A5632"/>
    <w:rsid w:val="000C6615"/>
    <w:rsid w:val="000C6DE6"/>
    <w:rsid w:val="000E6BF5"/>
    <w:rsid w:val="000F5EA5"/>
    <w:rsid w:val="000F75B7"/>
    <w:rsid w:val="0010396E"/>
    <w:rsid w:val="00107F75"/>
    <w:rsid w:val="00112079"/>
    <w:rsid w:val="0011494F"/>
    <w:rsid w:val="00117925"/>
    <w:rsid w:val="0012183B"/>
    <w:rsid w:val="00121B54"/>
    <w:rsid w:val="00122FE5"/>
    <w:rsid w:val="00132FFB"/>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4DE7"/>
    <w:rsid w:val="00191363"/>
    <w:rsid w:val="001947CD"/>
    <w:rsid w:val="001A1B79"/>
    <w:rsid w:val="001B7798"/>
    <w:rsid w:val="001C14B7"/>
    <w:rsid w:val="001C1713"/>
    <w:rsid w:val="001C37DF"/>
    <w:rsid w:val="001C7076"/>
    <w:rsid w:val="001D5B33"/>
    <w:rsid w:val="001E0FF2"/>
    <w:rsid w:val="001E18AA"/>
    <w:rsid w:val="001F62C1"/>
    <w:rsid w:val="00204362"/>
    <w:rsid w:val="00204D9A"/>
    <w:rsid w:val="00204E05"/>
    <w:rsid w:val="00213558"/>
    <w:rsid w:val="0021750B"/>
    <w:rsid w:val="00221B02"/>
    <w:rsid w:val="002265AB"/>
    <w:rsid w:val="00230395"/>
    <w:rsid w:val="00231F50"/>
    <w:rsid w:val="0025243F"/>
    <w:rsid w:val="00255525"/>
    <w:rsid w:val="002748BB"/>
    <w:rsid w:val="00274C37"/>
    <w:rsid w:val="0027694C"/>
    <w:rsid w:val="0028633C"/>
    <w:rsid w:val="00286C01"/>
    <w:rsid w:val="00291A5A"/>
    <w:rsid w:val="00293A96"/>
    <w:rsid w:val="0029546F"/>
    <w:rsid w:val="002978F6"/>
    <w:rsid w:val="00297F42"/>
    <w:rsid w:val="002B2B54"/>
    <w:rsid w:val="002B3C33"/>
    <w:rsid w:val="002B5396"/>
    <w:rsid w:val="002B5F89"/>
    <w:rsid w:val="002B6138"/>
    <w:rsid w:val="002C04B8"/>
    <w:rsid w:val="002C08F1"/>
    <w:rsid w:val="002C177C"/>
    <w:rsid w:val="002C384D"/>
    <w:rsid w:val="002C3E6B"/>
    <w:rsid w:val="002C49BA"/>
    <w:rsid w:val="002D69E2"/>
    <w:rsid w:val="00304473"/>
    <w:rsid w:val="003068DD"/>
    <w:rsid w:val="00307781"/>
    <w:rsid w:val="003122BC"/>
    <w:rsid w:val="00320082"/>
    <w:rsid w:val="00320CD8"/>
    <w:rsid w:val="003229C3"/>
    <w:rsid w:val="00324CD8"/>
    <w:rsid w:val="00331484"/>
    <w:rsid w:val="003317AB"/>
    <w:rsid w:val="003330FB"/>
    <w:rsid w:val="0033728D"/>
    <w:rsid w:val="0034252A"/>
    <w:rsid w:val="00346985"/>
    <w:rsid w:val="00346D17"/>
    <w:rsid w:val="003667B4"/>
    <w:rsid w:val="00371437"/>
    <w:rsid w:val="00373858"/>
    <w:rsid w:val="00374679"/>
    <w:rsid w:val="003802DE"/>
    <w:rsid w:val="00391AD2"/>
    <w:rsid w:val="00392A98"/>
    <w:rsid w:val="00393DAC"/>
    <w:rsid w:val="00393F34"/>
    <w:rsid w:val="0039791E"/>
    <w:rsid w:val="003A2AC9"/>
    <w:rsid w:val="003A442E"/>
    <w:rsid w:val="003A775F"/>
    <w:rsid w:val="003A7A28"/>
    <w:rsid w:val="003B6FED"/>
    <w:rsid w:val="003C089B"/>
    <w:rsid w:val="003C17FC"/>
    <w:rsid w:val="003C28D6"/>
    <w:rsid w:val="003C5CC8"/>
    <w:rsid w:val="003C5E8B"/>
    <w:rsid w:val="003D0206"/>
    <w:rsid w:val="003D249D"/>
    <w:rsid w:val="003E0963"/>
    <w:rsid w:val="003E3EA1"/>
    <w:rsid w:val="003E6C23"/>
    <w:rsid w:val="003F267F"/>
    <w:rsid w:val="003F5585"/>
    <w:rsid w:val="0040551A"/>
    <w:rsid w:val="004108CE"/>
    <w:rsid w:val="004207DC"/>
    <w:rsid w:val="00424C7B"/>
    <w:rsid w:val="00441B57"/>
    <w:rsid w:val="00442137"/>
    <w:rsid w:val="00445051"/>
    <w:rsid w:val="00451C39"/>
    <w:rsid w:val="004544C8"/>
    <w:rsid w:val="00457FE6"/>
    <w:rsid w:val="00460115"/>
    <w:rsid w:val="00474F72"/>
    <w:rsid w:val="004771DA"/>
    <w:rsid w:val="00482EA1"/>
    <w:rsid w:val="00482F73"/>
    <w:rsid w:val="004849AE"/>
    <w:rsid w:val="00486452"/>
    <w:rsid w:val="00486EE4"/>
    <w:rsid w:val="004870EE"/>
    <w:rsid w:val="00487B28"/>
    <w:rsid w:val="00496FD2"/>
    <w:rsid w:val="004A09F8"/>
    <w:rsid w:val="004A1556"/>
    <w:rsid w:val="004A2ED5"/>
    <w:rsid w:val="004A323F"/>
    <w:rsid w:val="004A4B69"/>
    <w:rsid w:val="004B1AC3"/>
    <w:rsid w:val="004B4F6A"/>
    <w:rsid w:val="004C1F8F"/>
    <w:rsid w:val="004C44F7"/>
    <w:rsid w:val="004D3056"/>
    <w:rsid w:val="004D3AE7"/>
    <w:rsid w:val="004E1B06"/>
    <w:rsid w:val="004F104D"/>
    <w:rsid w:val="00501F82"/>
    <w:rsid w:val="005211DB"/>
    <w:rsid w:val="00526EDC"/>
    <w:rsid w:val="00556F14"/>
    <w:rsid w:val="0056072C"/>
    <w:rsid w:val="005608C1"/>
    <w:rsid w:val="0057432E"/>
    <w:rsid w:val="00575C58"/>
    <w:rsid w:val="00585341"/>
    <w:rsid w:val="00591C28"/>
    <w:rsid w:val="00596086"/>
    <w:rsid w:val="005A2BE8"/>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640D"/>
    <w:rsid w:val="006477F0"/>
    <w:rsid w:val="00650447"/>
    <w:rsid w:val="00651E6A"/>
    <w:rsid w:val="006532D6"/>
    <w:rsid w:val="00653F27"/>
    <w:rsid w:val="006571ED"/>
    <w:rsid w:val="006626CA"/>
    <w:rsid w:val="0066441E"/>
    <w:rsid w:val="006762E0"/>
    <w:rsid w:val="0067736D"/>
    <w:rsid w:val="006803CD"/>
    <w:rsid w:val="00690293"/>
    <w:rsid w:val="0069066C"/>
    <w:rsid w:val="006914C3"/>
    <w:rsid w:val="0069719B"/>
    <w:rsid w:val="006A09C6"/>
    <w:rsid w:val="006A4A02"/>
    <w:rsid w:val="006B454F"/>
    <w:rsid w:val="006B7B45"/>
    <w:rsid w:val="006C57EC"/>
    <w:rsid w:val="006D69C4"/>
    <w:rsid w:val="006E5C82"/>
    <w:rsid w:val="006E72F1"/>
    <w:rsid w:val="006F6BC2"/>
    <w:rsid w:val="00702E52"/>
    <w:rsid w:val="00705451"/>
    <w:rsid w:val="00714EBA"/>
    <w:rsid w:val="00722201"/>
    <w:rsid w:val="00723481"/>
    <w:rsid w:val="00724B5B"/>
    <w:rsid w:val="0073208B"/>
    <w:rsid w:val="00733BEF"/>
    <w:rsid w:val="00737E0E"/>
    <w:rsid w:val="0074098A"/>
    <w:rsid w:val="00760009"/>
    <w:rsid w:val="0076431E"/>
    <w:rsid w:val="0077797D"/>
    <w:rsid w:val="00783C98"/>
    <w:rsid w:val="007852CE"/>
    <w:rsid w:val="0078659D"/>
    <w:rsid w:val="007A3276"/>
    <w:rsid w:val="007A77B8"/>
    <w:rsid w:val="007C0AB0"/>
    <w:rsid w:val="007C0ABF"/>
    <w:rsid w:val="007C6F6B"/>
    <w:rsid w:val="007D5110"/>
    <w:rsid w:val="007D6374"/>
    <w:rsid w:val="007E0B08"/>
    <w:rsid w:val="007E55BB"/>
    <w:rsid w:val="007F0494"/>
    <w:rsid w:val="007F7F35"/>
    <w:rsid w:val="0080289A"/>
    <w:rsid w:val="0080523B"/>
    <w:rsid w:val="00820E4A"/>
    <w:rsid w:val="00822000"/>
    <w:rsid w:val="00824E66"/>
    <w:rsid w:val="00833BB4"/>
    <w:rsid w:val="0083531C"/>
    <w:rsid w:val="00844F3C"/>
    <w:rsid w:val="0084772A"/>
    <w:rsid w:val="008479AA"/>
    <w:rsid w:val="00855284"/>
    <w:rsid w:val="008619E4"/>
    <w:rsid w:val="00863444"/>
    <w:rsid w:val="0086568A"/>
    <w:rsid w:val="00874C5E"/>
    <w:rsid w:val="00876E20"/>
    <w:rsid w:val="00884724"/>
    <w:rsid w:val="00886357"/>
    <w:rsid w:val="00891FE3"/>
    <w:rsid w:val="00895CD7"/>
    <w:rsid w:val="008A2193"/>
    <w:rsid w:val="008A5F96"/>
    <w:rsid w:val="008A6A9C"/>
    <w:rsid w:val="008B10C8"/>
    <w:rsid w:val="008B278F"/>
    <w:rsid w:val="008C28F3"/>
    <w:rsid w:val="008C7931"/>
    <w:rsid w:val="008C7F76"/>
    <w:rsid w:val="008D3E30"/>
    <w:rsid w:val="008E0493"/>
    <w:rsid w:val="008E260A"/>
    <w:rsid w:val="008F041B"/>
    <w:rsid w:val="008F2960"/>
    <w:rsid w:val="00900F86"/>
    <w:rsid w:val="00932786"/>
    <w:rsid w:val="00932BDA"/>
    <w:rsid w:val="009343D5"/>
    <w:rsid w:val="00934A6E"/>
    <w:rsid w:val="00934D6B"/>
    <w:rsid w:val="00937D06"/>
    <w:rsid w:val="0094544E"/>
    <w:rsid w:val="0094772F"/>
    <w:rsid w:val="00952FC0"/>
    <w:rsid w:val="009640E8"/>
    <w:rsid w:val="009644EE"/>
    <w:rsid w:val="009646A2"/>
    <w:rsid w:val="00981E4A"/>
    <w:rsid w:val="00991200"/>
    <w:rsid w:val="00991CCA"/>
    <w:rsid w:val="009931A3"/>
    <w:rsid w:val="009954D4"/>
    <w:rsid w:val="009A08B2"/>
    <w:rsid w:val="009A4CBD"/>
    <w:rsid w:val="009A761A"/>
    <w:rsid w:val="009B083D"/>
    <w:rsid w:val="009B3D56"/>
    <w:rsid w:val="009C51B5"/>
    <w:rsid w:val="009D5E0D"/>
    <w:rsid w:val="009D6486"/>
    <w:rsid w:val="009E0B15"/>
    <w:rsid w:val="009E41E7"/>
    <w:rsid w:val="009E4F57"/>
    <w:rsid w:val="00A06D8D"/>
    <w:rsid w:val="00A16700"/>
    <w:rsid w:val="00A24831"/>
    <w:rsid w:val="00A44845"/>
    <w:rsid w:val="00A57400"/>
    <w:rsid w:val="00A63715"/>
    <w:rsid w:val="00A646A0"/>
    <w:rsid w:val="00A66A09"/>
    <w:rsid w:val="00A67C37"/>
    <w:rsid w:val="00A67D7B"/>
    <w:rsid w:val="00A709ED"/>
    <w:rsid w:val="00A77548"/>
    <w:rsid w:val="00A77774"/>
    <w:rsid w:val="00A77D21"/>
    <w:rsid w:val="00A810F1"/>
    <w:rsid w:val="00A83A55"/>
    <w:rsid w:val="00A87D82"/>
    <w:rsid w:val="00A930DE"/>
    <w:rsid w:val="00A93401"/>
    <w:rsid w:val="00AA148C"/>
    <w:rsid w:val="00AA6E68"/>
    <w:rsid w:val="00AB0932"/>
    <w:rsid w:val="00AB1542"/>
    <w:rsid w:val="00AB623E"/>
    <w:rsid w:val="00AB630C"/>
    <w:rsid w:val="00AC1136"/>
    <w:rsid w:val="00AC4029"/>
    <w:rsid w:val="00AF26C9"/>
    <w:rsid w:val="00AF3D0A"/>
    <w:rsid w:val="00AF3E9B"/>
    <w:rsid w:val="00AF61AF"/>
    <w:rsid w:val="00B0285F"/>
    <w:rsid w:val="00B0760C"/>
    <w:rsid w:val="00B15417"/>
    <w:rsid w:val="00B159F5"/>
    <w:rsid w:val="00B2017F"/>
    <w:rsid w:val="00B21BB1"/>
    <w:rsid w:val="00B32019"/>
    <w:rsid w:val="00B32AB8"/>
    <w:rsid w:val="00B362EB"/>
    <w:rsid w:val="00B37C37"/>
    <w:rsid w:val="00B42FA1"/>
    <w:rsid w:val="00B50E78"/>
    <w:rsid w:val="00B55EB2"/>
    <w:rsid w:val="00B61368"/>
    <w:rsid w:val="00B61B03"/>
    <w:rsid w:val="00B7197B"/>
    <w:rsid w:val="00B73447"/>
    <w:rsid w:val="00B8276E"/>
    <w:rsid w:val="00B86B49"/>
    <w:rsid w:val="00B953E3"/>
    <w:rsid w:val="00BB4843"/>
    <w:rsid w:val="00BC268B"/>
    <w:rsid w:val="00BC3C7A"/>
    <w:rsid w:val="00BC51C7"/>
    <w:rsid w:val="00BD1F6E"/>
    <w:rsid w:val="00BD3346"/>
    <w:rsid w:val="00BE79EB"/>
    <w:rsid w:val="00C0074F"/>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6602D"/>
    <w:rsid w:val="00C73A59"/>
    <w:rsid w:val="00C80AC5"/>
    <w:rsid w:val="00C81922"/>
    <w:rsid w:val="00C85696"/>
    <w:rsid w:val="00C92BF8"/>
    <w:rsid w:val="00C9559F"/>
    <w:rsid w:val="00CA1021"/>
    <w:rsid w:val="00CA57CB"/>
    <w:rsid w:val="00CB3027"/>
    <w:rsid w:val="00CB33A4"/>
    <w:rsid w:val="00CC196E"/>
    <w:rsid w:val="00CC21DF"/>
    <w:rsid w:val="00CC3446"/>
    <w:rsid w:val="00CC6DF8"/>
    <w:rsid w:val="00CD258C"/>
    <w:rsid w:val="00CD6056"/>
    <w:rsid w:val="00CD73DE"/>
    <w:rsid w:val="00CE10D3"/>
    <w:rsid w:val="00CE6BEE"/>
    <w:rsid w:val="00CF4451"/>
    <w:rsid w:val="00CF5985"/>
    <w:rsid w:val="00CF5C20"/>
    <w:rsid w:val="00CF6EB2"/>
    <w:rsid w:val="00D003B1"/>
    <w:rsid w:val="00D0253A"/>
    <w:rsid w:val="00D030E9"/>
    <w:rsid w:val="00D04B31"/>
    <w:rsid w:val="00D1664C"/>
    <w:rsid w:val="00D2211A"/>
    <w:rsid w:val="00D23D35"/>
    <w:rsid w:val="00D24948"/>
    <w:rsid w:val="00D27F55"/>
    <w:rsid w:val="00D33570"/>
    <w:rsid w:val="00D44A57"/>
    <w:rsid w:val="00D528AA"/>
    <w:rsid w:val="00D56797"/>
    <w:rsid w:val="00D64A25"/>
    <w:rsid w:val="00D672AC"/>
    <w:rsid w:val="00D737C9"/>
    <w:rsid w:val="00D73EC3"/>
    <w:rsid w:val="00D76323"/>
    <w:rsid w:val="00D77E91"/>
    <w:rsid w:val="00D81522"/>
    <w:rsid w:val="00D85674"/>
    <w:rsid w:val="00D95CEC"/>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DF4B00"/>
    <w:rsid w:val="00DF75BF"/>
    <w:rsid w:val="00E00972"/>
    <w:rsid w:val="00E058A2"/>
    <w:rsid w:val="00E06675"/>
    <w:rsid w:val="00E06794"/>
    <w:rsid w:val="00E11701"/>
    <w:rsid w:val="00E1654A"/>
    <w:rsid w:val="00E17B7C"/>
    <w:rsid w:val="00E17BAA"/>
    <w:rsid w:val="00E20FDB"/>
    <w:rsid w:val="00E22E54"/>
    <w:rsid w:val="00E252BB"/>
    <w:rsid w:val="00E42C6C"/>
    <w:rsid w:val="00E478A4"/>
    <w:rsid w:val="00E60B8D"/>
    <w:rsid w:val="00E616B5"/>
    <w:rsid w:val="00E65C9F"/>
    <w:rsid w:val="00E71619"/>
    <w:rsid w:val="00E76AB2"/>
    <w:rsid w:val="00E80D3E"/>
    <w:rsid w:val="00E8510C"/>
    <w:rsid w:val="00E86085"/>
    <w:rsid w:val="00E92956"/>
    <w:rsid w:val="00E950C6"/>
    <w:rsid w:val="00E954B4"/>
    <w:rsid w:val="00E9553F"/>
    <w:rsid w:val="00EA1243"/>
    <w:rsid w:val="00EA31F1"/>
    <w:rsid w:val="00EA6E5D"/>
    <w:rsid w:val="00EB036E"/>
    <w:rsid w:val="00EB0EA0"/>
    <w:rsid w:val="00EB4303"/>
    <w:rsid w:val="00EC190D"/>
    <w:rsid w:val="00EC1BD9"/>
    <w:rsid w:val="00EC29D7"/>
    <w:rsid w:val="00ED67B5"/>
    <w:rsid w:val="00EF32DE"/>
    <w:rsid w:val="00F02008"/>
    <w:rsid w:val="00F11638"/>
    <w:rsid w:val="00F11683"/>
    <w:rsid w:val="00F2208F"/>
    <w:rsid w:val="00F31DE6"/>
    <w:rsid w:val="00F31F10"/>
    <w:rsid w:val="00F33CAB"/>
    <w:rsid w:val="00F45CCF"/>
    <w:rsid w:val="00F55E80"/>
    <w:rsid w:val="00F63713"/>
    <w:rsid w:val="00F66A88"/>
    <w:rsid w:val="00F7004E"/>
    <w:rsid w:val="00F70BB4"/>
    <w:rsid w:val="00F75D33"/>
    <w:rsid w:val="00F83041"/>
    <w:rsid w:val="00F84553"/>
    <w:rsid w:val="00F85EFA"/>
    <w:rsid w:val="00F94EDF"/>
    <w:rsid w:val="00FA3EE6"/>
    <w:rsid w:val="00FA54FC"/>
    <w:rsid w:val="00FA7EFA"/>
    <w:rsid w:val="00FB0D2C"/>
    <w:rsid w:val="00FB1F69"/>
    <w:rsid w:val="00FB5B39"/>
    <w:rsid w:val="00FD3F9E"/>
    <w:rsid w:val="00FD5DF8"/>
    <w:rsid w:val="00FE118B"/>
    <w:rsid w:val="00FE3BDE"/>
    <w:rsid w:val="00FE57D0"/>
    <w:rsid w:val="00FE7E9E"/>
    <w:rsid w:val="00FF75E8"/>
    <w:rsid w:val="01498D3D"/>
    <w:rsid w:val="030C9567"/>
    <w:rsid w:val="039960EC"/>
    <w:rsid w:val="0462A3A1"/>
    <w:rsid w:val="047ECE1D"/>
    <w:rsid w:val="04BE3566"/>
    <w:rsid w:val="058F0F47"/>
    <w:rsid w:val="05CB20B6"/>
    <w:rsid w:val="065DCFA3"/>
    <w:rsid w:val="066CA6BC"/>
    <w:rsid w:val="06E8036D"/>
    <w:rsid w:val="07868FA8"/>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DF1ADDF"/>
    <w:rsid w:val="0EDF911B"/>
    <w:rsid w:val="0F5FC073"/>
    <w:rsid w:val="0F6C628A"/>
    <w:rsid w:val="0FA12B8D"/>
    <w:rsid w:val="100078CE"/>
    <w:rsid w:val="1015AFB4"/>
    <w:rsid w:val="108F5DDF"/>
    <w:rsid w:val="10C771FA"/>
    <w:rsid w:val="10C90AFC"/>
    <w:rsid w:val="11BD779C"/>
    <w:rsid w:val="11C2399F"/>
    <w:rsid w:val="13D61BFE"/>
    <w:rsid w:val="14060CD6"/>
    <w:rsid w:val="14333196"/>
    <w:rsid w:val="14E8F7C1"/>
    <w:rsid w:val="1652A179"/>
    <w:rsid w:val="16ECFFDC"/>
    <w:rsid w:val="1763C7FF"/>
    <w:rsid w:val="1772FC22"/>
    <w:rsid w:val="17B3C1AB"/>
    <w:rsid w:val="17B85576"/>
    <w:rsid w:val="183A233A"/>
    <w:rsid w:val="18671F74"/>
    <w:rsid w:val="19AEDEE3"/>
    <w:rsid w:val="1A9571BB"/>
    <w:rsid w:val="1AE21686"/>
    <w:rsid w:val="1B0D0B02"/>
    <w:rsid w:val="1B457C4F"/>
    <w:rsid w:val="1B4F8E25"/>
    <w:rsid w:val="1BE4FD9F"/>
    <w:rsid w:val="1C3BBE5D"/>
    <w:rsid w:val="1CDEC924"/>
    <w:rsid w:val="1CE3CBCB"/>
    <w:rsid w:val="1CF21DD8"/>
    <w:rsid w:val="1CFEF7F9"/>
    <w:rsid w:val="1E373E77"/>
    <w:rsid w:val="1F6783E9"/>
    <w:rsid w:val="1FA4BB76"/>
    <w:rsid w:val="1FC8C999"/>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9C2E948"/>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1852E"/>
    <w:rsid w:val="39D3C11C"/>
    <w:rsid w:val="3ABAFE81"/>
    <w:rsid w:val="3BC4BAB4"/>
    <w:rsid w:val="3C41BC78"/>
    <w:rsid w:val="3CD8E39F"/>
    <w:rsid w:val="3CF45923"/>
    <w:rsid w:val="3DEF16EB"/>
    <w:rsid w:val="3DF29B7B"/>
    <w:rsid w:val="3F155104"/>
    <w:rsid w:val="3FBFF665"/>
    <w:rsid w:val="401A2ABA"/>
    <w:rsid w:val="4075E34B"/>
    <w:rsid w:val="41500BEA"/>
    <w:rsid w:val="41B2F8C7"/>
    <w:rsid w:val="421DBB69"/>
    <w:rsid w:val="430FEB28"/>
    <w:rsid w:val="432EBE56"/>
    <w:rsid w:val="4447DD92"/>
    <w:rsid w:val="449CD7CC"/>
    <w:rsid w:val="44AE4968"/>
    <w:rsid w:val="44EB88FD"/>
    <w:rsid w:val="451C6318"/>
    <w:rsid w:val="458CF161"/>
    <w:rsid w:val="46A5D909"/>
    <w:rsid w:val="47548E7F"/>
    <w:rsid w:val="4775575E"/>
    <w:rsid w:val="47922AB0"/>
    <w:rsid w:val="4798DE9C"/>
    <w:rsid w:val="48305058"/>
    <w:rsid w:val="484978B5"/>
    <w:rsid w:val="4A7E7B8F"/>
    <w:rsid w:val="4B400BC3"/>
    <w:rsid w:val="4C222D80"/>
    <w:rsid w:val="4C4C7376"/>
    <w:rsid w:val="4CCA2741"/>
    <w:rsid w:val="4D47897A"/>
    <w:rsid w:val="4DA84314"/>
    <w:rsid w:val="4ED34032"/>
    <w:rsid w:val="4EF13FD1"/>
    <w:rsid w:val="4F16982A"/>
    <w:rsid w:val="4FE36EA7"/>
    <w:rsid w:val="504A7B94"/>
    <w:rsid w:val="504CE256"/>
    <w:rsid w:val="5058B4AE"/>
    <w:rsid w:val="50A96FFE"/>
    <w:rsid w:val="50C51DF3"/>
    <w:rsid w:val="511FE499"/>
    <w:rsid w:val="51E16063"/>
    <w:rsid w:val="524235F5"/>
    <w:rsid w:val="52898C4D"/>
    <w:rsid w:val="52AF53A9"/>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007F4B"/>
    <w:rsid w:val="5F5FE1A8"/>
    <w:rsid w:val="5FC6AD9B"/>
    <w:rsid w:val="60836687"/>
    <w:rsid w:val="6249226C"/>
    <w:rsid w:val="62FA0C9E"/>
    <w:rsid w:val="6402010E"/>
    <w:rsid w:val="643595E8"/>
    <w:rsid w:val="645D3C6B"/>
    <w:rsid w:val="647596AB"/>
    <w:rsid w:val="647CE9BC"/>
    <w:rsid w:val="64E34FA2"/>
    <w:rsid w:val="6570ACAF"/>
    <w:rsid w:val="65F9B9EB"/>
    <w:rsid w:val="66522186"/>
    <w:rsid w:val="66820EE8"/>
    <w:rsid w:val="66868B41"/>
    <w:rsid w:val="66EFEA5F"/>
    <w:rsid w:val="6739A1D0"/>
    <w:rsid w:val="68A05804"/>
    <w:rsid w:val="692FDF71"/>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7EB955"/>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BFA691BE-D640-4FB0-A2BD-79E49440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117800">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810C757B-8770-4FDA-953B-5DCE74C1A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4.xml><?xml version="1.0" encoding="utf-8"?>
<ds:datastoreItem xmlns:ds="http://schemas.openxmlformats.org/officeDocument/2006/customXml" ds:itemID="{851F0751-92B3-43DD-93C6-014E46561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990</Words>
  <Characters>5845</Characters>
  <Application>Microsoft Office Word</Application>
  <DocSecurity>0</DocSecurity>
  <Lines>48</Lines>
  <Paragraphs>13</Paragraphs>
  <ScaleCrop>false</ScaleCrop>
  <Company>MMR</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Mazanik Jan</cp:lastModifiedBy>
  <cp:revision>71</cp:revision>
  <dcterms:created xsi:type="dcterms:W3CDTF">2022-06-27T15:17:00Z</dcterms:created>
  <dcterms:modified xsi:type="dcterms:W3CDTF">2024-04-09T06:35:00Z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