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B7925" w14:textId="77777777" w:rsidR="00C94559" w:rsidRDefault="00BD5241">
      <w:pPr>
        <w:keepNext/>
        <w:keepLines/>
        <w:spacing w:after="120" w:line="340" w:lineRule="exact"/>
        <w:jc w:val="center"/>
        <w:rPr>
          <w:rFonts w:asciiTheme="minorHAnsi" w:hAnsiTheme="minorHAnsi" w:cs="Arial"/>
          <w:b/>
          <w:smallCaps/>
          <w:sz w:val="28"/>
        </w:rPr>
      </w:pPr>
      <w:bookmarkStart w:id="0" w:name="_Ref519310164"/>
      <w:bookmarkStart w:id="1" w:name="_Toc519600074"/>
      <w:bookmarkStart w:id="2" w:name="_Ref522323480"/>
      <w:bookmarkStart w:id="3" w:name="_Toc519591986"/>
      <w:bookmarkStart w:id="4" w:name="_Toc523225498"/>
      <w:r>
        <w:rPr>
          <w:rFonts w:asciiTheme="minorHAnsi" w:hAnsiTheme="minorHAnsi" w:cs="Arial"/>
          <w:b/>
          <w:smallCaps/>
          <w:sz w:val="28"/>
        </w:rPr>
        <w:t xml:space="preserve"> </w:t>
      </w:r>
    </w:p>
    <w:p w14:paraId="5E235B54" w14:textId="77777777" w:rsidR="00C94559" w:rsidRDefault="00BD5241">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D738C05" w14:textId="77777777" w:rsidR="00C94559" w:rsidRDefault="00BD5241">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Pr>
          <w:rFonts w:asciiTheme="majorHAnsi" w:eastAsia="MS Mincho" w:hAnsiTheme="majorHAnsi" w:cs="MyriadPro-Black"/>
          <w:caps/>
          <w:color w:val="000000"/>
          <w:sz w:val="40"/>
          <w:szCs w:val="60"/>
          <w:lang w:eastAsia="ja-JP"/>
        </w:rPr>
        <w:t>INTEGROVANÝ REGIONÁLNÍ OPERAČNÍ PROGRAM</w:t>
      </w:r>
    </w:p>
    <w:p w14:paraId="24CF61E0" w14:textId="77777777" w:rsidR="00C94559" w:rsidRDefault="00C94559">
      <w:pPr>
        <w:spacing w:after="200" w:line="276" w:lineRule="auto"/>
        <w:rPr>
          <w:rFonts w:ascii="Arial" w:eastAsiaTheme="minorEastAsia" w:hAnsi="Arial" w:cs="Arial"/>
          <w:b/>
          <w:sz w:val="40"/>
          <w:szCs w:val="40"/>
        </w:rPr>
      </w:pPr>
    </w:p>
    <w:p w14:paraId="42EAA1D8" w14:textId="77777777"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3E4FC2A5" w14:textId="77777777"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14EB125B" w14:textId="77777777" w:rsidR="00C94559" w:rsidRDefault="00C94559">
      <w:pPr>
        <w:pStyle w:val="Zkladnodstavec"/>
        <w:rPr>
          <w:rFonts w:asciiTheme="majorHAnsi" w:hAnsiTheme="majorHAnsi" w:cs="MyriadPro-Black"/>
          <w:caps/>
          <w:sz w:val="60"/>
          <w:szCs w:val="60"/>
        </w:rPr>
      </w:pPr>
    </w:p>
    <w:p w14:paraId="192BDB71" w14:textId="77777777" w:rsidR="00C94559" w:rsidRDefault="00C94559">
      <w:pPr>
        <w:spacing w:after="200" w:line="276" w:lineRule="auto"/>
        <w:rPr>
          <w:rFonts w:asciiTheme="majorHAnsi" w:hAnsiTheme="majorHAnsi" w:cs="MyriadPro-Black"/>
          <w:caps/>
          <w:color w:val="A6A6A6"/>
          <w:sz w:val="40"/>
          <w:szCs w:val="40"/>
        </w:rPr>
      </w:pPr>
    </w:p>
    <w:p w14:paraId="428E423C" w14:textId="28B98E2B" w:rsidR="00C94559" w:rsidRDefault="00BD5241">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C29F7">
        <w:rPr>
          <w:rFonts w:asciiTheme="majorHAnsi" w:hAnsiTheme="majorHAnsi" w:cs="MyriadPro-Black"/>
          <w:caps/>
          <w:color w:val="A6A6A6"/>
          <w:sz w:val="40"/>
          <w:szCs w:val="40"/>
        </w:rPr>
        <w:t>9</w:t>
      </w:r>
      <w:r>
        <w:rPr>
          <w:rFonts w:asciiTheme="majorHAnsi" w:hAnsiTheme="majorHAnsi" w:cs="MyriadPro-Black"/>
          <w:caps/>
          <w:color w:val="A6A6A6"/>
          <w:sz w:val="40"/>
          <w:szCs w:val="40"/>
        </w:rPr>
        <w:t>.1</w:t>
      </w:r>
    </w:p>
    <w:p w14:paraId="668FDCE0" w14:textId="3373AF76" w:rsidR="00C94559" w:rsidRDefault="00BD5241">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17388">
        <w:rPr>
          <w:rFonts w:asciiTheme="majorHAnsi" w:hAnsiTheme="majorHAnsi" w:cs="MyriadPro-Black"/>
          <w:caps/>
          <w:color w:val="A6A6A6"/>
          <w:sz w:val="40"/>
          <w:szCs w:val="40"/>
        </w:rPr>
        <w:t>10</w:t>
      </w:r>
      <w:r w:rsidR="009C29F7">
        <w:rPr>
          <w:rFonts w:asciiTheme="majorHAnsi" w:hAnsiTheme="majorHAnsi" w:cs="MyriadPro-Black"/>
          <w:caps/>
          <w:color w:val="A6A6A6"/>
          <w:sz w:val="40"/>
          <w:szCs w:val="40"/>
        </w:rPr>
        <w:t>7</w:t>
      </w:r>
    </w:p>
    <w:p w14:paraId="3819587D" w14:textId="77777777" w:rsidR="00C94559" w:rsidRDefault="00C94559">
      <w:pPr>
        <w:pStyle w:val="Zkladnodstavec"/>
        <w:rPr>
          <w:rFonts w:asciiTheme="majorHAnsi" w:hAnsiTheme="majorHAnsi" w:cs="MyriadPro-Black"/>
          <w:caps/>
          <w:sz w:val="40"/>
          <w:szCs w:val="40"/>
        </w:rPr>
      </w:pPr>
    </w:p>
    <w:p w14:paraId="3F648874" w14:textId="4FB5E5D9" w:rsidR="00C94559" w:rsidRDefault="00BD5241">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826C5">
        <w:rPr>
          <w:rFonts w:asciiTheme="majorHAnsi" w:hAnsiTheme="majorHAnsi" w:cs="MyriadPro-Black"/>
          <w:caps/>
          <w:sz w:val="40"/>
          <w:szCs w:val="40"/>
        </w:rPr>
        <w:t>3</w:t>
      </w:r>
    </w:p>
    <w:p w14:paraId="0ED3AA34" w14:textId="77777777" w:rsidR="00C94559" w:rsidRDefault="00C94559">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69353B1F" w14:textId="77777777" w:rsidR="00C94559" w:rsidRDefault="00C94559">
      <w:pPr>
        <w:spacing w:after="200" w:line="276" w:lineRule="auto"/>
        <w:rPr>
          <w:rFonts w:asciiTheme="majorHAnsi" w:eastAsia="MS Mincho" w:hAnsiTheme="majorHAnsi" w:cs="MyriadPro-Black"/>
          <w:b/>
          <w:caps/>
          <w:color w:val="000000"/>
          <w:sz w:val="46"/>
          <w:szCs w:val="40"/>
          <w:lang w:eastAsia="ja-JP"/>
        </w:rPr>
      </w:pPr>
    </w:p>
    <w:p w14:paraId="3A29F0E0" w14:textId="77777777" w:rsidR="00C94559" w:rsidRDefault="00BD5241">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penĚžních prostředků při porušení podmínek dopisu ministerstva pro místní rozvoj</w:t>
      </w:r>
    </w:p>
    <w:p w14:paraId="760A8854" w14:textId="77777777" w:rsidR="00C94559" w:rsidRDefault="00C94559">
      <w:pPr>
        <w:spacing w:after="200" w:line="276" w:lineRule="auto"/>
        <w:rPr>
          <w:rFonts w:asciiTheme="majorHAnsi" w:eastAsia="MS Mincho" w:hAnsiTheme="majorHAnsi" w:cs="MyriadPro-Black"/>
          <w:b/>
          <w:caps/>
          <w:color w:val="000000"/>
          <w:sz w:val="46"/>
          <w:szCs w:val="40"/>
          <w:lang w:eastAsia="ja-JP"/>
        </w:rPr>
      </w:pPr>
    </w:p>
    <w:p w14:paraId="0D1CFF3F" w14:textId="77777777" w:rsidR="00C94559" w:rsidRDefault="00C94559">
      <w:pPr>
        <w:spacing w:after="200" w:line="276" w:lineRule="auto"/>
        <w:rPr>
          <w:rFonts w:asciiTheme="majorHAnsi" w:eastAsiaTheme="minorEastAsia" w:hAnsiTheme="majorHAnsi" w:cstheme="minorBidi"/>
        </w:rPr>
      </w:pPr>
    </w:p>
    <w:p w14:paraId="2C78C9C3" w14:textId="50D114CD" w:rsidR="00C94559" w:rsidRDefault="00BD5241">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Pr>
          <w:rFonts w:asciiTheme="majorHAnsi" w:eastAsia="MS Mincho" w:hAnsiTheme="majorHAnsi" w:cs="MyriadPro-Black"/>
          <w:caps/>
          <w:color w:val="000000"/>
          <w:sz w:val="32"/>
          <w:szCs w:val="40"/>
          <w:lang w:eastAsia="ja-JP"/>
        </w:rPr>
        <w:t xml:space="preserve">pLATNOST OD </w:t>
      </w:r>
      <w:r w:rsidR="008D58D1">
        <w:rPr>
          <w:rFonts w:asciiTheme="majorHAnsi" w:eastAsia="MS Mincho" w:hAnsiTheme="majorHAnsi" w:cs="MyriadPro-Black"/>
          <w:caps/>
          <w:color w:val="000000"/>
          <w:sz w:val="32"/>
          <w:szCs w:val="40"/>
          <w:lang w:eastAsia="ja-JP"/>
        </w:rPr>
        <w:t>6</w:t>
      </w:r>
      <w:r w:rsidRPr="007B4B1F">
        <w:rPr>
          <w:rFonts w:asciiTheme="majorHAnsi" w:eastAsia="MS Mincho" w:hAnsiTheme="majorHAnsi" w:cs="MyriadPro-Black"/>
          <w:caps/>
          <w:color w:val="000000"/>
          <w:sz w:val="32"/>
          <w:szCs w:val="40"/>
          <w:lang w:eastAsia="ja-JP"/>
        </w:rPr>
        <w:t xml:space="preserve">. </w:t>
      </w:r>
      <w:r w:rsidR="008D58D1">
        <w:rPr>
          <w:rFonts w:asciiTheme="majorHAnsi" w:eastAsia="MS Mincho" w:hAnsiTheme="majorHAnsi" w:cs="MyriadPro-Black"/>
          <w:caps/>
          <w:color w:val="000000"/>
          <w:sz w:val="32"/>
          <w:szCs w:val="40"/>
          <w:lang w:eastAsia="ja-JP"/>
        </w:rPr>
        <w:t>2</w:t>
      </w:r>
      <w:r w:rsidRPr="007B4B1F">
        <w:rPr>
          <w:rFonts w:asciiTheme="majorHAnsi" w:eastAsia="MS Mincho" w:hAnsiTheme="majorHAnsi" w:cs="MyriadPro-Black"/>
          <w:caps/>
          <w:color w:val="000000"/>
          <w:sz w:val="32"/>
          <w:szCs w:val="40"/>
          <w:lang w:eastAsia="ja-JP"/>
        </w:rPr>
        <w:t>. 202</w:t>
      </w:r>
      <w:r w:rsidR="000B574C">
        <w:rPr>
          <w:rFonts w:asciiTheme="majorHAnsi" w:eastAsia="MS Mincho" w:hAnsiTheme="majorHAnsi" w:cs="MyriadPro-Black"/>
          <w:caps/>
          <w:color w:val="000000"/>
          <w:sz w:val="32"/>
          <w:szCs w:val="40"/>
          <w:lang w:eastAsia="ja-JP"/>
        </w:rPr>
        <w:t>4</w:t>
      </w:r>
    </w:p>
    <w:p w14:paraId="30E10852" w14:textId="77777777" w:rsidR="00C94559" w:rsidRDefault="00C94559">
      <w:pPr>
        <w:rPr>
          <w:rFonts w:ascii="Arial" w:hAnsi="Arial" w:cs="Arial"/>
          <w:sz w:val="28"/>
          <w:szCs w:val="28"/>
        </w:rPr>
      </w:pPr>
    </w:p>
    <w:bookmarkEnd w:id="0"/>
    <w:bookmarkEnd w:id="1"/>
    <w:bookmarkEnd w:id="2"/>
    <w:bookmarkEnd w:id="3"/>
    <w:bookmarkEnd w:id="4"/>
    <w:p w14:paraId="4408FA65" w14:textId="77777777" w:rsidR="00C94559" w:rsidRDefault="00BD5241">
      <w:pPr>
        <w:pStyle w:val="Prosttext"/>
        <w:jc w:val="both"/>
        <w:rPr>
          <w:rFonts w:asciiTheme="minorHAnsi" w:hAnsiTheme="minorHAnsi"/>
          <w:b/>
          <w:snapToGrid w:val="0"/>
          <w:sz w:val="24"/>
          <w:szCs w:val="24"/>
        </w:rPr>
      </w:pPr>
      <w:r>
        <w:rPr>
          <w:rFonts w:asciiTheme="minorHAnsi" w:hAnsiTheme="minorHAnsi"/>
          <w:b/>
          <w:snapToGrid w:val="0"/>
          <w:sz w:val="24"/>
          <w:szCs w:val="24"/>
        </w:rPr>
        <w:t xml:space="preserve">Tato příloha uvádí postup při porušení povinností příjemce vyplývajících z Podmínek Dopisu ministerstva pro místní rozvoj/Stanovení výdajů a stanovuje procentní rozmezí/pevný procentní podíl/pevnou částku odvodu pro výpočet výše krácení žádosti o platbu, resp. výše odvodu za porušení rozpočtové kázně. </w:t>
      </w:r>
    </w:p>
    <w:p w14:paraId="277ACEE8" w14:textId="343C081B"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při administraci žádosti o platbu před jejím zahrnutím do souhrnné žádosti o platbu</w:t>
      </w:r>
      <w:r>
        <w:rPr>
          <w:rFonts w:asciiTheme="minorHAnsi" w:hAnsiTheme="minorHAnsi"/>
          <w:snapToGrid w:val="0"/>
          <w:sz w:val="24"/>
          <w:szCs w:val="24"/>
        </w:rPr>
        <w:t xml:space="preserve"> zjištěno, že příjemce nesplnil některou z povinností uvedených v Podmínkách Dopisu ministerstva pro místní rozvoj/ Stanovení výdajů, navrhne Centrum pro regionální rozvoj České republiky (dále jen „CRR“) krácení ve výši odvodu, dle ustanovení uvedených dále, z částky, která by byla schválena, pokud by se neuděloval odvod (tzn. z výdajů, které byly kontrolou posouzeny jako způsobilé). Odvodem se ponižuje schválená výše žádosti o platbu. </w:t>
      </w:r>
    </w:p>
    <w:p w14:paraId="2D60686F" w14:textId="7E0FBEA9"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po schválení Žádosti o platbu a jejím zahrnutím do souhrnné žádosti o platbu</w:t>
      </w:r>
      <w:r>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Pr>
          <w:rFonts w:asciiTheme="minorHAnsi" w:hAnsiTheme="minorHAnsi"/>
          <w:b/>
          <w:snapToGrid w:val="0"/>
          <w:sz w:val="24"/>
          <w:szCs w:val="24"/>
        </w:rPr>
        <w:t>Odvod za porušení Podmínek bude vypočten z částky, která by byla schválena, pokud by se neuděloval odvod (tzn. z výdajů, které byly kontrolou posouzeny jako způsobilé)</w:t>
      </w:r>
      <w:r>
        <w:rPr>
          <w:rFonts w:asciiTheme="minorHAnsi" w:hAnsiTheme="minorHAnsi"/>
          <w:snapToGrid w:val="0"/>
          <w:sz w:val="24"/>
          <w:szCs w:val="24"/>
        </w:rPr>
        <w:t>.</w:t>
      </w:r>
      <w:r>
        <w:rPr>
          <w:sz w:val="24"/>
          <w:szCs w:val="24"/>
        </w:rPr>
        <w:t xml:space="preserve"> </w:t>
      </w:r>
      <w:r>
        <w:rPr>
          <w:rFonts w:asciiTheme="minorHAnsi" w:hAnsiTheme="minorHAnsi"/>
          <w:b/>
          <w:snapToGrid w:val="0"/>
          <w:sz w:val="24"/>
          <w:szCs w:val="24"/>
        </w:rPr>
        <w:t>Odvodem se ponižuje schválená výše žádosti o platbu</w:t>
      </w:r>
      <w:r>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66932F1B" w14:textId="77777777" w:rsidR="00C94559" w:rsidRDefault="00BD5241">
      <w:pPr>
        <w:pStyle w:val="Nadpis3"/>
        <w:spacing w:before="240" w:after="120"/>
        <w:jc w:val="both"/>
        <w:rPr>
          <w:rFonts w:asciiTheme="minorHAnsi" w:hAnsiTheme="minorHAnsi"/>
          <w:i/>
          <w:szCs w:val="24"/>
        </w:rPr>
      </w:pPr>
      <w:r>
        <w:rPr>
          <w:rFonts w:asciiTheme="minorHAnsi" w:hAnsiTheme="minorHAnsi"/>
          <w:szCs w:val="24"/>
        </w:rPr>
        <w:t>Při nesplnění více bodů Podmínek, se jednotlivé odvody sčítají. Krácení za nesplnění Podmínek však nemůže být vyšší než celková výše schválených peněžních prostředků k proplacení.</w:t>
      </w:r>
    </w:p>
    <w:p w14:paraId="37831545" w14:textId="77777777" w:rsidR="00C94559" w:rsidRDefault="00BD5241">
      <w:pPr>
        <w:pStyle w:val="Nadpis3"/>
        <w:spacing w:after="120"/>
        <w:rPr>
          <w:rFonts w:asciiTheme="minorHAnsi" w:hAnsiTheme="minorHAnsi"/>
          <w:i/>
        </w:rPr>
      </w:pPr>
      <w:r>
        <w:rPr>
          <w:rFonts w:asciiTheme="minorHAnsi" w:hAnsiTheme="minorHAnsi"/>
          <w:i/>
        </w:rPr>
        <w:t>Část I</w:t>
      </w:r>
    </w:p>
    <w:p w14:paraId="3AD3D893" w14:textId="77777777" w:rsidR="00C94559" w:rsidRDefault="00BD5241">
      <w:pPr>
        <w:pStyle w:val="Nadpis3"/>
        <w:spacing w:after="120"/>
        <w:rPr>
          <w:rFonts w:asciiTheme="minorHAnsi" w:hAnsiTheme="minorHAnsi"/>
          <w:i/>
        </w:rPr>
      </w:pPr>
      <w:r>
        <w:rPr>
          <w:rFonts w:asciiTheme="minorHAnsi" w:hAnsiTheme="minorHAnsi"/>
          <w:i/>
        </w:rPr>
        <w:t>Podmínky, na které je poskytnutí peněžních prostředků vázáno</w:t>
      </w:r>
    </w:p>
    <w:p w14:paraId="6C285771" w14:textId="77777777" w:rsidR="00C94559" w:rsidRDefault="00C94559">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985"/>
        <w:gridCol w:w="2409"/>
      </w:tblGrid>
      <w:tr w:rsidR="00C94559" w14:paraId="436683B1" w14:textId="77777777">
        <w:tc>
          <w:tcPr>
            <w:tcW w:w="709" w:type="dxa"/>
          </w:tcPr>
          <w:p w14:paraId="62AF744C" w14:textId="77777777" w:rsidR="00C94559" w:rsidRDefault="00C94559">
            <w:pPr>
              <w:spacing w:after="120"/>
              <w:rPr>
                <w:b/>
              </w:rPr>
            </w:pPr>
          </w:p>
        </w:tc>
        <w:tc>
          <w:tcPr>
            <w:tcW w:w="3969" w:type="dxa"/>
          </w:tcPr>
          <w:p w14:paraId="000D7755" w14:textId="77777777" w:rsidR="00C94559" w:rsidRDefault="00BD5241">
            <w:pPr>
              <w:spacing w:after="120"/>
              <w:rPr>
                <w:rFonts w:asciiTheme="minorHAnsi" w:hAnsiTheme="minorHAnsi"/>
                <w:b/>
                <w:sz w:val="22"/>
                <w:szCs w:val="22"/>
              </w:rPr>
            </w:pPr>
            <w:r>
              <w:rPr>
                <w:rFonts w:asciiTheme="minorHAnsi" w:hAnsiTheme="minorHAnsi"/>
                <w:b/>
                <w:sz w:val="22"/>
                <w:szCs w:val="22"/>
              </w:rPr>
              <w:t>Podmínka</w:t>
            </w:r>
          </w:p>
        </w:tc>
        <w:tc>
          <w:tcPr>
            <w:tcW w:w="1985" w:type="dxa"/>
          </w:tcPr>
          <w:p w14:paraId="1FA7A4B0" w14:textId="77777777" w:rsidR="00C94559" w:rsidRDefault="00BD5241">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09" w:type="dxa"/>
          </w:tcPr>
          <w:p w14:paraId="7D65BF3D" w14:textId="77777777" w:rsidR="00C94559" w:rsidRDefault="00BD5241">
            <w:pPr>
              <w:spacing w:after="120"/>
              <w:jc w:val="both"/>
              <w:rPr>
                <w:sz w:val="22"/>
                <w:szCs w:val="22"/>
              </w:rPr>
            </w:pPr>
            <w:r>
              <w:rPr>
                <w:rFonts w:asciiTheme="minorHAnsi" w:hAnsiTheme="minorHAnsi" w:cstheme="minorHAnsi"/>
                <w:b/>
                <w:sz w:val="22"/>
                <w:szCs w:val="22"/>
                <w:lang w:eastAsia="ar-SA"/>
              </w:rPr>
              <w:t>Sazba snížení Žádosti o platbu</w:t>
            </w:r>
          </w:p>
        </w:tc>
      </w:tr>
      <w:tr w:rsidR="00C94559" w14:paraId="5E94726C" w14:textId="77777777">
        <w:tc>
          <w:tcPr>
            <w:tcW w:w="709" w:type="dxa"/>
          </w:tcPr>
          <w:p w14:paraId="4ED6F2F1" w14:textId="77777777" w:rsidR="00C94559" w:rsidRDefault="00BD5241">
            <w:pPr>
              <w:spacing w:after="120"/>
              <w:jc w:val="both"/>
              <w:rPr>
                <w:rFonts w:asciiTheme="minorHAnsi" w:hAnsiTheme="minorHAnsi"/>
                <w:sz w:val="22"/>
                <w:szCs w:val="22"/>
              </w:rPr>
            </w:pPr>
            <w:r>
              <w:rPr>
                <w:rFonts w:asciiTheme="minorHAnsi" w:hAnsiTheme="minorHAnsi"/>
                <w:sz w:val="22"/>
                <w:szCs w:val="22"/>
              </w:rPr>
              <w:t>1.</w:t>
            </w:r>
          </w:p>
        </w:tc>
        <w:tc>
          <w:tcPr>
            <w:tcW w:w="3969" w:type="dxa"/>
          </w:tcPr>
          <w:p w14:paraId="2732F8FE"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splnit účel, na který mu budou peněžní prostředky poskytnuty. </w:t>
            </w:r>
          </w:p>
        </w:tc>
        <w:tc>
          <w:tcPr>
            <w:tcW w:w="1985" w:type="dxa"/>
          </w:tcPr>
          <w:p w14:paraId="69870243" w14:textId="77777777" w:rsidR="00C94559" w:rsidRDefault="00BD5241">
            <w:pPr>
              <w:widowControl w:val="0"/>
              <w:spacing w:after="120"/>
              <w:jc w:val="both"/>
            </w:pPr>
            <w:r>
              <w:rPr>
                <w:rFonts w:asciiTheme="minorHAnsi" w:hAnsiTheme="minorHAnsi"/>
                <w:snapToGrid w:val="0"/>
                <w:sz w:val="22"/>
                <w:szCs w:val="22"/>
              </w:rPr>
              <w:t>Není možné.</w:t>
            </w:r>
          </w:p>
        </w:tc>
        <w:tc>
          <w:tcPr>
            <w:tcW w:w="2409" w:type="dxa"/>
          </w:tcPr>
          <w:p w14:paraId="7B6EA3F2" w14:textId="77777777" w:rsidR="00C94559" w:rsidRDefault="00BD5241">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C94559" w14:paraId="74894B08" w14:textId="77777777">
        <w:tc>
          <w:tcPr>
            <w:tcW w:w="709" w:type="dxa"/>
          </w:tcPr>
          <w:p w14:paraId="7FF68EA5" w14:textId="77777777" w:rsidR="00C94559" w:rsidRDefault="00BD5241">
            <w:pPr>
              <w:spacing w:after="120"/>
              <w:jc w:val="both"/>
              <w:rPr>
                <w:rFonts w:asciiTheme="minorHAnsi" w:hAnsiTheme="minorHAnsi"/>
                <w:sz w:val="22"/>
                <w:szCs w:val="22"/>
              </w:rPr>
            </w:pPr>
            <w:r>
              <w:rPr>
                <w:rFonts w:asciiTheme="minorHAnsi" w:hAnsiTheme="minorHAnsi"/>
                <w:sz w:val="22"/>
                <w:szCs w:val="22"/>
              </w:rPr>
              <w:t>2.</w:t>
            </w:r>
          </w:p>
        </w:tc>
        <w:tc>
          <w:tcPr>
            <w:tcW w:w="3969" w:type="dxa"/>
          </w:tcPr>
          <w:p w14:paraId="30CB41FC" w14:textId="77777777"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w:t>
            </w:r>
            <w:r>
              <w:rPr>
                <w:rFonts w:asciiTheme="minorHAnsi" w:hAnsiTheme="minorHAnsi" w:cstheme="minorHAnsi"/>
                <w:snapToGrid w:val="0"/>
                <w:sz w:val="22"/>
                <w:szCs w:val="22"/>
              </w:rPr>
              <w:lastRenderedPageBreak/>
              <w:t xml:space="preserve">2016; dále jen „ZVZ“), nebo zákonem č. 134/2016 Sb., o zadávání veřejných zakázek, ve znění pozdějších předpisů (od 1. 10. 2016; dále jen „ZZVZ“). </w:t>
            </w:r>
          </w:p>
          <w:p w14:paraId="00AF25B6" w14:textId="77777777"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c>
          <w:tcPr>
            <w:tcW w:w="1985" w:type="dxa"/>
          </w:tcPr>
          <w:p w14:paraId="5A465D54" w14:textId="77777777" w:rsidR="00C94559" w:rsidRDefault="00BD5241">
            <w:pPr>
              <w:widowControl w:val="0"/>
              <w:spacing w:after="120"/>
              <w:jc w:val="both"/>
              <w:rPr>
                <w:rFonts w:cstheme="minorHAnsi"/>
                <w:snapToGrid w:val="0"/>
                <w:sz w:val="22"/>
                <w:szCs w:val="22"/>
              </w:rPr>
            </w:pPr>
            <w:r>
              <w:rPr>
                <w:rFonts w:asciiTheme="minorHAnsi" w:hAnsiTheme="minorHAnsi"/>
                <w:snapToGrid w:val="0"/>
                <w:sz w:val="22"/>
                <w:szCs w:val="22"/>
              </w:rPr>
              <w:lastRenderedPageBreak/>
              <w:t>Není možné.</w:t>
            </w:r>
          </w:p>
        </w:tc>
        <w:tc>
          <w:tcPr>
            <w:tcW w:w="2409" w:type="dxa"/>
          </w:tcPr>
          <w:p w14:paraId="587751C8"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19 části I. těchto </w:t>
            </w:r>
            <w:r>
              <w:rPr>
                <w:rFonts w:asciiTheme="minorHAnsi" w:hAnsiTheme="minorHAnsi"/>
                <w:snapToGrid w:val="0"/>
                <w:sz w:val="22"/>
                <w:szCs w:val="22"/>
              </w:rPr>
              <w:lastRenderedPageBreak/>
              <w:t xml:space="preserve">Podmínek podle přílohy 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která je součástí Obecných pravidel pro žadatele a příjemce.</w:t>
            </w:r>
          </w:p>
        </w:tc>
      </w:tr>
      <w:tr w:rsidR="00C94559" w14:paraId="7FE3412B" w14:textId="77777777">
        <w:trPr>
          <w:trHeight w:val="1124"/>
        </w:trPr>
        <w:tc>
          <w:tcPr>
            <w:tcW w:w="709" w:type="dxa"/>
          </w:tcPr>
          <w:p w14:paraId="521068E4" w14:textId="7777777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969" w:type="dxa"/>
          </w:tcPr>
          <w:p w14:paraId="5A94DDC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CRR 10 pracovních dní před </w:t>
            </w:r>
            <w:r>
              <w:rPr>
                <w:rFonts w:asciiTheme="minorHAnsi" w:hAnsiTheme="minorHAnsi"/>
                <w:snapToGrid w:val="0"/>
                <w:sz w:val="22"/>
                <w:szCs w:val="22"/>
              </w:rPr>
              <w:t xml:space="preserve">plánovaným zahájením zadávacího nebo výběrového řízení. </w:t>
            </w:r>
          </w:p>
        </w:tc>
        <w:tc>
          <w:tcPr>
            <w:tcW w:w="1985" w:type="dxa"/>
          </w:tcPr>
          <w:p w14:paraId="1C0BF04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110ECD3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10 000,-Kč.</w:t>
            </w:r>
          </w:p>
        </w:tc>
      </w:tr>
      <w:tr w:rsidR="00C94559" w14:paraId="04CBD515" w14:textId="77777777">
        <w:trPr>
          <w:trHeight w:val="1273"/>
        </w:trPr>
        <w:tc>
          <w:tcPr>
            <w:tcW w:w="709" w:type="dxa"/>
          </w:tcPr>
          <w:p w14:paraId="4C48036F" w14:textId="77777777" w:rsidR="00C94559" w:rsidRDefault="00BD5241">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01B89A1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c>
          <w:tcPr>
            <w:tcW w:w="1985" w:type="dxa"/>
          </w:tcPr>
          <w:p w14:paraId="21FAF809"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340A28CB"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 Kč.</w:t>
            </w:r>
          </w:p>
        </w:tc>
      </w:tr>
      <w:tr w:rsidR="00C94559" w14:paraId="12E99398" w14:textId="77777777">
        <w:trPr>
          <w:trHeight w:val="1226"/>
        </w:trPr>
        <w:tc>
          <w:tcPr>
            <w:tcW w:w="709" w:type="dxa"/>
            <w:vMerge w:val="restart"/>
          </w:tcPr>
          <w:p w14:paraId="1ABA383C" w14:textId="77777777" w:rsidR="00C94559" w:rsidRDefault="00BD5241">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750C12B6" w14:textId="4538674A"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w:t>
            </w:r>
            <w:r w:rsidR="00C10B4E">
              <w:rPr>
                <w:rFonts w:asciiTheme="minorHAnsi" w:hAnsiTheme="minorHAnsi"/>
                <w:snapToGrid w:val="0"/>
                <w:sz w:val="22"/>
                <w:szCs w:val="22"/>
              </w:rPr>
              <w:t xml:space="preserve">předložit </w:t>
            </w:r>
            <w:r>
              <w:rPr>
                <w:rFonts w:asciiTheme="minorHAnsi" w:hAnsiTheme="minorHAnsi"/>
                <w:snapToGrid w:val="0"/>
                <w:sz w:val="22"/>
                <w:szCs w:val="22"/>
              </w:rPr>
              <w:t xml:space="preserve">CRR pravdivé a úplné informace o průběhu realizace projektu prostřednictvím </w:t>
            </w:r>
            <w:r w:rsidR="00C10B4E">
              <w:rPr>
                <w:rFonts w:asciiTheme="minorHAnsi" w:hAnsiTheme="minorHAnsi"/>
                <w:snapToGrid w:val="0"/>
                <w:sz w:val="22"/>
                <w:szCs w:val="22"/>
              </w:rPr>
              <w:t xml:space="preserve">Závěrečné </w:t>
            </w:r>
            <w:r>
              <w:rPr>
                <w:rFonts w:asciiTheme="minorHAnsi" w:hAnsiTheme="minorHAnsi"/>
                <w:snapToGrid w:val="0"/>
                <w:sz w:val="22"/>
                <w:szCs w:val="22"/>
              </w:rPr>
              <w:t>zpráv</w:t>
            </w:r>
            <w:r w:rsidR="00C10B4E">
              <w:rPr>
                <w:rFonts w:asciiTheme="minorHAnsi" w:hAnsiTheme="minorHAnsi"/>
                <w:snapToGrid w:val="0"/>
                <w:sz w:val="22"/>
                <w:szCs w:val="22"/>
              </w:rPr>
              <w:t>y</w:t>
            </w:r>
            <w:r>
              <w:rPr>
                <w:rFonts w:asciiTheme="minorHAnsi" w:hAnsiTheme="minorHAnsi"/>
                <w:snapToGrid w:val="0"/>
                <w:sz w:val="22"/>
                <w:szCs w:val="22"/>
              </w:rPr>
              <w:t xml:space="preserve"> o realizaci projektu.</w:t>
            </w:r>
          </w:p>
        </w:tc>
        <w:tc>
          <w:tcPr>
            <w:tcW w:w="1985" w:type="dxa"/>
          </w:tcPr>
          <w:p w14:paraId="6B36C3CE" w14:textId="77777777" w:rsidR="00C94559" w:rsidRDefault="00C94559">
            <w:pPr>
              <w:widowControl w:val="0"/>
              <w:spacing w:after="120"/>
              <w:jc w:val="both"/>
              <w:rPr>
                <w:rFonts w:asciiTheme="minorHAnsi" w:hAnsiTheme="minorHAnsi"/>
                <w:snapToGrid w:val="0"/>
                <w:sz w:val="22"/>
                <w:szCs w:val="22"/>
              </w:rPr>
            </w:pPr>
          </w:p>
        </w:tc>
        <w:tc>
          <w:tcPr>
            <w:tcW w:w="2409" w:type="dxa"/>
          </w:tcPr>
          <w:p w14:paraId="2F02A10F" w14:textId="77777777" w:rsidR="00C94559" w:rsidRDefault="00C94559">
            <w:pPr>
              <w:widowControl w:val="0"/>
              <w:spacing w:after="120"/>
              <w:jc w:val="both"/>
              <w:rPr>
                <w:rFonts w:asciiTheme="minorHAnsi" w:hAnsiTheme="minorHAnsi"/>
                <w:snapToGrid w:val="0"/>
                <w:sz w:val="22"/>
                <w:szCs w:val="22"/>
              </w:rPr>
            </w:pPr>
          </w:p>
        </w:tc>
      </w:tr>
      <w:tr w:rsidR="00C94559" w14:paraId="2A7C0757" w14:textId="77777777" w:rsidTr="00391605">
        <w:trPr>
          <w:trHeight w:val="977"/>
        </w:trPr>
        <w:tc>
          <w:tcPr>
            <w:tcW w:w="709" w:type="dxa"/>
            <w:vMerge/>
          </w:tcPr>
          <w:p w14:paraId="04163794" w14:textId="77777777" w:rsidR="00C94559" w:rsidRDefault="00C94559">
            <w:pPr>
              <w:spacing w:after="120"/>
              <w:jc w:val="both"/>
              <w:rPr>
                <w:rFonts w:asciiTheme="minorHAnsi" w:hAnsiTheme="minorHAnsi"/>
                <w:sz w:val="22"/>
                <w:szCs w:val="22"/>
              </w:rPr>
            </w:pPr>
          </w:p>
        </w:tc>
        <w:tc>
          <w:tcPr>
            <w:tcW w:w="3969" w:type="dxa"/>
          </w:tcPr>
          <w:p w14:paraId="635EEA53" w14:textId="77777777"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vždy do dvaceti pracovních dnů od ukončení realizace projektu.</w:t>
            </w:r>
          </w:p>
          <w:p w14:paraId="4B506FE2" w14:textId="77777777"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14:paraId="3E3CDEEE" w14:textId="3E8FD19E"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 xml:space="preserve">V případě, že je realizace </w:t>
            </w:r>
            <w:r w:rsidR="00C10B4E">
              <w:rPr>
                <w:rFonts w:asciiTheme="minorHAnsi" w:hAnsiTheme="minorHAnsi"/>
                <w:snapToGrid w:val="0"/>
                <w:sz w:val="22"/>
                <w:szCs w:val="22"/>
              </w:rPr>
              <w:t>projek</w:t>
            </w:r>
            <w:r w:rsidR="001D56D0">
              <w:rPr>
                <w:rFonts w:asciiTheme="minorHAnsi" w:hAnsiTheme="minorHAnsi"/>
                <w:snapToGrid w:val="0"/>
                <w:sz w:val="22"/>
                <w:szCs w:val="22"/>
              </w:rPr>
              <w:t>t</w:t>
            </w:r>
            <w:r w:rsidR="00C10B4E">
              <w:rPr>
                <w:rFonts w:asciiTheme="minorHAnsi" w:hAnsiTheme="minorHAnsi"/>
                <w:snapToGrid w:val="0"/>
                <w:sz w:val="22"/>
                <w:szCs w:val="22"/>
              </w:rPr>
              <w:t>u</w:t>
            </w:r>
            <w:r>
              <w:rPr>
                <w:rFonts w:asciiTheme="minorHAnsi" w:hAnsiTheme="minorHAnsi"/>
                <w:snapToGrid w:val="0"/>
                <w:sz w:val="22"/>
                <w:szCs w:val="22"/>
              </w:rPr>
              <w:t xml:space="preserve"> ukončena před schválením prvního Stanovení, je příjemce povinen předložit Závěrečnou zprávu o realizaci projektu a </w:t>
            </w:r>
            <w:r>
              <w:rPr>
                <w:rFonts w:asciiTheme="minorHAnsi" w:hAnsiTheme="minorHAnsi"/>
                <w:snapToGrid w:val="0"/>
                <w:sz w:val="22"/>
                <w:szCs w:val="22"/>
              </w:rPr>
              <w:lastRenderedPageBreak/>
              <w:t>Žádost o platbu do dvaceti pracovních dnů od schválení prvního Stanovení.</w:t>
            </w:r>
          </w:p>
        </w:tc>
        <w:tc>
          <w:tcPr>
            <w:tcW w:w="1985" w:type="dxa"/>
          </w:tcPr>
          <w:p w14:paraId="404138B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 14f</w:t>
            </w:r>
            <w:r w:rsidR="00F1738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 218/2000 Sb., o rozpočtových pravidlech, ve znění pozdějších předpisů.</w:t>
            </w:r>
          </w:p>
        </w:tc>
        <w:tc>
          <w:tcPr>
            <w:tcW w:w="2409" w:type="dxa"/>
          </w:tcPr>
          <w:p w14:paraId="212884D1"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14:paraId="72EF10D7" w14:textId="77777777">
        <w:trPr>
          <w:trHeight w:val="2678"/>
        </w:trPr>
        <w:tc>
          <w:tcPr>
            <w:tcW w:w="709" w:type="dxa"/>
            <w:vMerge w:val="restart"/>
          </w:tcPr>
          <w:p w14:paraId="70C976BE" w14:textId="77777777" w:rsidR="00C94559" w:rsidRDefault="00BD5241">
            <w:pPr>
              <w:spacing w:after="120"/>
              <w:jc w:val="both"/>
              <w:rPr>
                <w:rFonts w:asciiTheme="minorHAnsi" w:hAnsiTheme="minorHAnsi"/>
                <w:sz w:val="22"/>
                <w:szCs w:val="22"/>
              </w:rPr>
            </w:pPr>
            <w:r>
              <w:rPr>
                <w:rFonts w:asciiTheme="minorHAnsi" w:hAnsiTheme="minorHAnsi"/>
                <w:sz w:val="22"/>
                <w:szCs w:val="22"/>
              </w:rPr>
              <w:t xml:space="preserve">6. </w:t>
            </w:r>
          </w:p>
        </w:tc>
        <w:tc>
          <w:tcPr>
            <w:tcW w:w="3969" w:type="dxa"/>
          </w:tcPr>
          <w:p w14:paraId="7BDD4158"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14:paraId="7220C39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5B10E5C"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480CD58" w14:textId="77777777" w:rsidR="00C94559" w:rsidRPr="00921854" w:rsidRDefault="00BD5241">
            <w:pPr>
              <w:pStyle w:val="Odstavecseseznamem"/>
              <w:widowControl w:val="0"/>
              <w:numPr>
                <w:ilvl w:val="0"/>
                <w:numId w:val="4"/>
              </w:numPr>
              <w:spacing w:after="120"/>
              <w:jc w:val="both"/>
              <w:rPr>
                <w:rFonts w:asciiTheme="minorHAnsi" w:hAnsiTheme="minorHAnsi"/>
                <w:snapToGrid w:val="0"/>
                <w:sz w:val="22"/>
                <w:szCs w:val="22"/>
              </w:rPr>
            </w:pPr>
            <w:r w:rsidRPr="00921854">
              <w:rPr>
                <w:rFonts w:asciiTheme="minorHAnsi" w:hAnsiTheme="minorHAnsi"/>
                <w:snapToGrid w:val="0"/>
                <w:sz w:val="22"/>
                <w:szCs w:val="22"/>
              </w:rPr>
              <w:t>změny cílových hodnot indikátorů,</w:t>
            </w:r>
          </w:p>
          <w:p w14:paraId="7C526E6D" w14:textId="325896C6"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SF v letech,</w:t>
            </w:r>
          </w:p>
          <w:p w14:paraId="0163340D"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14:paraId="4D5A6D92"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212A68B6" w14:textId="77777777" w:rsidR="00C94559" w:rsidRDefault="00BD5241">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5" w:type="dxa"/>
          </w:tcPr>
          <w:p w14:paraId="72FFCC7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5A53832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bude výše procentního odvodu 0,2 % schválené částky k proplacení, maximálně však 10 000,- Kč.</w:t>
            </w:r>
          </w:p>
          <w:p w14:paraId="50DABF70" w14:textId="77777777" w:rsidR="00C94559" w:rsidRDefault="00C94559">
            <w:pPr>
              <w:spacing w:after="120"/>
              <w:jc w:val="both"/>
            </w:pPr>
          </w:p>
        </w:tc>
      </w:tr>
      <w:tr w:rsidR="00C94559" w14:paraId="63BCF9CE" w14:textId="77777777">
        <w:trPr>
          <w:trHeight w:val="1969"/>
        </w:trPr>
        <w:tc>
          <w:tcPr>
            <w:tcW w:w="709" w:type="dxa"/>
            <w:vMerge/>
          </w:tcPr>
          <w:p w14:paraId="5865EA2F" w14:textId="77777777" w:rsidR="00C94559" w:rsidRDefault="00C94559">
            <w:pPr>
              <w:spacing w:after="120"/>
              <w:jc w:val="both"/>
              <w:rPr>
                <w:rFonts w:asciiTheme="minorHAnsi" w:hAnsiTheme="minorHAnsi"/>
                <w:sz w:val="22"/>
                <w:szCs w:val="22"/>
              </w:rPr>
            </w:pPr>
          </w:p>
        </w:tc>
        <w:tc>
          <w:tcPr>
            <w:tcW w:w="3969" w:type="dxa"/>
          </w:tcPr>
          <w:p w14:paraId="58D6046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14:paraId="2574FDBA" w14:textId="79DA3843"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je příjemce povinen podat před uplynutím termínu uvedeného na Dopise ministerstva pro místní rozvoj</w:t>
            </w:r>
            <w:r w:rsidR="00212B3A">
              <w:rPr>
                <w:rFonts w:asciiTheme="minorHAnsi" w:hAnsiTheme="minorHAnsi"/>
                <w:snapToGrid w:val="0"/>
                <w:sz w:val="22"/>
                <w:szCs w:val="22"/>
              </w:rPr>
              <w:t xml:space="preserve"> </w:t>
            </w:r>
            <w:r>
              <w:rPr>
                <w:rFonts w:asciiTheme="minorHAnsi" w:hAnsiTheme="minorHAnsi"/>
                <w:snapToGrid w:val="0"/>
                <w:sz w:val="22"/>
                <w:szCs w:val="22"/>
              </w:rPr>
              <w:t>/</w:t>
            </w:r>
            <w:r w:rsidR="00212B3A">
              <w:rPr>
                <w:rFonts w:asciiTheme="minorHAnsi" w:hAnsiTheme="minorHAnsi"/>
                <w:snapToGrid w:val="0"/>
                <w:sz w:val="22"/>
                <w:szCs w:val="22"/>
              </w:rPr>
              <w:t xml:space="preserve"> </w:t>
            </w:r>
            <w:r>
              <w:rPr>
                <w:rFonts w:asciiTheme="minorHAnsi" w:hAnsiTheme="minorHAnsi"/>
                <w:snapToGrid w:val="0"/>
                <w:sz w:val="22"/>
                <w:szCs w:val="22"/>
              </w:rPr>
              <w:t>Stanovení výdajů.</w:t>
            </w:r>
          </w:p>
        </w:tc>
        <w:tc>
          <w:tcPr>
            <w:tcW w:w="1985" w:type="dxa"/>
          </w:tcPr>
          <w:p w14:paraId="1436958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0D12FE1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Dopise ministerstva pro místní rozvoj/Stanovení výdajů bude výše procentního odvodu stanovena podle lhůty jeho překročení.</w:t>
            </w:r>
          </w:p>
          <w:p w14:paraId="2CA9711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7B658CC6"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Dopise ministerstva pro místní rozvoj/Stanovení výdajů bude výše procentního odvodu 0,2 % z celkové </w:t>
            </w:r>
            <w:r>
              <w:rPr>
                <w:rFonts w:asciiTheme="minorHAnsi" w:hAnsiTheme="minorHAnsi"/>
                <w:snapToGrid w:val="0"/>
                <w:sz w:val="22"/>
                <w:szCs w:val="22"/>
              </w:rPr>
              <w:lastRenderedPageBreak/>
              <w:t xml:space="preserve">schválené částky, </w:t>
            </w:r>
          </w:p>
          <w:p w14:paraId="01D671F5"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Dopise ministerstva pro místní rozvoj/Stanovení výdajů bude výše procentního odvodu 50 % z celkové schválené částky, </w:t>
            </w:r>
          </w:p>
          <w:p w14:paraId="1ADE7862"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Dopise ministerstva pro místní rozvoj/Stanovení výdajů bude výše procentního odvodu 100 % z celkové schválené částky.</w:t>
            </w:r>
          </w:p>
        </w:tc>
      </w:tr>
      <w:tr w:rsidR="00C94559" w14:paraId="5B62EB64" w14:textId="77777777">
        <w:trPr>
          <w:trHeight w:val="1538"/>
        </w:trPr>
        <w:tc>
          <w:tcPr>
            <w:tcW w:w="709" w:type="dxa"/>
          </w:tcPr>
          <w:p w14:paraId="63C83923" w14:textId="7777777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1344E3BC"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c>
          <w:tcPr>
            <w:tcW w:w="1985" w:type="dxa"/>
          </w:tcPr>
          <w:p w14:paraId="54E16BFA"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66F8370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14:paraId="6CFC9B29" w14:textId="77777777">
        <w:trPr>
          <w:trHeight w:val="2010"/>
        </w:trPr>
        <w:tc>
          <w:tcPr>
            <w:tcW w:w="709" w:type="dxa"/>
          </w:tcPr>
          <w:p w14:paraId="7CED46D9" w14:textId="77777777" w:rsidR="00C94559" w:rsidRDefault="00BD5241">
            <w:pPr>
              <w:spacing w:after="120"/>
              <w:jc w:val="both"/>
              <w:rPr>
                <w:rFonts w:asciiTheme="minorHAnsi" w:hAnsiTheme="minorHAnsi"/>
                <w:sz w:val="22"/>
                <w:szCs w:val="22"/>
              </w:rPr>
            </w:pPr>
            <w:r>
              <w:rPr>
                <w:rFonts w:asciiTheme="minorHAnsi" w:hAnsiTheme="minorHAnsi"/>
                <w:sz w:val="22"/>
                <w:szCs w:val="22"/>
              </w:rPr>
              <w:t>8.</w:t>
            </w:r>
          </w:p>
        </w:tc>
        <w:tc>
          <w:tcPr>
            <w:tcW w:w="3969" w:type="dxa"/>
          </w:tcPr>
          <w:p w14:paraId="35C3E5C6"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a cílové hodnotě, uvedené ve Stanovení. </w:t>
            </w:r>
          </w:p>
          <w:p w14:paraId="3752A8FC"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9298D08" w14:textId="33A78265" w:rsidR="00C94559" w:rsidRDefault="003E3113">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b/>
                <w:bCs/>
                <w:sz w:val="22"/>
                <w:szCs w:val="22"/>
              </w:rPr>
              <w:t xml:space="preserve">6 00 03 </w:t>
            </w:r>
            <w:r w:rsidR="00A45F94">
              <w:rPr>
                <w:rFonts w:ascii="Calibri" w:eastAsia="SimSun" w:hAnsi="Calibri" w:cs="Calibri"/>
                <w:sz w:val="22"/>
                <w:szCs w:val="22"/>
              </w:rPr>
              <w:t>-</w:t>
            </w:r>
            <w:r w:rsidR="00A45F94" w:rsidRPr="00A45F94">
              <w:rPr>
                <w:rFonts w:ascii="Calibri" w:eastAsia="SimSun" w:hAnsi="Calibri" w:cs="Calibri"/>
                <w:sz w:val="22"/>
                <w:szCs w:val="22"/>
              </w:rPr>
              <w:t xml:space="preserve"> Celkový počet podporovaných osob</w:t>
            </w:r>
            <w:r w:rsidR="00BD5241">
              <w:rPr>
                <w:rFonts w:ascii="Calibri" w:eastAsia="SimSun" w:hAnsi="Calibri" w:cs="Calibri"/>
                <w:sz w:val="22"/>
                <w:szCs w:val="22"/>
              </w:rPr>
              <w:t>,</w:t>
            </w:r>
          </w:p>
          <w:p w14:paraId="4A1462AB" w14:textId="51868459" w:rsidR="00C94559" w:rsidRPr="00F17388" w:rsidRDefault="00A45F94" w:rsidP="00F17388">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sz w:val="22"/>
                <w:szCs w:val="22"/>
              </w:rPr>
              <w:t xml:space="preserve"> </w:t>
            </w:r>
            <w:r w:rsidR="003E3113">
              <w:rPr>
                <w:rFonts w:ascii="Calibri" w:eastAsia="SimSun" w:hAnsi="Calibri" w:cs="Calibri"/>
                <w:b/>
                <w:bCs/>
                <w:sz w:val="22"/>
                <w:szCs w:val="22"/>
              </w:rPr>
              <w:t xml:space="preserve">6 00 04 </w:t>
            </w:r>
            <w:r>
              <w:rPr>
                <w:rFonts w:ascii="Calibri" w:eastAsia="SimSun" w:hAnsi="Calibri" w:cs="Calibri"/>
                <w:sz w:val="22"/>
                <w:szCs w:val="22"/>
              </w:rPr>
              <w:t xml:space="preserve">- </w:t>
            </w:r>
            <w:r w:rsidRPr="00A45F94">
              <w:rPr>
                <w:rFonts w:ascii="Calibri" w:eastAsia="SimSun" w:hAnsi="Calibri" w:cs="Calibri"/>
                <w:sz w:val="22"/>
                <w:szCs w:val="22"/>
              </w:rPr>
              <w:t>Počet dětí ve věku do 18 let</w:t>
            </w:r>
            <w:r w:rsidR="00BD5241" w:rsidRPr="00F17388">
              <w:rPr>
                <w:rFonts w:asciiTheme="minorHAnsi" w:hAnsiTheme="minorHAnsi"/>
                <w:color w:val="000000"/>
                <w:sz w:val="22"/>
                <w:szCs w:val="22"/>
              </w:rPr>
              <w:t>.</w:t>
            </w:r>
          </w:p>
          <w:p w14:paraId="0B1A1038"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 xml:space="preserve">Pro příjemce jsou závazné pouze indikátory uvedené ve Stanovení výdajů. </w:t>
            </w:r>
          </w:p>
        </w:tc>
        <w:tc>
          <w:tcPr>
            <w:tcW w:w="1985" w:type="dxa"/>
          </w:tcPr>
          <w:p w14:paraId="01ECDC82"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v dodatečné lhůtě – podle odst. 1, </w:t>
            </w:r>
            <w:r w:rsidRPr="00E67F87">
              <w:rPr>
                <w:rFonts w:asciiTheme="minorHAnsi" w:hAnsiTheme="minorHAnsi" w:cstheme="minorHAnsi"/>
                <w:sz w:val="22"/>
                <w:szCs w:val="22"/>
                <w:lang w:eastAsia="ar-SA"/>
              </w:rPr>
              <w:t>§ 14f</w:t>
            </w:r>
            <w:r>
              <w:rPr>
                <w:rFonts w:asciiTheme="minorHAnsi" w:hAnsiTheme="minorHAnsi" w:cstheme="minorHAnsi"/>
                <w:sz w:val="22"/>
                <w:szCs w:val="22"/>
                <w:lang w:eastAsia="ar-SA"/>
              </w:rPr>
              <w:t xml:space="preserve"> zákona č. 218/2000 Sb., o rozpočtových pravidlech, ve znění pozdějších předpisů.</w:t>
            </w:r>
          </w:p>
        </w:tc>
        <w:tc>
          <w:tcPr>
            <w:tcW w:w="2409" w:type="dxa"/>
          </w:tcPr>
          <w:p w14:paraId="76D4287C"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 14f zákona č. 218/2000 Sb., o rozpočtových pravidlech,</w:t>
            </w:r>
            <w:r>
              <w:rPr>
                <w:rFonts w:asciiTheme="minorHAnsi" w:hAnsiTheme="minorHAnsi"/>
                <w:snapToGrid w:val="0"/>
                <w:sz w:val="22"/>
                <w:szCs w:val="22"/>
              </w:rPr>
              <w:t xml:space="preserve"> ve znění pozdějších předpisů, peněžní prostředky nebudou vyplaceny.</w:t>
            </w:r>
          </w:p>
          <w:p w14:paraId="222F88EB" w14:textId="23D85923" w:rsidR="00C94559" w:rsidRPr="0011548F" w:rsidRDefault="00BD5241">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lastRenderedPageBreak/>
              <w:t>V případě naplnění cílové hodnoty indikátor</w:t>
            </w:r>
            <w:r w:rsidR="00FE1BCE">
              <w:rPr>
                <w:rFonts w:asciiTheme="minorHAnsi" w:hAnsiTheme="minorHAnsi"/>
                <w:snapToGrid w:val="0"/>
                <w:sz w:val="22"/>
                <w:szCs w:val="22"/>
              </w:rPr>
              <w:t>u</w:t>
            </w:r>
            <w:r w:rsidRPr="0011548F">
              <w:rPr>
                <w:rFonts w:asciiTheme="minorHAnsi" w:hAnsiTheme="minorHAnsi"/>
                <w:snapToGrid w:val="0"/>
                <w:sz w:val="22"/>
                <w:szCs w:val="22"/>
              </w:rPr>
              <w:t xml:space="preserve"> I. </w:t>
            </w:r>
            <w:r w:rsidR="00E12F40">
              <w:rPr>
                <w:rFonts w:asciiTheme="minorHAnsi" w:hAnsiTheme="minorHAnsi"/>
                <w:snapToGrid w:val="0"/>
                <w:sz w:val="22"/>
                <w:szCs w:val="22"/>
              </w:rPr>
              <w:t>a/</w:t>
            </w:r>
            <w:r w:rsidR="00FE1BCE">
              <w:rPr>
                <w:rFonts w:asciiTheme="minorHAnsi" w:hAnsiTheme="minorHAnsi"/>
                <w:snapToGrid w:val="0"/>
                <w:sz w:val="22"/>
                <w:szCs w:val="22"/>
              </w:rPr>
              <w:t>nebo</w:t>
            </w:r>
            <w:r w:rsidR="00FE1BCE" w:rsidRPr="0011548F">
              <w:rPr>
                <w:rFonts w:asciiTheme="minorHAnsi" w:hAnsiTheme="minorHAnsi"/>
                <w:snapToGrid w:val="0"/>
                <w:sz w:val="22"/>
                <w:szCs w:val="22"/>
              </w:rPr>
              <w:t xml:space="preserve"> </w:t>
            </w:r>
            <w:r w:rsidR="00F17388" w:rsidRPr="0011548F">
              <w:rPr>
                <w:rFonts w:asciiTheme="minorHAnsi" w:hAnsiTheme="minorHAnsi"/>
                <w:snapToGrid w:val="0"/>
                <w:sz w:val="22"/>
                <w:szCs w:val="22"/>
              </w:rPr>
              <w:t>II</w:t>
            </w:r>
            <w:r w:rsidRPr="0011548F">
              <w:rPr>
                <w:rFonts w:asciiTheme="minorHAnsi" w:hAnsiTheme="minorHAnsi"/>
                <w:snapToGrid w:val="0"/>
                <w:sz w:val="22"/>
                <w:szCs w:val="22"/>
              </w:rPr>
              <w:t xml:space="preserve">. </w:t>
            </w:r>
            <w:r w:rsidR="00C32654" w:rsidRPr="0011548F">
              <w:rPr>
                <w:rFonts w:asciiTheme="minorHAnsi" w:hAnsiTheme="minorHAnsi"/>
                <w:snapToGrid w:val="0"/>
                <w:sz w:val="22"/>
                <w:szCs w:val="22"/>
              </w:rPr>
              <w:t>n</w:t>
            </w:r>
            <w:r w:rsidRPr="0011548F">
              <w:rPr>
                <w:rFonts w:asciiTheme="minorHAnsi" w:hAnsiTheme="minorHAnsi"/>
                <w:snapToGrid w:val="0"/>
                <w:sz w:val="22"/>
                <w:szCs w:val="22"/>
              </w:rPr>
              <w:t>a</w:t>
            </w:r>
            <w:r w:rsidR="00C32654" w:rsidRPr="0011548F">
              <w:rPr>
                <w:rFonts w:asciiTheme="minorHAnsi" w:hAnsiTheme="minorHAnsi"/>
                <w:snapToGrid w:val="0"/>
                <w:sz w:val="22"/>
                <w:szCs w:val="22"/>
              </w:rPr>
              <w:t xml:space="preserve"> méně než 80</w:t>
            </w:r>
            <w:r w:rsidR="00F17388" w:rsidRPr="0011548F">
              <w:rPr>
                <w:rFonts w:asciiTheme="minorHAnsi" w:hAnsiTheme="minorHAnsi"/>
                <w:snapToGrid w:val="0"/>
                <w:sz w:val="22"/>
                <w:szCs w:val="22"/>
              </w:rPr>
              <w:t> </w:t>
            </w:r>
            <w:r w:rsidRPr="0011548F">
              <w:rPr>
                <w:rFonts w:asciiTheme="minorHAnsi" w:hAnsiTheme="minorHAnsi"/>
                <w:snapToGrid w:val="0"/>
                <w:sz w:val="22"/>
                <w:szCs w:val="22"/>
              </w:rPr>
              <w:t xml:space="preserve">% budou peněžní prostředky </w:t>
            </w:r>
            <w:r w:rsidR="00C32654" w:rsidRPr="0011548F">
              <w:rPr>
                <w:rFonts w:asciiTheme="minorHAnsi" w:hAnsiTheme="minorHAnsi"/>
                <w:snapToGrid w:val="0"/>
                <w:sz w:val="22"/>
                <w:szCs w:val="22"/>
              </w:rPr>
              <w:t xml:space="preserve">kráceny </w:t>
            </w:r>
            <w:r w:rsidR="003E3113">
              <w:rPr>
                <w:rFonts w:asciiTheme="minorHAnsi" w:hAnsiTheme="minorHAnsi"/>
                <w:snapToGrid w:val="0"/>
                <w:sz w:val="22"/>
                <w:szCs w:val="22"/>
              </w:rPr>
              <w:t>poměr</w:t>
            </w:r>
            <w:r w:rsidR="00004707">
              <w:rPr>
                <w:rFonts w:asciiTheme="minorHAnsi" w:hAnsiTheme="minorHAnsi"/>
                <w:snapToGrid w:val="0"/>
                <w:sz w:val="22"/>
                <w:szCs w:val="22"/>
              </w:rPr>
              <w:t>ov</w:t>
            </w:r>
            <w:r w:rsidR="003E3113">
              <w:rPr>
                <w:rFonts w:asciiTheme="minorHAnsi" w:hAnsiTheme="minorHAnsi"/>
                <w:snapToGrid w:val="0"/>
                <w:sz w:val="22"/>
                <w:szCs w:val="22"/>
              </w:rPr>
              <w:t>ě, vztaženo</w:t>
            </w:r>
            <w:r w:rsidR="003C2066">
              <w:rPr>
                <w:rFonts w:asciiTheme="minorHAnsi" w:hAnsiTheme="minorHAnsi"/>
                <w:snapToGrid w:val="0"/>
                <w:sz w:val="22"/>
                <w:szCs w:val="22"/>
              </w:rPr>
              <w:t xml:space="preserve"> k</w:t>
            </w:r>
            <w:r w:rsidR="00C32654" w:rsidRPr="0011548F">
              <w:rPr>
                <w:rFonts w:asciiTheme="minorHAnsi" w:hAnsiTheme="minorHAnsi"/>
                <w:snapToGrid w:val="0"/>
                <w:sz w:val="22"/>
                <w:szCs w:val="22"/>
              </w:rPr>
              <w:t xml:space="preserve"> mí</w:t>
            </w:r>
            <w:r w:rsidR="003E3113">
              <w:rPr>
                <w:rFonts w:asciiTheme="minorHAnsi" w:hAnsiTheme="minorHAnsi"/>
                <w:snapToGrid w:val="0"/>
                <w:sz w:val="22"/>
                <w:szCs w:val="22"/>
              </w:rPr>
              <w:t>ře</w:t>
            </w:r>
            <w:r w:rsidR="00C32654" w:rsidRPr="0011548F">
              <w:rPr>
                <w:rFonts w:asciiTheme="minorHAnsi" w:hAnsiTheme="minorHAnsi"/>
                <w:snapToGrid w:val="0"/>
                <w:sz w:val="22"/>
                <w:szCs w:val="22"/>
              </w:rPr>
              <w:t xml:space="preserve"> nenaplnění cílové hodnoty indikátoru. </w:t>
            </w:r>
            <w:r w:rsidR="00004707" w:rsidRPr="0011548F">
              <w:rPr>
                <w:rFonts w:asciiTheme="minorHAnsi" w:hAnsiTheme="minorHAnsi"/>
                <w:snapToGrid w:val="0"/>
                <w:sz w:val="22"/>
                <w:szCs w:val="22"/>
              </w:rPr>
              <w:t>V případě naplnění cílové hodnoty</w:t>
            </w:r>
            <w:r w:rsidR="00004707">
              <w:rPr>
                <w:rFonts w:asciiTheme="minorHAnsi" w:hAnsiTheme="minorHAnsi"/>
                <w:snapToGrid w:val="0"/>
                <w:sz w:val="22"/>
                <w:szCs w:val="22"/>
              </w:rPr>
              <w:t xml:space="preserve"> </w:t>
            </w:r>
            <w:r w:rsidR="00C32654" w:rsidRPr="0011548F">
              <w:rPr>
                <w:rFonts w:asciiTheme="minorHAnsi" w:hAnsiTheme="minorHAnsi"/>
                <w:snapToGrid w:val="0"/>
                <w:sz w:val="22"/>
                <w:szCs w:val="22"/>
              </w:rPr>
              <w:t>indikátorů I. a II. na 80 % včetně a více nebude sankce uplatněna</w:t>
            </w:r>
            <w:r w:rsidRPr="0011548F">
              <w:rPr>
                <w:rFonts w:asciiTheme="minorHAnsi" w:hAnsiTheme="minorHAnsi"/>
                <w:snapToGrid w:val="0"/>
                <w:sz w:val="22"/>
                <w:szCs w:val="22"/>
              </w:rPr>
              <w:t>.</w:t>
            </w:r>
            <w:r w:rsidR="003E3113" w:rsidRPr="0011548F">
              <w:rPr>
                <w:rFonts w:asciiTheme="minorHAnsi" w:hAnsiTheme="minorHAnsi"/>
                <w:snapToGrid w:val="0"/>
                <w:sz w:val="22"/>
                <w:szCs w:val="22"/>
              </w:rPr>
              <w:t xml:space="preserve"> </w:t>
            </w:r>
          </w:p>
          <w:p w14:paraId="44222545" w14:textId="6E132D29" w:rsidR="00C32654" w:rsidRDefault="00C32654">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t>Překročení cílové hodnoty indikátoru nepodléhá sankcím.</w:t>
            </w:r>
          </w:p>
        </w:tc>
      </w:tr>
      <w:tr w:rsidR="00C94559" w14:paraId="21589A83" w14:textId="77777777">
        <w:trPr>
          <w:trHeight w:val="720"/>
        </w:trPr>
        <w:tc>
          <w:tcPr>
            <w:tcW w:w="709" w:type="dxa"/>
            <w:vMerge w:val="restart"/>
          </w:tcPr>
          <w:p w14:paraId="6C36A6CA" w14:textId="4CAE41B2" w:rsidR="00C94559" w:rsidRDefault="00391605">
            <w:pPr>
              <w:spacing w:after="120"/>
              <w:jc w:val="both"/>
              <w:rPr>
                <w:rFonts w:asciiTheme="minorHAnsi" w:hAnsiTheme="minorHAnsi"/>
                <w:sz w:val="22"/>
                <w:szCs w:val="22"/>
              </w:rPr>
            </w:pPr>
            <w:r>
              <w:rPr>
                <w:rFonts w:asciiTheme="minorHAnsi" w:hAnsiTheme="minorHAnsi"/>
                <w:sz w:val="22"/>
                <w:szCs w:val="22"/>
              </w:rPr>
              <w:lastRenderedPageBreak/>
              <w:t>9</w:t>
            </w:r>
            <w:r w:rsidR="00BD5241">
              <w:rPr>
                <w:rFonts w:asciiTheme="minorHAnsi" w:hAnsiTheme="minorHAnsi"/>
                <w:sz w:val="22"/>
                <w:szCs w:val="22"/>
              </w:rPr>
              <w:t>.</w:t>
            </w:r>
          </w:p>
          <w:p w14:paraId="07A98B7F" w14:textId="77777777" w:rsidR="00C94559" w:rsidRDefault="00C94559">
            <w:pPr>
              <w:spacing w:after="120"/>
              <w:jc w:val="both"/>
              <w:rPr>
                <w:rFonts w:asciiTheme="minorHAnsi" w:hAnsiTheme="minorHAnsi"/>
                <w:sz w:val="22"/>
                <w:szCs w:val="22"/>
              </w:rPr>
            </w:pPr>
          </w:p>
        </w:tc>
        <w:tc>
          <w:tcPr>
            <w:tcW w:w="3969" w:type="dxa"/>
          </w:tcPr>
          <w:p w14:paraId="0E594136" w14:textId="7167EBFD" w:rsidR="00C94559" w:rsidRDefault="00BD524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příjemce nesmí bez předchozího souhlasu Řídicího orgánu IROP (dále jen „ŘO IROP“): </w:t>
            </w:r>
          </w:p>
        </w:tc>
        <w:tc>
          <w:tcPr>
            <w:tcW w:w="1985" w:type="dxa"/>
          </w:tcPr>
          <w:p w14:paraId="11275F54" w14:textId="77777777" w:rsidR="00C94559" w:rsidRDefault="00C94559">
            <w:pPr>
              <w:spacing w:after="120"/>
              <w:jc w:val="both"/>
              <w:rPr>
                <w:rFonts w:asciiTheme="minorHAnsi" w:hAnsiTheme="minorHAnsi"/>
                <w:snapToGrid w:val="0"/>
                <w:sz w:val="22"/>
                <w:szCs w:val="22"/>
              </w:rPr>
            </w:pPr>
          </w:p>
        </w:tc>
        <w:tc>
          <w:tcPr>
            <w:tcW w:w="2409" w:type="dxa"/>
          </w:tcPr>
          <w:p w14:paraId="2E80E186" w14:textId="77777777" w:rsidR="00C94559" w:rsidRDefault="00C94559">
            <w:pPr>
              <w:widowControl w:val="0"/>
              <w:spacing w:after="120"/>
              <w:jc w:val="both"/>
              <w:rPr>
                <w:snapToGrid w:val="0"/>
              </w:rPr>
            </w:pPr>
          </w:p>
        </w:tc>
      </w:tr>
      <w:tr w:rsidR="00C94559" w14:paraId="01211760" w14:textId="77777777">
        <w:trPr>
          <w:trHeight w:val="720"/>
        </w:trPr>
        <w:tc>
          <w:tcPr>
            <w:tcW w:w="709" w:type="dxa"/>
            <w:vMerge/>
          </w:tcPr>
          <w:p w14:paraId="5F2C5C58" w14:textId="77777777" w:rsidR="00C94559" w:rsidRDefault="00C94559">
            <w:pPr>
              <w:spacing w:after="120"/>
              <w:jc w:val="both"/>
              <w:rPr>
                <w:rFonts w:asciiTheme="minorHAnsi" w:hAnsiTheme="minorHAnsi"/>
                <w:sz w:val="22"/>
                <w:szCs w:val="22"/>
              </w:rPr>
            </w:pPr>
          </w:p>
        </w:tc>
        <w:tc>
          <w:tcPr>
            <w:tcW w:w="3969" w:type="dxa"/>
          </w:tcPr>
          <w:p w14:paraId="43DF841F"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prodat, převést jinému subjektu, </w:t>
            </w:r>
          </w:p>
        </w:tc>
        <w:tc>
          <w:tcPr>
            <w:tcW w:w="1985" w:type="dxa"/>
          </w:tcPr>
          <w:p w14:paraId="70DC5F2B"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513BE08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C94559" w14:paraId="537DE084" w14:textId="77777777">
        <w:trPr>
          <w:trHeight w:val="1647"/>
        </w:trPr>
        <w:tc>
          <w:tcPr>
            <w:tcW w:w="709" w:type="dxa"/>
            <w:vMerge/>
          </w:tcPr>
          <w:p w14:paraId="6D8A752B" w14:textId="77777777" w:rsidR="00C94559" w:rsidRDefault="00C94559">
            <w:pPr>
              <w:spacing w:after="120"/>
              <w:jc w:val="both"/>
              <w:rPr>
                <w:rFonts w:asciiTheme="minorHAnsi" w:hAnsiTheme="minorHAnsi"/>
                <w:sz w:val="22"/>
                <w:szCs w:val="22"/>
              </w:rPr>
            </w:pPr>
          </w:p>
        </w:tc>
        <w:tc>
          <w:tcPr>
            <w:tcW w:w="3969" w:type="dxa"/>
          </w:tcPr>
          <w:p w14:paraId="73BDF4C5"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zatížit jinými věcnými právy třetích osob (služebnosti/reálná břemena) nebo zřídit zástavní právo, s výjimkou zástavního práva k zajištění úvěru na financování projektu,</w:t>
            </w:r>
          </w:p>
          <w:p w14:paraId="59642293" w14:textId="77777777"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odvodem, </w:t>
            </w:r>
          </w:p>
          <w:p w14:paraId="718F48BA" w14:textId="77777777"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5" w:type="dxa"/>
          </w:tcPr>
          <w:p w14:paraId="20E5F3EB"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30CB4B0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p w14:paraId="0209F80E" w14:textId="77777777" w:rsidR="00C94559" w:rsidRDefault="00C94559">
            <w:pPr>
              <w:widowControl w:val="0"/>
              <w:spacing w:after="120"/>
              <w:jc w:val="both"/>
              <w:rPr>
                <w:rFonts w:asciiTheme="minorHAnsi" w:hAnsiTheme="minorHAnsi"/>
                <w:snapToGrid w:val="0"/>
                <w:sz w:val="22"/>
                <w:szCs w:val="22"/>
              </w:rPr>
            </w:pPr>
          </w:p>
        </w:tc>
      </w:tr>
      <w:tr w:rsidR="00C94559" w14:paraId="18251840" w14:textId="77777777">
        <w:trPr>
          <w:trHeight w:val="1720"/>
        </w:trPr>
        <w:tc>
          <w:tcPr>
            <w:tcW w:w="709" w:type="dxa"/>
            <w:vMerge/>
          </w:tcPr>
          <w:p w14:paraId="1F1B00F9" w14:textId="77777777" w:rsidR="00C94559" w:rsidRDefault="00C94559">
            <w:pPr>
              <w:spacing w:after="120"/>
              <w:jc w:val="both"/>
              <w:rPr>
                <w:rFonts w:asciiTheme="minorHAnsi" w:hAnsiTheme="minorHAnsi"/>
                <w:sz w:val="22"/>
                <w:szCs w:val="22"/>
              </w:rPr>
            </w:pPr>
          </w:p>
        </w:tc>
        <w:tc>
          <w:tcPr>
            <w:tcW w:w="3969" w:type="dxa"/>
          </w:tcPr>
          <w:p w14:paraId="6A0112D7"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vypůjčit nebo pronajmout jinému subjektu. Nejedná se o krátkodobý pronájem.</w:t>
            </w:r>
          </w:p>
          <w:p w14:paraId="463CBFC3" w14:textId="77777777" w:rsidR="00C94559" w:rsidRDefault="00C94559">
            <w:pPr>
              <w:tabs>
                <w:tab w:val="left" w:pos="915"/>
              </w:tabs>
              <w:spacing w:after="120"/>
              <w:jc w:val="both"/>
              <w:rPr>
                <w:lang w:eastAsia="ar-SA"/>
              </w:rPr>
            </w:pPr>
          </w:p>
        </w:tc>
        <w:tc>
          <w:tcPr>
            <w:tcW w:w="1985" w:type="dxa"/>
          </w:tcPr>
          <w:p w14:paraId="239566C5"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35945F9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tc>
      </w:tr>
      <w:tr w:rsidR="00C94559" w14:paraId="57A2FBCF" w14:textId="77777777">
        <w:tc>
          <w:tcPr>
            <w:tcW w:w="709" w:type="dxa"/>
          </w:tcPr>
          <w:p w14:paraId="62201FA5" w14:textId="3301E0EF"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0</w:t>
            </w:r>
            <w:r>
              <w:rPr>
                <w:rFonts w:asciiTheme="minorHAnsi" w:hAnsiTheme="minorHAnsi"/>
                <w:sz w:val="22"/>
                <w:szCs w:val="22"/>
              </w:rPr>
              <w:t>.</w:t>
            </w:r>
          </w:p>
        </w:tc>
        <w:tc>
          <w:tcPr>
            <w:tcW w:w="3969" w:type="dxa"/>
          </w:tcPr>
          <w:p w14:paraId="056AF954" w14:textId="000945D3"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w:t>
            </w:r>
            <w:r>
              <w:rPr>
                <w:rFonts w:asciiTheme="minorHAnsi" w:hAnsiTheme="minorHAnsi"/>
                <w:snapToGrid w:val="0"/>
                <w:sz w:val="22"/>
                <w:szCs w:val="22"/>
              </w:rPr>
              <w:lastRenderedPageBreak/>
              <w:t xml:space="preserve">do konce roku 2028. Pokud je v českých právních předpisech stanovena lhůta delší než v evropských předpisech, musí být použita pro úschovu delší lhůta. </w:t>
            </w:r>
          </w:p>
          <w:p w14:paraId="73EBACB5"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c>
          <w:tcPr>
            <w:tcW w:w="1985" w:type="dxa"/>
          </w:tcPr>
          <w:p w14:paraId="334D8780"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v dodatečné lhůtě – podle odst. 1, </w:t>
            </w:r>
            <w:r>
              <w:rPr>
                <w:rFonts w:asciiTheme="minorHAnsi" w:hAnsiTheme="minorHAnsi" w:cstheme="minorHAnsi"/>
                <w:sz w:val="22"/>
                <w:szCs w:val="22"/>
                <w:lang w:eastAsia="ar-SA"/>
              </w:rPr>
              <w:lastRenderedPageBreak/>
              <w:t>§ 14f zákona č. 218/2000 Sb., o rozpočtových pravidlech, ve znění pozdějších předpisů.</w:t>
            </w:r>
          </w:p>
        </w:tc>
        <w:tc>
          <w:tcPr>
            <w:tcW w:w="2409" w:type="dxa"/>
          </w:tcPr>
          <w:p w14:paraId="40541B22"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výše procentního odvodu 0,2 % ze schválené částky k proplacení nebo z částky již vyplacených peněžních prostředků za etapu, ve které došlo k porušení; maximálně však 20 000,- Kč.</w:t>
            </w:r>
          </w:p>
          <w:p w14:paraId="75A1B4D3" w14:textId="77777777" w:rsidR="00C94559" w:rsidRDefault="00C94559">
            <w:pPr>
              <w:spacing w:after="120"/>
              <w:jc w:val="both"/>
            </w:pPr>
          </w:p>
        </w:tc>
      </w:tr>
      <w:tr w:rsidR="00C94559" w14:paraId="44043FC1" w14:textId="77777777">
        <w:trPr>
          <w:trHeight w:val="2358"/>
        </w:trPr>
        <w:tc>
          <w:tcPr>
            <w:tcW w:w="709" w:type="dxa"/>
          </w:tcPr>
          <w:p w14:paraId="22A32977" w14:textId="431FB67C"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w:t>
            </w:r>
            <w:r w:rsidR="00391605">
              <w:rPr>
                <w:rFonts w:asciiTheme="minorHAnsi" w:hAnsiTheme="minorHAnsi"/>
                <w:sz w:val="22"/>
                <w:szCs w:val="22"/>
              </w:rPr>
              <w:t>1</w:t>
            </w:r>
            <w:r>
              <w:rPr>
                <w:rFonts w:asciiTheme="minorHAnsi" w:hAnsiTheme="minorHAnsi"/>
                <w:sz w:val="22"/>
                <w:szCs w:val="22"/>
              </w:rPr>
              <w:t>.</w:t>
            </w:r>
          </w:p>
        </w:tc>
        <w:tc>
          <w:tcPr>
            <w:tcW w:w="3969" w:type="dxa"/>
          </w:tcPr>
          <w:p w14:paraId="687A77F8" w14:textId="77777777" w:rsidR="00C94559" w:rsidRDefault="00BD5241">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p w14:paraId="3D5958B5" w14:textId="77777777" w:rsidR="00C94559" w:rsidRDefault="00C94559">
            <w:pPr>
              <w:spacing w:after="120"/>
              <w:jc w:val="both"/>
              <w:rPr>
                <w:rFonts w:asciiTheme="minorHAnsi" w:hAnsiTheme="minorHAnsi"/>
                <w:sz w:val="22"/>
                <w:szCs w:val="22"/>
              </w:rPr>
            </w:pPr>
          </w:p>
          <w:p w14:paraId="27ACFC03" w14:textId="77777777" w:rsidR="00C94559" w:rsidRDefault="00C94559">
            <w:pPr>
              <w:spacing w:after="120"/>
              <w:jc w:val="both"/>
              <w:rPr>
                <w:rFonts w:asciiTheme="minorHAnsi" w:hAnsiTheme="minorHAnsi"/>
                <w:sz w:val="22"/>
                <w:szCs w:val="22"/>
              </w:rPr>
            </w:pPr>
          </w:p>
        </w:tc>
        <w:tc>
          <w:tcPr>
            <w:tcW w:w="1985" w:type="dxa"/>
          </w:tcPr>
          <w:p w14:paraId="324CB3EA" w14:textId="77777777" w:rsidR="00C94559" w:rsidRDefault="00BD5241">
            <w:pPr>
              <w:spacing w:after="120"/>
              <w:jc w:val="both"/>
              <w:rPr>
                <w:rFonts w:asciiTheme="minorHAnsi" w:hAnsiTheme="minorHAnsi"/>
                <w:sz w:val="22"/>
                <w:szCs w:val="22"/>
              </w:rPr>
            </w:pPr>
            <w:r>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k nápravě v dodatečné lhůtě – podle odst. 1, § 14f zákona č. 218/2000 Sb., o rozpočtových pravidlech, ve znění pozdějších předpisů.</w:t>
            </w:r>
            <w:r>
              <w:rPr>
                <w:rFonts w:asciiTheme="minorHAnsi" w:hAnsiTheme="minorHAnsi"/>
                <w:sz w:val="22"/>
                <w:szCs w:val="22"/>
              </w:rPr>
              <w:tab/>
            </w:r>
          </w:p>
        </w:tc>
        <w:tc>
          <w:tcPr>
            <w:tcW w:w="2409" w:type="dxa"/>
          </w:tcPr>
          <w:p w14:paraId="439EF405"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0,02 % schválené částky k proplacení, maximálně však 10 000,- Kč.</w:t>
            </w:r>
          </w:p>
        </w:tc>
      </w:tr>
      <w:tr w:rsidR="00C94559" w14:paraId="1C234D2D" w14:textId="77777777">
        <w:tc>
          <w:tcPr>
            <w:tcW w:w="709" w:type="dxa"/>
          </w:tcPr>
          <w:p w14:paraId="720EA414" w14:textId="045D52BB"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2</w:t>
            </w:r>
            <w:r>
              <w:rPr>
                <w:rFonts w:asciiTheme="minorHAnsi" w:hAnsiTheme="minorHAnsi"/>
                <w:sz w:val="22"/>
                <w:szCs w:val="22"/>
              </w:rPr>
              <w:t>.</w:t>
            </w:r>
          </w:p>
        </w:tc>
        <w:tc>
          <w:tcPr>
            <w:tcW w:w="3969" w:type="dxa"/>
          </w:tcPr>
          <w:p w14:paraId="36B992B8" w14:textId="7EC8666C"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ŘO IROP, PCO nebo AO poskytnout veškeré informace o výsledcích a kontrolní protokoly z těchto kontrol a auditů. A zároveň vytvořit podmínky k provedení kontroly a poskytnout při provádění kontroly součinnost. </w:t>
            </w:r>
          </w:p>
          <w:p w14:paraId="083E75A3" w14:textId="104F2C74"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aby stejné povinnosti do roku </w:t>
            </w:r>
            <w:r w:rsidRPr="004D607A">
              <w:rPr>
                <w:rFonts w:asciiTheme="minorHAnsi" w:hAnsiTheme="minorHAnsi"/>
                <w:snapToGrid w:val="0"/>
                <w:sz w:val="22"/>
                <w:szCs w:val="22"/>
              </w:rPr>
              <w:t>2028</w:t>
            </w:r>
            <w:r>
              <w:rPr>
                <w:rFonts w:asciiTheme="minorHAnsi" w:hAnsiTheme="minorHAnsi"/>
                <w:snapToGrid w:val="0"/>
                <w:sz w:val="22"/>
                <w:szCs w:val="22"/>
              </w:rPr>
              <w:t xml:space="preserve"> plnili partneři a dodavatelé, podílející se na realizaci </w:t>
            </w:r>
            <w:r>
              <w:rPr>
                <w:rFonts w:asciiTheme="minorHAnsi" w:hAnsiTheme="minorHAnsi"/>
                <w:snapToGrid w:val="0"/>
                <w:sz w:val="22"/>
                <w:szCs w:val="22"/>
              </w:rPr>
              <w:lastRenderedPageBreak/>
              <w:t>projektu.</w:t>
            </w:r>
          </w:p>
        </w:tc>
        <w:tc>
          <w:tcPr>
            <w:tcW w:w="1985" w:type="dxa"/>
          </w:tcPr>
          <w:p w14:paraId="5F33AB0E"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Není možné.</w:t>
            </w:r>
          </w:p>
          <w:p w14:paraId="5C3624CE" w14:textId="77777777" w:rsidR="00C94559" w:rsidRDefault="00C94559">
            <w:pPr>
              <w:widowControl w:val="0"/>
              <w:spacing w:after="120"/>
              <w:ind w:right="-2"/>
              <w:jc w:val="both"/>
              <w:rPr>
                <w:rFonts w:asciiTheme="minorHAnsi" w:hAnsiTheme="minorHAnsi"/>
                <w:snapToGrid w:val="0"/>
                <w:sz w:val="22"/>
                <w:szCs w:val="22"/>
              </w:rPr>
            </w:pPr>
          </w:p>
        </w:tc>
        <w:tc>
          <w:tcPr>
            <w:tcW w:w="2409" w:type="dxa"/>
          </w:tcPr>
          <w:p w14:paraId="242EE22E"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0,2 % ze schválené částky k proplacení nebo z částky již vyplacených peněžních prostředků za etapu, ve které došlo k porušení; maximálně však 20 000,- Kč.</w:t>
            </w:r>
          </w:p>
          <w:p w14:paraId="35A7D567" w14:textId="77777777" w:rsidR="00C94559" w:rsidRDefault="00C94559">
            <w:pPr>
              <w:widowControl w:val="0"/>
              <w:spacing w:after="120"/>
              <w:jc w:val="both"/>
              <w:rPr>
                <w:rFonts w:asciiTheme="minorHAnsi" w:hAnsiTheme="minorHAnsi"/>
                <w:snapToGrid w:val="0"/>
                <w:sz w:val="22"/>
                <w:szCs w:val="22"/>
              </w:rPr>
            </w:pPr>
          </w:p>
          <w:p w14:paraId="02B2B055" w14:textId="77777777" w:rsidR="00C94559" w:rsidRDefault="00C94559">
            <w:pPr>
              <w:spacing w:after="120"/>
              <w:jc w:val="both"/>
              <w:rPr>
                <w:rFonts w:asciiTheme="minorHAnsi" w:hAnsiTheme="minorHAnsi"/>
                <w:sz w:val="22"/>
                <w:szCs w:val="22"/>
              </w:rPr>
            </w:pPr>
          </w:p>
        </w:tc>
      </w:tr>
      <w:tr w:rsidR="00C94559" w14:paraId="25282350" w14:textId="77777777">
        <w:tc>
          <w:tcPr>
            <w:tcW w:w="709" w:type="dxa"/>
          </w:tcPr>
          <w:p w14:paraId="115475D8" w14:textId="058360F1"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3</w:t>
            </w:r>
            <w:r>
              <w:rPr>
                <w:rFonts w:asciiTheme="minorHAnsi" w:hAnsiTheme="minorHAnsi"/>
                <w:sz w:val="22"/>
                <w:szCs w:val="22"/>
              </w:rPr>
              <w:t>.</w:t>
            </w:r>
          </w:p>
        </w:tc>
        <w:tc>
          <w:tcPr>
            <w:tcW w:w="3969" w:type="dxa"/>
          </w:tcPr>
          <w:p w14:paraId="70399650" w14:textId="77777777" w:rsidR="00C94559" w:rsidRDefault="00BD5241">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14:paraId="6C4879C4" w14:textId="77777777" w:rsidR="00C94559" w:rsidRDefault="00BD5241">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Příjemce, který nevede účetnictví podle tohoto zákona, je povinen vést v případě poskytnutí peněžních prostředků ze SF daňovou evidenci podle zákona č. 586/1992 Sb., o daních z příjmů, ve znění pozdějších předpisů, rozšířenou o požadavky:</w:t>
            </w:r>
          </w:p>
          <w:p w14:paraId="3374340A"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14:paraId="0BFD2366"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0943C9A3"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14:paraId="089B33EE" w14:textId="77777777" w:rsidR="00C94559" w:rsidRDefault="00BD5241">
            <w:pPr>
              <w:pStyle w:val="Odstavecseseznamem"/>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5" w:type="dxa"/>
          </w:tcPr>
          <w:p w14:paraId="4523F067" w14:textId="77777777" w:rsidR="00C94559" w:rsidRDefault="00BD5241">
            <w:pPr>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0ECA691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schválené částky k proplacení; maximálně však 20 000,- Kč.</w:t>
            </w:r>
          </w:p>
          <w:p w14:paraId="062DC696" w14:textId="77777777" w:rsidR="00C94559" w:rsidRDefault="00C94559">
            <w:pPr>
              <w:widowControl w:val="0"/>
              <w:spacing w:after="120"/>
              <w:jc w:val="both"/>
              <w:rPr>
                <w:rFonts w:asciiTheme="minorHAnsi" w:hAnsiTheme="minorHAnsi"/>
                <w:sz w:val="22"/>
                <w:szCs w:val="22"/>
              </w:rPr>
            </w:pPr>
          </w:p>
        </w:tc>
      </w:tr>
      <w:tr w:rsidR="00C94559" w14:paraId="69BD966D" w14:textId="77777777">
        <w:tc>
          <w:tcPr>
            <w:tcW w:w="709" w:type="dxa"/>
          </w:tcPr>
          <w:p w14:paraId="0FDF7E18" w14:textId="2B7D3ABC"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4</w:t>
            </w:r>
            <w:r>
              <w:rPr>
                <w:rFonts w:asciiTheme="minorHAnsi" w:hAnsiTheme="minorHAnsi"/>
                <w:sz w:val="22"/>
                <w:szCs w:val="22"/>
              </w:rPr>
              <w:t>.</w:t>
            </w:r>
          </w:p>
        </w:tc>
        <w:tc>
          <w:tcPr>
            <w:tcW w:w="3969" w:type="dxa"/>
          </w:tcPr>
          <w:p w14:paraId="0BF523E2"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985" w:type="dxa"/>
          </w:tcPr>
          <w:p w14:paraId="566E3B50"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5DE65E54" w14:textId="77777777" w:rsidR="00C94559" w:rsidRDefault="00BD5241">
            <w:pPr>
              <w:spacing w:after="120"/>
              <w:jc w:val="both"/>
              <w:rPr>
                <w:rFonts w:asciiTheme="minorHAnsi" w:hAnsiTheme="minorHAnsi"/>
                <w:sz w:val="22"/>
                <w:szCs w:val="22"/>
              </w:rPr>
            </w:pPr>
            <w:r>
              <w:rPr>
                <w:rFonts w:asciiTheme="minorHAnsi" w:hAnsiTheme="minorHAnsi"/>
                <w:snapToGrid w:val="0"/>
                <w:sz w:val="22"/>
                <w:szCs w:val="22"/>
              </w:rPr>
              <w:t xml:space="preserve">Peněžní prostředky nebudou vyplaceny ve výši výdaje, který již byl uhrazen z jiného dotačního titulu, jiného operačního programu, jiných prostředků krytých z rozpočtu EU a národních veřejných rozpočtů, krajských dotačních titulů, ani z jiných finančních mechanismů nebo nástrojů finančního </w:t>
            </w:r>
            <w:r>
              <w:rPr>
                <w:rFonts w:asciiTheme="minorHAnsi" w:hAnsiTheme="minorHAnsi"/>
                <w:snapToGrid w:val="0"/>
                <w:sz w:val="22"/>
                <w:szCs w:val="22"/>
              </w:rPr>
              <w:lastRenderedPageBreak/>
              <w:t>inženýrství.</w:t>
            </w:r>
          </w:p>
        </w:tc>
      </w:tr>
      <w:tr w:rsidR="00C94559" w14:paraId="118B3E29" w14:textId="77777777">
        <w:trPr>
          <w:trHeight w:val="757"/>
        </w:trPr>
        <w:tc>
          <w:tcPr>
            <w:tcW w:w="709" w:type="dxa"/>
            <w:vMerge w:val="restart"/>
          </w:tcPr>
          <w:p w14:paraId="2940D29A" w14:textId="6E4F906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w:t>
            </w:r>
            <w:r w:rsidR="00391605">
              <w:rPr>
                <w:rFonts w:asciiTheme="minorHAnsi" w:hAnsiTheme="minorHAnsi"/>
                <w:sz w:val="22"/>
                <w:szCs w:val="22"/>
              </w:rPr>
              <w:t>5</w:t>
            </w:r>
            <w:r>
              <w:rPr>
                <w:rFonts w:asciiTheme="minorHAnsi" w:hAnsiTheme="minorHAnsi"/>
                <w:sz w:val="22"/>
                <w:szCs w:val="22"/>
              </w:rPr>
              <w:t>.</w:t>
            </w:r>
          </w:p>
        </w:tc>
        <w:tc>
          <w:tcPr>
            <w:tcW w:w="3969" w:type="dxa"/>
          </w:tcPr>
          <w:p w14:paraId="36DC3337" w14:textId="1F469E9E" w:rsidR="00C94559" w:rsidRDefault="00BD5241">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0593968">
              <w:rPr>
                <w:rFonts w:asciiTheme="minorHAnsi" w:hAnsiTheme="minorHAnsi"/>
                <w:snapToGrid w:val="0"/>
                <w:sz w:val="22"/>
                <w:szCs w:val="22"/>
              </w:rPr>
              <w:t xml:space="preserve">Obecných </w:t>
            </w:r>
            <w:r w:rsidR="00A61AC2">
              <w:rPr>
                <w:rFonts w:asciiTheme="minorHAnsi" w:hAnsiTheme="minorHAnsi"/>
                <w:snapToGrid w:val="0"/>
                <w:sz w:val="22"/>
                <w:szCs w:val="22"/>
              </w:rPr>
              <w:t>p</w:t>
            </w:r>
            <w:r>
              <w:rPr>
                <w:rFonts w:asciiTheme="minorHAnsi" w:hAnsiTheme="minorHAnsi"/>
                <w:snapToGrid w:val="0"/>
                <w:sz w:val="22"/>
                <w:szCs w:val="22"/>
              </w:rPr>
              <w:t xml:space="preserve">ravidel pro žadatele a příjemce: </w:t>
            </w:r>
          </w:p>
        </w:tc>
        <w:tc>
          <w:tcPr>
            <w:tcW w:w="1985" w:type="dxa"/>
          </w:tcPr>
          <w:p w14:paraId="38A59395" w14:textId="77777777" w:rsidR="00C94559" w:rsidRDefault="00C94559">
            <w:pPr>
              <w:widowControl w:val="0"/>
              <w:spacing w:after="120"/>
              <w:jc w:val="both"/>
              <w:rPr>
                <w:rFonts w:asciiTheme="minorHAnsi" w:hAnsiTheme="minorHAnsi"/>
                <w:snapToGrid w:val="0"/>
                <w:sz w:val="22"/>
                <w:szCs w:val="22"/>
              </w:rPr>
            </w:pPr>
          </w:p>
        </w:tc>
        <w:tc>
          <w:tcPr>
            <w:tcW w:w="2409" w:type="dxa"/>
          </w:tcPr>
          <w:p w14:paraId="431B835C" w14:textId="77777777" w:rsidR="00C94559" w:rsidRDefault="00C94559">
            <w:pPr>
              <w:widowControl w:val="0"/>
              <w:spacing w:after="120"/>
              <w:jc w:val="both"/>
              <w:rPr>
                <w:rFonts w:asciiTheme="minorHAnsi" w:hAnsiTheme="minorHAnsi"/>
                <w:snapToGrid w:val="0"/>
                <w:sz w:val="22"/>
                <w:szCs w:val="22"/>
              </w:rPr>
            </w:pPr>
          </w:p>
        </w:tc>
      </w:tr>
      <w:tr w:rsidR="00C94559" w14:paraId="5D05D8E8" w14:textId="77777777">
        <w:trPr>
          <w:trHeight w:val="756"/>
        </w:trPr>
        <w:tc>
          <w:tcPr>
            <w:tcW w:w="709" w:type="dxa"/>
            <w:vMerge/>
          </w:tcPr>
          <w:p w14:paraId="25DC674A" w14:textId="77777777" w:rsidR="00C94559" w:rsidRDefault="00C94559">
            <w:pPr>
              <w:spacing w:after="120"/>
              <w:jc w:val="both"/>
              <w:rPr>
                <w:rFonts w:asciiTheme="minorHAnsi" w:hAnsiTheme="minorHAnsi"/>
                <w:sz w:val="22"/>
                <w:szCs w:val="22"/>
              </w:rPr>
            </w:pPr>
          </w:p>
        </w:tc>
        <w:tc>
          <w:tcPr>
            <w:tcW w:w="3969" w:type="dxa"/>
          </w:tcPr>
          <w:p w14:paraId="137344CC" w14:textId="77777777" w:rsidR="00C94559" w:rsidRDefault="00BD5241">
            <w:pPr>
              <w:pStyle w:val="Odstavecseseznamem"/>
              <w:widowControl w:val="0"/>
              <w:numPr>
                <w:ilvl w:val="0"/>
                <w:numId w:val="11"/>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14:paraId="48230174" w14:textId="77777777" w:rsidR="00C94559" w:rsidRDefault="00C94559">
            <w:pPr>
              <w:widowControl w:val="0"/>
              <w:spacing w:after="120"/>
              <w:jc w:val="both"/>
              <w:rPr>
                <w:rFonts w:asciiTheme="minorHAnsi" w:hAnsiTheme="minorHAnsi"/>
                <w:snapToGrid w:val="0"/>
                <w:sz w:val="22"/>
                <w:szCs w:val="22"/>
              </w:rPr>
            </w:pPr>
          </w:p>
          <w:p w14:paraId="01FB9397"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odvodů, ale bude uplatněn odvod za nejzávažnější z pochybení.</w:t>
            </w:r>
          </w:p>
        </w:tc>
        <w:tc>
          <w:tcPr>
            <w:tcW w:w="1985" w:type="dxa"/>
          </w:tcPr>
          <w:p w14:paraId="2B59B02B" w14:textId="77777777" w:rsidR="00C94559" w:rsidRDefault="00BD5241">
            <w:pPr>
              <w:pStyle w:val="Odstavecseseznamem"/>
              <w:widowControl w:val="0"/>
              <w:spacing w:after="120"/>
              <w:ind w:left="34" w:right="34"/>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2AC830D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0,1 – 1,2 % schválené částky k proplacení; maximálně však o 1 000 000,- Kč.</w:t>
            </w:r>
          </w:p>
        </w:tc>
      </w:tr>
    </w:tbl>
    <w:p w14:paraId="445F1658" w14:textId="77777777" w:rsidR="00C94559" w:rsidRDefault="00C94559">
      <w:pPr>
        <w:widowControl w:val="0"/>
        <w:spacing w:after="120"/>
        <w:ind w:right="-2"/>
        <w:jc w:val="both"/>
        <w:rPr>
          <w:snapToGrid w:val="0"/>
        </w:rPr>
      </w:pPr>
    </w:p>
    <w:p w14:paraId="0EE9148D" w14:textId="1C1D4337" w:rsidR="00C94559" w:rsidRDefault="00BD5241" w:rsidP="00BE3781">
      <w:pPr>
        <w:pStyle w:val="Prosttext"/>
        <w:numPr>
          <w:ilvl w:val="0"/>
          <w:numId w:val="13"/>
        </w:numPr>
        <w:spacing w:after="240"/>
        <w:jc w:val="both"/>
        <w:rPr>
          <w:rFonts w:asciiTheme="minorHAnsi" w:hAnsiTheme="minorHAnsi"/>
          <w:sz w:val="24"/>
        </w:rPr>
      </w:pPr>
      <w:r>
        <w:rPr>
          <w:rFonts w:asciiTheme="minorHAnsi" w:hAnsiTheme="minorHAnsi"/>
          <w:sz w:val="24"/>
        </w:rPr>
        <w:t xml:space="preserve">Finanční opravy za nedodržení postupu, stanoveného v ZVZ nebo ZZVZ nebo v MPZ mohou být uplatněny ve výši 1 %, 2 %,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2013) 9527, a zohledňují závažnost porušení a zásadu proporcionality. V případě zadávacích/výběrových řízení zahájených po 15. 10. 2019 včetně se postupuje v souladu s pokyny Evropské komise,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2019) 3452 ze dne 14. 5. 2019. Tyto procentuální sazby finančních oprav se použijí v případech, kdy není možné přesně vyčíslit finanční důsledky pro danou zakázku. Výčet porušení a odpovídajících sazeb finančních oprav je uveden v příloze č. 5 </w:t>
      </w:r>
      <w:r>
        <w:rPr>
          <w:rFonts w:asciiTheme="minorHAnsi" w:hAnsiTheme="minorHAnsi"/>
          <w:i/>
          <w:sz w:val="24"/>
        </w:rPr>
        <w:t>Finanční opravy za nedodržení postupu, stanoveného v ZVZ a v MPZ</w:t>
      </w:r>
      <w:r>
        <w:rPr>
          <w:rFonts w:asciiTheme="minorHAnsi" w:hAnsiTheme="minorHAnsi"/>
          <w:sz w:val="24"/>
        </w:rPr>
        <w:t xml:space="preserve"> v Obecných pravidlech pro žadatele a příjemce.</w:t>
      </w:r>
    </w:p>
    <w:p w14:paraId="1EC60BE3" w14:textId="77777777" w:rsidR="00C94559" w:rsidRDefault="00BD5241" w:rsidP="00BE3781">
      <w:pPr>
        <w:pStyle w:val="Prosttext"/>
        <w:spacing w:after="240"/>
        <w:ind w:left="709"/>
        <w:jc w:val="both"/>
        <w:rPr>
          <w:rFonts w:asciiTheme="minorHAnsi" w:hAnsiTheme="minorHAnsi"/>
          <w:sz w:val="24"/>
        </w:rPr>
      </w:pPr>
      <w:r>
        <w:rPr>
          <w:rFonts w:asciiTheme="minorHAnsi" w:hAnsiTheme="minorHAnsi"/>
          <w:sz w:val="24"/>
        </w:rPr>
        <w:t xml:space="preserve">Pokud nedodržení postupu stanoveného </w:t>
      </w:r>
      <w:r w:rsidRPr="00BE3781">
        <w:rPr>
          <w:rFonts w:asciiTheme="minorHAnsi" w:hAnsiTheme="minorHAnsi"/>
          <w:sz w:val="24"/>
        </w:rPr>
        <w:t xml:space="preserve">ZVZ, ZZVZ, </w:t>
      </w:r>
      <w:r>
        <w:rPr>
          <w:rFonts w:asciiTheme="minorHAnsi" w:hAnsiTheme="minorHAnsi"/>
          <w:sz w:val="24"/>
        </w:rPr>
        <w:t>MP</w:t>
      </w:r>
      <w:r w:rsidRPr="00BE3781">
        <w:rPr>
          <w:rFonts w:asciiTheme="minorHAnsi" w:hAnsiTheme="minorHAnsi"/>
          <w:sz w:val="24"/>
        </w:rPr>
        <w:t>Z nebo poskytovatelem peněžních prostředků</w:t>
      </w:r>
      <w:r>
        <w:rPr>
          <w:rFonts w:asciiTheme="minorHAnsi" w:hAnsiTheme="minorHAnsi"/>
          <w:sz w:val="24"/>
        </w:rPr>
        <w:t xml:space="preserve"> v rámci jedné zakázky naplňuje znaky více typů finančních oprav, </w:t>
      </w:r>
      <w:proofErr w:type="gramStart"/>
      <w:r>
        <w:rPr>
          <w:rFonts w:asciiTheme="minorHAnsi" w:hAnsiTheme="minorHAnsi"/>
          <w:sz w:val="24"/>
        </w:rPr>
        <w:t>uloží</w:t>
      </w:r>
      <w:proofErr w:type="gramEnd"/>
      <w:r>
        <w:rPr>
          <w:rFonts w:asciiTheme="minorHAnsi" w:hAnsiTheme="minorHAnsi"/>
          <w:sz w:val="24"/>
        </w:rPr>
        <w:t xml:space="preserve"> se sazba nejvyšší finanční opravy.</w:t>
      </w:r>
    </w:p>
    <w:p w14:paraId="031E5D1E" w14:textId="27AEE200" w:rsidR="00C94559" w:rsidRPr="00BE3781" w:rsidRDefault="00BD5241" w:rsidP="00BE3781">
      <w:pPr>
        <w:pStyle w:val="Prosttext"/>
        <w:ind w:left="709"/>
        <w:jc w:val="both"/>
        <w:rPr>
          <w:rFonts w:asciiTheme="minorHAnsi" w:hAnsiTheme="minorHAnsi"/>
          <w:sz w:val="24"/>
        </w:rPr>
      </w:pPr>
      <w:r>
        <w:rPr>
          <w:rFonts w:asciiTheme="minorHAnsi" w:hAnsiTheme="minorHAnsi"/>
          <w:sz w:val="24"/>
        </w:rPr>
        <w:t>Pokud je možné přesně vyčíslit finanční vliv na dotčenou zakázku, finanční oprava bude uložena ve výši 100</w:t>
      </w:r>
      <w:r w:rsidR="00F17388">
        <w:rPr>
          <w:rFonts w:asciiTheme="minorHAnsi" w:hAnsiTheme="minorHAnsi"/>
          <w:sz w:val="24"/>
        </w:rPr>
        <w:t xml:space="preserve"> </w:t>
      </w:r>
      <w:r>
        <w:rPr>
          <w:rFonts w:asciiTheme="minorHAnsi" w:hAnsiTheme="minorHAnsi"/>
          <w:sz w:val="24"/>
        </w:rPr>
        <w:t>% přesně vyčísleného finančního vlivu.</w:t>
      </w:r>
    </w:p>
    <w:sectPr w:rsidR="00C94559" w:rsidRPr="00BE3781">
      <w:footerReference w:type="default" r:id="rId33"/>
      <w:head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7EBAD" w14:textId="77777777" w:rsidR="00956BD3" w:rsidRDefault="00BD5241">
      <w:r>
        <w:separator/>
      </w:r>
    </w:p>
  </w:endnote>
  <w:endnote w:type="continuationSeparator" w:id="0">
    <w:p w14:paraId="43845D11" w14:textId="77777777" w:rsidR="00956BD3" w:rsidRDefault="00BD5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DC63" w14:textId="77777777" w:rsidR="00C94559" w:rsidRDefault="00BD5241">
    <w:pPr>
      <w:pStyle w:val="Zpat"/>
      <w:rPr>
        <w:rFonts w:asciiTheme="minorHAnsi" w:hAnsiTheme="minorHAnsi"/>
      </w:rPr>
    </w:pPr>
    <w:r>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xx.xxxxx</w:t>
    </w:r>
    <w:proofErr w:type="spellEnd"/>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Pr>
        <w:rFonts w:asciiTheme="minorHAnsi" w:hAnsiTheme="minorHAnsi"/>
        <w:noProof/>
        <w:snapToGrid w:val="0"/>
      </w:rPr>
      <w:t>11</w:t>
    </w:r>
    <w:r>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6FC6C" w14:textId="77777777" w:rsidR="00956BD3" w:rsidRDefault="00BD5241">
      <w:r>
        <w:separator/>
      </w:r>
    </w:p>
  </w:footnote>
  <w:footnote w:type="continuationSeparator" w:id="0">
    <w:p w14:paraId="353FACB9" w14:textId="77777777" w:rsidR="00956BD3" w:rsidRDefault="00BD5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F73C" w14:textId="77777777" w:rsidR="00C94559" w:rsidRDefault="00BD5241">
    <w:pPr>
      <w:pStyle w:val="Zhlav"/>
    </w:pPr>
    <w:r>
      <w:rPr>
        <w:noProof/>
      </w:rPr>
      <w:drawing>
        <wp:anchor distT="0" distB="0" distL="114300" distR="114300" simplePos="0" relativeHeight="251659264" behindDoc="0" locked="0" layoutInCell="1" allowOverlap="1" wp14:anchorId="64E23B7E" wp14:editId="561134BA">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CD8775"/>
    <w:multiLevelType w:val="multilevel"/>
    <w:tmpl w:val="F5CD8775"/>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3F545F4"/>
    <w:multiLevelType w:val="multilevel"/>
    <w:tmpl w:val="13F545F4"/>
    <w:lvl w:ilvl="0">
      <w:start w:val="19"/>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A73791"/>
    <w:multiLevelType w:val="hybridMultilevel"/>
    <w:tmpl w:val="7C844568"/>
    <w:lvl w:ilvl="0" w:tplc="0405000F">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12"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37676396">
    <w:abstractNumId w:val="10"/>
  </w:num>
  <w:num w:numId="2" w16cid:durableId="1079207012">
    <w:abstractNumId w:val="8"/>
  </w:num>
  <w:num w:numId="3" w16cid:durableId="1326518652">
    <w:abstractNumId w:val="9"/>
  </w:num>
  <w:num w:numId="4" w16cid:durableId="608706942">
    <w:abstractNumId w:val="5"/>
  </w:num>
  <w:num w:numId="5" w16cid:durableId="236718896">
    <w:abstractNumId w:val="11"/>
  </w:num>
  <w:num w:numId="6" w16cid:durableId="1404451872">
    <w:abstractNumId w:val="4"/>
  </w:num>
  <w:num w:numId="7" w16cid:durableId="947812303">
    <w:abstractNumId w:val="0"/>
  </w:num>
  <w:num w:numId="8" w16cid:durableId="1927837775">
    <w:abstractNumId w:val="12"/>
  </w:num>
  <w:num w:numId="9" w16cid:durableId="1726296212">
    <w:abstractNumId w:val="1"/>
  </w:num>
  <w:num w:numId="10" w16cid:durableId="2026904944">
    <w:abstractNumId w:val="2"/>
  </w:num>
  <w:num w:numId="11" w16cid:durableId="778918566">
    <w:abstractNumId w:val="6"/>
  </w:num>
  <w:num w:numId="12" w16cid:durableId="1045176185">
    <w:abstractNumId w:val="3"/>
  </w:num>
  <w:num w:numId="13" w16cid:durableId="10139970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4707"/>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574C"/>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548F"/>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4ADE"/>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08CB"/>
    <w:rsid w:val="001D124F"/>
    <w:rsid w:val="001D1566"/>
    <w:rsid w:val="001D19CE"/>
    <w:rsid w:val="001D208C"/>
    <w:rsid w:val="001D56D0"/>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2B3A"/>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37969"/>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1605"/>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066"/>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113"/>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58E"/>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07A"/>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6DD5"/>
    <w:rsid w:val="00560B8E"/>
    <w:rsid w:val="005620EF"/>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3968"/>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50C"/>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30FC"/>
    <w:rsid w:val="006842A6"/>
    <w:rsid w:val="0068441B"/>
    <w:rsid w:val="00684BF0"/>
    <w:rsid w:val="00685093"/>
    <w:rsid w:val="00685510"/>
    <w:rsid w:val="00686EBE"/>
    <w:rsid w:val="00687838"/>
    <w:rsid w:val="006879FE"/>
    <w:rsid w:val="00690608"/>
    <w:rsid w:val="00690B09"/>
    <w:rsid w:val="00691D7A"/>
    <w:rsid w:val="00691E68"/>
    <w:rsid w:val="006933E0"/>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3345"/>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15"/>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26C5"/>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4B1F"/>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0B42"/>
    <w:rsid w:val="008C105D"/>
    <w:rsid w:val="008C25C1"/>
    <w:rsid w:val="008C3FB3"/>
    <w:rsid w:val="008C4515"/>
    <w:rsid w:val="008D08EB"/>
    <w:rsid w:val="008D0B1A"/>
    <w:rsid w:val="008D13AC"/>
    <w:rsid w:val="008D1A03"/>
    <w:rsid w:val="008D2AE9"/>
    <w:rsid w:val="008D2EDF"/>
    <w:rsid w:val="008D335E"/>
    <w:rsid w:val="008D353F"/>
    <w:rsid w:val="008D37AF"/>
    <w:rsid w:val="008D3C34"/>
    <w:rsid w:val="008D45D6"/>
    <w:rsid w:val="008D58D1"/>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854"/>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3C81"/>
    <w:rsid w:val="0095607B"/>
    <w:rsid w:val="00956317"/>
    <w:rsid w:val="00956BD3"/>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6384"/>
    <w:rsid w:val="00997EBE"/>
    <w:rsid w:val="009A139E"/>
    <w:rsid w:val="009A1914"/>
    <w:rsid w:val="009A1F30"/>
    <w:rsid w:val="009A3A4B"/>
    <w:rsid w:val="009A3CA8"/>
    <w:rsid w:val="009A44C7"/>
    <w:rsid w:val="009A4650"/>
    <w:rsid w:val="009A4E1E"/>
    <w:rsid w:val="009A79D8"/>
    <w:rsid w:val="009B18B3"/>
    <w:rsid w:val="009B1E27"/>
    <w:rsid w:val="009B287B"/>
    <w:rsid w:val="009B58C4"/>
    <w:rsid w:val="009C0ED1"/>
    <w:rsid w:val="009C1104"/>
    <w:rsid w:val="009C22F9"/>
    <w:rsid w:val="009C29F7"/>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D673E"/>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4216"/>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5F94"/>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1AC2"/>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5241"/>
    <w:rsid w:val="00BD7ECB"/>
    <w:rsid w:val="00BE2154"/>
    <w:rsid w:val="00BE34AD"/>
    <w:rsid w:val="00BE3781"/>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0B4E"/>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654"/>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55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5A5B"/>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2CA1"/>
    <w:rsid w:val="00E12F40"/>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67F87"/>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388"/>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0626"/>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BCE"/>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0DDF6633"/>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09C263"/>
  <w15:docId w15:val="{3B92772F-1C97-4AB0-BBC4-FAF131962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basedOn w:val="Standardnpsmoodstavce"/>
    <w:link w:val="Textpoznpodarou"/>
    <w:semiHidden/>
    <w:qFormat/>
  </w:style>
  <w:style w:type="character" w:customStyle="1" w:styleId="OdstavecseseznamemChar">
    <w:name w:val="Odstavec se seznamem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qFormat/>
    <w:pPr>
      <w:widowControl w:val="0"/>
      <w:autoSpaceDE w:val="0"/>
      <w:autoSpaceDN w:val="0"/>
      <w:adjustRightInd w:val="0"/>
      <w:spacing w:line="288" w:lineRule="auto"/>
    </w:pPr>
    <w:rPr>
      <w:rFonts w:ascii="MinionPro-Regular" w:eastAsia="MS Mincho" w:hAnsi="MinionPro-Regular" w:cs="MinionPro-Regular"/>
      <w:color w:val="000000"/>
      <w:lang w:eastAsia="ja-JP"/>
    </w:rPr>
  </w:style>
  <w:style w:type="paragraph" w:styleId="Revize">
    <w:name w:val="Revision"/>
    <w:hidden/>
    <w:uiPriority w:val="99"/>
    <w:semiHidden/>
    <w:rsid w:val="008D58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CE92D-AD6A-4AB6-8F5E-2B636506DCED}">
  <ds:schemaRefs/>
</ds:datastoreItem>
</file>

<file path=customXml/itemProps10.xml><?xml version="1.0" encoding="utf-8"?>
<ds:datastoreItem xmlns:ds="http://schemas.openxmlformats.org/officeDocument/2006/customXml" ds:itemID="{C0FAFB36-918C-48CF-A08F-3CF08DE59DD3}">
  <ds:schemaRefs/>
</ds:datastoreItem>
</file>

<file path=customXml/itemProps11.xml><?xml version="1.0" encoding="utf-8"?>
<ds:datastoreItem xmlns:ds="http://schemas.openxmlformats.org/officeDocument/2006/customXml" ds:itemID="{8AEA05FE-F760-4020-9039-4F60943A00BD}">
  <ds:schemaRefs/>
</ds:datastoreItem>
</file>

<file path=customXml/itemProps12.xml><?xml version="1.0" encoding="utf-8"?>
<ds:datastoreItem xmlns:ds="http://schemas.openxmlformats.org/officeDocument/2006/customXml" ds:itemID="{C00181FA-1BF1-4E55-B024-C74A1E497D5A}">
  <ds:schemaRefs/>
</ds:datastoreItem>
</file>

<file path=customXml/itemProps13.xml><?xml version="1.0" encoding="utf-8"?>
<ds:datastoreItem xmlns:ds="http://schemas.openxmlformats.org/officeDocument/2006/customXml" ds:itemID="{05121F7C-B8CC-4E7D-BB07-B1B0802BF1C0}">
  <ds:schemaRefs/>
</ds:datastoreItem>
</file>

<file path=customXml/itemProps14.xml><?xml version="1.0" encoding="utf-8"?>
<ds:datastoreItem xmlns:ds="http://schemas.openxmlformats.org/officeDocument/2006/customXml" ds:itemID="{A6D59BCA-9544-4CCF-8428-3CEF94303751}">
  <ds:schemaRefs/>
</ds:datastoreItem>
</file>

<file path=customXml/itemProps15.xml><?xml version="1.0" encoding="utf-8"?>
<ds:datastoreItem xmlns:ds="http://schemas.openxmlformats.org/officeDocument/2006/customXml" ds:itemID="{78F43AAB-EDF7-4C2C-881E-F334CB9619BB}">
  <ds:schemaRefs/>
</ds:datastoreItem>
</file>

<file path=customXml/itemProps16.xml><?xml version="1.0" encoding="utf-8"?>
<ds:datastoreItem xmlns:ds="http://schemas.openxmlformats.org/officeDocument/2006/customXml" ds:itemID="{D3699BDF-EA29-4DD2-A4DC-A63656E750D8}">
  <ds:schemaRefs>
    <ds:schemaRef ds:uri="http://schemas.openxmlformats.org/officeDocument/2006/bibliography"/>
  </ds:schemaRefs>
</ds:datastoreItem>
</file>

<file path=customXml/itemProps17.xml><?xml version="1.0" encoding="utf-8"?>
<ds:datastoreItem xmlns:ds="http://schemas.openxmlformats.org/officeDocument/2006/customXml" ds:itemID="{D1D01E23-E30B-4794-AB97-8196C5B8A558}">
  <ds:schemaRefs/>
</ds:datastoreItem>
</file>

<file path=customXml/itemProps18.xml><?xml version="1.0" encoding="utf-8"?>
<ds:datastoreItem xmlns:ds="http://schemas.openxmlformats.org/officeDocument/2006/customXml" ds:itemID="{EF0242C4-1CCA-4591-B8BC-1F86B5724234}">
  <ds:schemaRefs>
    <ds:schemaRef ds:uri="http://schemas.microsoft.com/office/2006/metadata/properties"/>
    <ds:schemaRef ds:uri="http://schemas.microsoft.com/office/infopath/2007/PartnerControls"/>
    <ds:schemaRef ds:uri="96f83003-48fd-4f52-836f-d78a4dd9c06d"/>
  </ds:schemaRefs>
</ds:datastoreItem>
</file>

<file path=customXml/itemProps19.xml><?xml version="1.0" encoding="utf-8"?>
<ds:datastoreItem xmlns:ds="http://schemas.openxmlformats.org/officeDocument/2006/customXml" ds:itemID="{BFF628E2-B53E-4EB2-B4D2-179A6A325EA4}">
  <ds:schemaRefs/>
</ds:datastoreItem>
</file>

<file path=customXml/itemProps2.xml><?xml version="1.0" encoding="utf-8"?>
<ds:datastoreItem xmlns:ds="http://schemas.openxmlformats.org/officeDocument/2006/customXml" ds:itemID="{8A2AB05B-E6E0-40A2-852F-E0A9862B3F87}">
  <ds:schemaRefs/>
</ds:datastoreItem>
</file>

<file path=customXml/itemProps20.xml><?xml version="1.0" encoding="utf-8"?>
<ds:datastoreItem xmlns:ds="http://schemas.openxmlformats.org/officeDocument/2006/customXml" ds:itemID="{97646645-B04E-49CA-A237-A4FEB8991AD0}">
  <ds:schemaRefs/>
</ds:datastoreItem>
</file>

<file path=customXml/itemProps21.xml><?xml version="1.0" encoding="utf-8"?>
<ds:datastoreItem xmlns:ds="http://schemas.openxmlformats.org/officeDocument/2006/customXml" ds:itemID="{8252EF2C-6397-48E0-8E66-EAB6C08418A7}">
  <ds:schemaRefs/>
</ds:datastoreItem>
</file>

<file path=customXml/itemProps22.xml><?xml version="1.0" encoding="utf-8"?>
<ds:datastoreItem xmlns:ds="http://schemas.openxmlformats.org/officeDocument/2006/customXml" ds:itemID="{3D6F1130-A006-43A5-B433-19370D322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A5339C42-16E0-47C6-B812-07D458F0935C}">
  <ds:schemaRefs>
    <ds:schemaRef ds:uri="http://schemas.openxmlformats.org/officeDocument/2006/bibliography"/>
  </ds:schemaRefs>
</ds:datastoreItem>
</file>

<file path=customXml/itemProps24.xml><?xml version="1.0" encoding="utf-8"?>
<ds:datastoreItem xmlns:ds="http://schemas.openxmlformats.org/officeDocument/2006/customXml" ds:itemID="{524E3A9B-C05B-44C7-8929-995B2D723FB9}">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DC1DDBD3-903E-4265-A2FD-91B0B6B072D3}">
  <ds:schemaRefs/>
</ds:datastoreItem>
</file>

<file path=customXml/itemProps3.xml><?xml version="1.0" encoding="utf-8"?>
<ds:datastoreItem xmlns:ds="http://schemas.openxmlformats.org/officeDocument/2006/customXml" ds:itemID="{BE101946-99ED-418D-8D32-5F585B4D1805}">
  <ds:schemaRefs>
    <ds:schemaRef ds:uri="http://schemas.microsoft.com/sharepoint/v3/contenttype/forms"/>
  </ds:schemaRefs>
</ds:datastoreItem>
</file>

<file path=customXml/itemProps4.xml><?xml version="1.0" encoding="utf-8"?>
<ds:datastoreItem xmlns:ds="http://schemas.openxmlformats.org/officeDocument/2006/customXml" ds:itemID="{31462C04-D255-4CA2-93F6-190BD0F614B0}">
  <ds:schemaRefs/>
</ds:datastoreItem>
</file>

<file path=customXml/itemProps5.xml><?xml version="1.0" encoding="utf-8"?>
<ds:datastoreItem xmlns:ds="http://schemas.openxmlformats.org/officeDocument/2006/customXml" ds:itemID="{CC13654E-49D2-4C9C-9756-DB00A0DF48ED}">
  <ds:schemaRefs/>
</ds:datastoreItem>
</file>

<file path=customXml/itemProps6.xml><?xml version="1.0" encoding="utf-8"?>
<ds:datastoreItem xmlns:ds="http://schemas.openxmlformats.org/officeDocument/2006/customXml" ds:itemID="{5532DDAD-CAEB-443D-8EDB-3E15D7D0CD1E}">
  <ds:schemaRefs>
    <ds:schemaRef ds:uri="http://schemas.openxmlformats.org/officeDocument/2006/bibliography"/>
  </ds:schemaRefs>
</ds:datastoreItem>
</file>

<file path=customXml/itemProps7.xml><?xml version="1.0" encoding="utf-8"?>
<ds:datastoreItem xmlns:ds="http://schemas.openxmlformats.org/officeDocument/2006/customXml" ds:itemID="{9CB0E77D-ABDA-4C91-8E72-39721A9F87A4}">
  <ds:schemaRefs/>
</ds:datastoreItem>
</file>

<file path=customXml/itemProps8.xml><?xml version="1.0" encoding="utf-8"?>
<ds:datastoreItem xmlns:ds="http://schemas.openxmlformats.org/officeDocument/2006/customXml" ds:itemID="{FC1736D7-8D32-486F-816E-7C9E9E1C730D}">
  <ds:schemaRefs/>
</ds:datastoreItem>
</file>

<file path=customXml/itemProps9.xml><?xml version="1.0" encoding="utf-8"?>
<ds:datastoreItem xmlns:ds="http://schemas.openxmlformats.org/officeDocument/2006/customXml" ds:itemID="{96E1876E-91DB-423E-93F1-F9F1FF77B8EF}">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9</Pages>
  <Words>2354</Words>
  <Characters>13889</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59</cp:revision>
  <cp:lastPrinted>2015-09-16T08:02:00Z</cp:lastPrinted>
  <dcterms:created xsi:type="dcterms:W3CDTF">2016-10-05T09:26:00Z</dcterms:created>
  <dcterms:modified xsi:type="dcterms:W3CDTF">2024-02-06T06:44:00Z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