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2.2</w:t>
      </w:r>
    </w:p>
    <w:p w:rsidR="00D647F5" w:rsidRPr="00D647F5" w:rsidRDefault="00D3297D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D05C9">
        <w:rPr>
          <w:rFonts w:asciiTheme="majorHAnsi" w:hAnsiTheme="majorHAnsi" w:cs="MyriadPro-Black"/>
          <w:caps/>
          <w:color w:val="A6A6A6"/>
          <w:sz w:val="40"/>
          <w:szCs w:val="40"/>
        </w:rPr>
        <w:t>90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040A2">
        <w:rPr>
          <w:rFonts w:asciiTheme="majorHAnsi" w:hAnsiTheme="majorHAnsi" w:cs="MyriadPro-Black"/>
          <w:caps/>
          <w:sz w:val="40"/>
          <w:szCs w:val="40"/>
        </w:rPr>
        <w:t>4</w:t>
      </w:r>
    </w:p>
    <w:p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7D69AE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11. 12. 2020 </w:t>
      </w:r>
      <w:bookmarkStart w:id="0" w:name="_GoBack"/>
      <w:bookmarkEnd w:id="0"/>
    </w:p>
    <w:p w:rsidR="008F3689" w:rsidRDefault="008F3689" w:rsidP="008F3689">
      <w:pPr>
        <w:tabs>
          <w:tab w:val="left" w:pos="5055"/>
        </w:tabs>
      </w:pPr>
      <w:r>
        <w:br w:type="page"/>
      </w:r>
    </w:p>
    <w:p w:rsidR="00065576" w:rsidRDefault="00065576" w:rsidP="008F3689">
      <w:pPr>
        <w:tabs>
          <w:tab w:val="left" w:pos="5055"/>
        </w:tabs>
      </w:pPr>
    </w:p>
    <w:tbl>
      <w:tblPr>
        <w:tblW w:w="98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722"/>
      </w:tblGrid>
      <w:tr w:rsidR="00065576" w:rsidRPr="0098535B" w:rsidTr="00363A3D">
        <w:trPr>
          <w:trHeight w:val="328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363A3D">
        <w:trPr>
          <w:trHeight w:val="312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:rsidTr="00363A3D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363A3D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363A3D">
        <w:trPr>
          <w:trHeight w:val="236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363A3D">
        <w:trPr>
          <w:trHeight w:val="368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:rsidTr="00363A3D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363A3D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363A3D">
        <w:trPr>
          <w:trHeight w:val="375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363A3D">
        <w:trPr>
          <w:trHeight w:val="368"/>
        </w:trPr>
        <w:tc>
          <w:tcPr>
            <w:tcW w:w="9831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363A3D">
        <w:trPr>
          <w:trHeight w:val="269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363A3D">
        <w:trPr>
          <w:trHeight w:val="810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=Full-</w:t>
            </w:r>
            <w:proofErr w:type="spellStart"/>
            <w:r w:rsidRPr="008E159E">
              <w:rPr>
                <w:sz w:val="20"/>
                <w:szCs w:val="20"/>
              </w:rPr>
              <w:t>time</w:t>
            </w:r>
            <w:proofErr w:type="spellEnd"/>
            <w:r w:rsidRPr="008E159E">
              <w:rPr>
                <w:sz w:val="20"/>
                <w:szCs w:val="20"/>
              </w:rPr>
              <w:t xml:space="preserve"> </w:t>
            </w:r>
            <w:proofErr w:type="spellStart"/>
            <w:r w:rsidRPr="008E159E">
              <w:rPr>
                <w:sz w:val="20"/>
                <w:szCs w:val="20"/>
              </w:rPr>
              <w:t>equivalent</w:t>
            </w:r>
            <w:proofErr w:type="spellEnd"/>
            <w:r w:rsidRPr="008E159E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755C9E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</w:p>
          <w:p w:rsidR="00755C9E" w:rsidRPr="00755C9E" w:rsidRDefault="00755C9E" w:rsidP="002D6BB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755C9E">
              <w:rPr>
                <w:b/>
                <w:sz w:val="20"/>
                <w:szCs w:val="20"/>
              </w:rPr>
              <w:t>Příklad: plánované datum ukončení realizace projektu je 31.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55C9E">
              <w:rPr>
                <w:b/>
                <w:sz w:val="20"/>
                <w:szCs w:val="20"/>
              </w:rPr>
              <w:t>8.</w:t>
            </w:r>
            <w:r>
              <w:rPr>
                <w:b/>
                <w:sz w:val="20"/>
                <w:szCs w:val="20"/>
              </w:rPr>
              <w:t xml:space="preserve"> 2019 </w:t>
            </w:r>
            <w:r w:rsidRPr="00755C9E">
              <w:rPr>
                <w:b/>
                <w:sz w:val="20"/>
                <w:szCs w:val="20"/>
              </w:rPr>
              <w:t>– cílová hodnota bude stanovena 90 kalendářních dnů od ukončení projektu, tedy na datum 29. 11. 2019.</w:t>
            </w:r>
          </w:p>
          <w:p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</w:t>
            </w:r>
            <w:r w:rsidR="00D26BC9">
              <w:rPr>
                <w:sz w:val="20"/>
                <w:szCs w:val="20"/>
              </w:rPr>
              <w:t>ch</w:t>
            </w:r>
            <w:r w:rsidRPr="00FF7DA1">
              <w:rPr>
                <w:sz w:val="20"/>
                <w:szCs w:val="20"/>
              </w:rPr>
              <w:t xml:space="preserve"> pracovní místa, doklady z Úřadu práce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="00D26BC9">
              <w:rPr>
                <w:sz w:val="20"/>
                <w:szCs w:val="20"/>
              </w:rPr>
              <w:t xml:space="preserve"> aj.</w:t>
            </w:r>
            <w:r w:rsidR="00A4721B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V případě, že výpadek doloží, </w:t>
            </w:r>
            <w:r w:rsidR="00304834">
              <w:rPr>
                <w:sz w:val="20"/>
                <w:szCs w:val="20"/>
              </w:rPr>
              <w:t>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:rsidR="002D6BB6" w:rsidRPr="00755C9E" w:rsidRDefault="00650D31" w:rsidP="00293B18">
            <w:pPr>
              <w:pStyle w:val="text"/>
              <w:spacing w:before="120" w:after="120"/>
              <w:ind w:left="170" w:right="170"/>
              <w:rPr>
                <w:b/>
              </w:rPr>
            </w:pPr>
            <w:r w:rsidRPr="00755C9E">
              <w:rPr>
                <w:b/>
              </w:rPr>
              <w:t>N</w:t>
            </w:r>
            <w:r w:rsidR="002D6BB6" w:rsidRPr="00755C9E">
              <w:rPr>
                <w:b/>
              </w:rPr>
              <w:t xml:space="preserve">ení možné jednoho pracovníka zaměstnávat na různých pozicích s cílem </w:t>
            </w:r>
            <w:r w:rsidR="00865F7B" w:rsidRPr="00755C9E">
              <w:rPr>
                <w:b/>
              </w:rPr>
              <w:t>rozložit</w:t>
            </w:r>
            <w:r w:rsidR="002D6BB6" w:rsidRPr="00755C9E">
              <w:rPr>
                <w:b/>
              </w:rPr>
              <w:t xml:space="preserve"> neobsazené FTE mezi různé pracovní pozice.</w:t>
            </w:r>
          </w:p>
          <w:p w:rsidR="001E22A9" w:rsidRDefault="0007025B" w:rsidP="00442411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  <w:u w:val="single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>Tolerováno je nenaplnění po dobu max. 3 měsíce/rok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:rsidR="004C5957" w:rsidRPr="00E61EE3" w:rsidRDefault="00045452" w:rsidP="0044241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:rsidR="00CC7E41" w:rsidRDefault="00CC7E41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>Příklady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065576" w:rsidRPr="001E22A9" w:rsidRDefault="000655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  <w:r w:rsidR="008E4DCD" w:rsidRPr="00442411">
              <w:rPr>
                <w:rFonts w:asciiTheme="minorHAnsi" w:hAnsiTheme="minorHAnsi"/>
              </w:rPr>
              <w:t>C</w:t>
            </w:r>
            <w:r w:rsidRPr="00442411">
              <w:rPr>
                <w:rFonts w:asciiTheme="minorHAnsi" w:hAnsiTheme="minorHAnsi"/>
              </w:rPr>
              <w:t>ílová hodnota</w:t>
            </w:r>
            <w:r w:rsidRPr="001E22A9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 w:rsidRPr="001E22A9">
              <w:rPr>
                <w:rFonts w:asciiTheme="minorHAnsi" w:hAnsiTheme="minorHAnsi"/>
              </w:rPr>
              <w:t>cílové</w:t>
            </w:r>
            <w:r w:rsidRPr="001E22A9">
              <w:rPr>
                <w:rFonts w:asciiTheme="minorHAnsi" w:hAnsiTheme="minorHAnsi"/>
              </w:rPr>
              <w:t xml:space="preserve"> skupiny </w:t>
            </w:r>
            <w:r w:rsidR="008E4DCD" w:rsidRPr="001E22A9">
              <w:rPr>
                <w:rFonts w:asciiTheme="minorHAnsi" w:hAnsiTheme="minorHAnsi"/>
              </w:rPr>
              <w:t xml:space="preserve">je </w:t>
            </w:r>
            <w:r w:rsidRPr="001E22A9">
              <w:rPr>
                <w:rFonts w:asciiTheme="minorHAnsi" w:hAnsiTheme="minorHAnsi"/>
              </w:rPr>
              <w:t>1,5 FTE (plného úvazku).</w:t>
            </w:r>
          </w:p>
          <w:p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:rsidR="00CC7E41" w:rsidRPr="00476808" w:rsidRDefault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:rsidR="00065576" w:rsidRPr="001E22A9" w:rsidRDefault="00065576" w:rsidP="001E22A9">
            <w:pPr>
              <w:pStyle w:val="text"/>
              <w:spacing w:before="120" w:after="120"/>
              <w:ind w:left="170" w:right="170"/>
              <w:rPr>
                <w:u w:val="single"/>
              </w:rPr>
            </w:pPr>
            <w:r w:rsidRPr="001E22A9">
              <w:rPr>
                <w:sz w:val="20"/>
                <w:szCs w:val="20"/>
                <w:u w:val="single"/>
              </w:rPr>
              <w:t>OSVČ se zaměstnanci</w:t>
            </w:r>
          </w:p>
          <w:p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  <w:r w:rsidR="001E22A9">
              <w:t xml:space="preserve"> </w:t>
            </w:r>
            <w:r w:rsidR="001E22A9" w:rsidRPr="00442411">
              <w:rPr>
                <w:rFonts w:asciiTheme="minorHAnsi" w:hAnsiTheme="minorHAnsi"/>
              </w:rPr>
              <w:t xml:space="preserve">V případě </w:t>
            </w:r>
            <w:r w:rsidR="001E22A9" w:rsidRPr="00442411">
              <w:rPr>
                <w:rFonts w:asciiTheme="minorHAnsi" w:hAnsiTheme="minorHAnsi"/>
              </w:rPr>
              <w:lastRenderedPageBreak/>
              <w:t xml:space="preserve">vzniku nového podnikatelského subjektu OSVČ, jehož podnikatelská aktivita bude zahájena v souvislosti s podporou IROP, tak se OSVČ rovněž započítává do indikátoru 10403 o velikosti 1,0 FTE s ostatními zaměstnanci z cílových skupin, pokud rovněž spadá do </w:t>
            </w:r>
            <w:r w:rsidR="001E22A9">
              <w:rPr>
                <w:rFonts w:asciiTheme="minorHAnsi" w:hAnsiTheme="minorHAnsi"/>
              </w:rPr>
              <w:t xml:space="preserve">skupiny </w:t>
            </w:r>
            <w:r w:rsidR="001E22A9" w:rsidRPr="00442411">
              <w:rPr>
                <w:rFonts w:asciiTheme="minorHAnsi" w:hAnsiTheme="minorHAnsi"/>
              </w:rPr>
              <w:t>osob z cílových skupin. Pokud OSVČ nespadá do osob z cílových skupin</w:t>
            </w:r>
            <w:r w:rsidR="001E22A9">
              <w:rPr>
                <w:rFonts w:asciiTheme="minorHAnsi" w:hAnsiTheme="minorHAnsi"/>
              </w:rPr>
              <w:t>,</w:t>
            </w:r>
            <w:r w:rsidR="001E22A9" w:rsidRPr="00442411">
              <w:rPr>
                <w:rFonts w:asciiTheme="minorHAnsi" w:hAnsiTheme="minorHAnsi"/>
              </w:rPr>
              <w:t xml:space="preserve"> bude se započítávat pouze do indikátoru 10400.</w:t>
            </w:r>
          </w:p>
        </w:tc>
      </w:tr>
      <w:tr w:rsidR="00065576" w:rsidRPr="0098535B" w:rsidTr="00363A3D">
        <w:trPr>
          <w:trHeight w:val="156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:rsidR="00DD4FED" w:rsidRPr="001E22A9" w:rsidRDefault="00DD4FED">
      <w:pPr>
        <w:rPr>
          <w:sz w:val="2"/>
          <w:szCs w:val="2"/>
        </w:rPr>
      </w:pPr>
    </w:p>
    <w:tbl>
      <w:tblPr>
        <w:tblW w:w="968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2"/>
      </w:tblGrid>
      <w:tr w:rsidR="009949F5" w:rsidRPr="0098535B" w:rsidTr="00363A3D">
        <w:trPr>
          <w:trHeight w:val="4535"/>
        </w:trPr>
        <w:tc>
          <w:tcPr>
            <w:tcW w:w="968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9949F5" w:rsidRDefault="009949F5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CC7E41" w:rsidRDefault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CC7E41" w:rsidRDefault="00CC7E41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CC7E41" w:rsidRDefault="005C6575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 w:rsidRPr="001E22A9">
              <w:rPr>
                <w:rFonts w:asciiTheme="minorHAnsi" w:hAnsiTheme="minorHAnsi"/>
                <w:b/>
              </w:rPr>
              <w:t>Dosažená hodnota, vykazovaná ve zprávě o udržitelnosti, se vztahuje k období, za které se daná zpráva odevzdává (rok udržitelnosti). Obsazenost pozic se určuje podle údajů v pracovních smlouvách.</w:t>
            </w:r>
          </w:p>
          <w:p w:rsidR="00A4721B" w:rsidRDefault="00A4721B" w:rsidP="001E22A9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</w:rPr>
            </w:pPr>
          </w:p>
          <w:p w:rsidR="00CC7E41" w:rsidRDefault="00CC7E41" w:rsidP="001E22A9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</w:rPr>
            </w:pPr>
          </w:p>
          <w:p w:rsidR="005C6575" w:rsidRDefault="005C6575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t xml:space="preserve">Postup výpočtu pro období udržitelnosti projektu: </w:t>
            </w:r>
          </w:p>
          <w:p w:rsidR="005C6575" w:rsidRDefault="005C6575" w:rsidP="005C6575">
            <w:pPr>
              <w:pStyle w:val="Odstavecseseznamem"/>
              <w:numPr>
                <w:ilvl w:val="0"/>
                <w:numId w:val="14"/>
              </w:numPr>
              <w:spacing w:before="120" w:after="120"/>
              <w:ind w:left="366" w:right="170" w:hanging="196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krok: výpočet velikosti pozice v kalendářním měsíci:</w:t>
            </w:r>
          </w:p>
          <w:p w:rsidR="00CC7E41" w:rsidRDefault="005C6575" w:rsidP="00442411">
            <w:pPr>
              <w:pStyle w:val="Odstavecseseznamem"/>
              <w:ind w:left="17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 xml:space="preserve">Pokud se velikost pozice </w:t>
            </w:r>
            <w:r>
              <w:rPr>
                <w:rFonts w:asciiTheme="minorHAnsi" w:hAnsiTheme="minorHAnsi"/>
              </w:rPr>
              <w:t xml:space="preserve">v FTE (V) </w:t>
            </w:r>
            <w:r w:rsidRPr="00FB4688">
              <w:rPr>
                <w:rFonts w:asciiTheme="minorHAnsi" w:hAnsiTheme="minorHAnsi"/>
              </w:rPr>
              <w:t>změni</w:t>
            </w:r>
            <w:r w:rsidR="00A4721B">
              <w:rPr>
                <w:rFonts w:asciiTheme="minorHAnsi" w:hAnsiTheme="minorHAnsi"/>
              </w:rPr>
              <w:t>la v průběhu měsíce, je nutné</w:t>
            </w:r>
            <w:r w:rsidRPr="00FB4688">
              <w:rPr>
                <w:rFonts w:asciiTheme="minorHAnsi" w:hAnsiTheme="minorHAnsi"/>
              </w:rPr>
              <w:t xml:space="preserve"> počítat s její reálnou velikostí</w:t>
            </w:r>
            <w:r>
              <w:rPr>
                <w:rFonts w:asciiTheme="minorHAnsi" w:hAnsiTheme="minorHAnsi"/>
              </w:rPr>
              <w:t xml:space="preserve"> v daném měsíci:</w:t>
            </w:r>
          </w:p>
          <w:p w:rsidR="00363A3D" w:rsidRPr="001E22A9" w:rsidRDefault="00363A3D" w:rsidP="00442411">
            <w:pPr>
              <w:pStyle w:val="Odstavecseseznamem"/>
              <w:ind w:left="170" w:right="170"/>
              <w:jc w:val="both"/>
              <w:rPr>
                <w:rFonts w:asciiTheme="minorHAnsi" w:hAnsiTheme="minorHAnsi"/>
              </w:rPr>
            </w:pPr>
          </w:p>
          <w:p w:rsidR="005C6575" w:rsidRPr="009949F5" w:rsidRDefault="005C6575" w:rsidP="001E22A9">
            <w:pPr>
              <w:spacing w:before="120" w:after="120"/>
              <w:ind w:left="1778" w:right="170" w:hanging="1608"/>
              <w:rPr>
                <w:rFonts w:asciiTheme="minorHAnsi" w:hAnsiTheme="minorHAnsi"/>
                <w:i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Cambria Math"/>
                    <w:sz w:val="18"/>
                    <w:szCs w:val="18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velikost 1*počet PD 1+velikost 2*počet PD 2</m:t>
                    </m:r>
                  </m:num>
                  <m:den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počet PD 1+počet PD 2</m:t>
                    </m:r>
                  </m:den>
                </m:f>
              </m:oMath>
            </m:oMathPara>
          </w:p>
          <w:p w:rsidR="00CC7E41" w:rsidRPr="00FB4688" w:rsidRDefault="00CC7E41" w:rsidP="005C6575">
            <w:pPr>
              <w:spacing w:before="120" w:after="120"/>
              <w:ind w:right="170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5C6575" w:rsidRPr="001E22A9" w:rsidRDefault="005C6575" w:rsidP="00442411">
            <w:pPr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1E22A9">
              <w:rPr>
                <w:rFonts w:asciiTheme="minorHAnsi" w:hAnsiTheme="minorHAnsi"/>
                <w:b/>
                <w:u w:val="single"/>
              </w:rPr>
              <w:t>Protože rok udržitelnosti často nezačíná první den v měsíci, uvažuje se část prvního a posledního měsíce daného roku udržitelnosti dohromady za jeden kalendářní měsíc.</w:t>
            </w:r>
            <w:r w:rsidRPr="001E22A9">
              <w:rPr>
                <w:rFonts w:asciiTheme="minorHAnsi" w:hAnsiTheme="minorHAnsi"/>
                <w:u w:val="single"/>
              </w:rPr>
              <w:t xml:space="preserve"> </w:t>
            </w:r>
          </w:p>
          <w:p w:rsidR="005C6575" w:rsidRDefault="005C6575" w:rsidP="005C6575">
            <w:pPr>
              <w:ind w:left="170" w:right="170"/>
              <w:rPr>
                <w:rFonts w:asciiTheme="minorHAnsi" w:hAnsiTheme="minorHAnsi"/>
              </w:rPr>
            </w:pPr>
          </w:p>
          <w:p w:rsidR="005C6575" w:rsidRDefault="005C6575" w:rsidP="00442411">
            <w:pPr>
              <w:ind w:left="170" w:right="17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Příklad:</w:t>
            </w:r>
            <w:r w:rsidRPr="00FB4688">
              <w:rPr>
                <w:rFonts w:asciiTheme="minorHAnsi" w:hAnsiTheme="minorHAnsi"/>
              </w:rPr>
              <w:t xml:space="preserve"> pokud má měsíc 20 pracovních dní (PD) a z toho 5 PD byla velikost pozice 0,5 FTE a 15 PD 1 FTE, pak je její skutečná velikost v daném měsíci 0,875 (</w:t>
            </w:r>
            <m:oMath>
              <m:r>
                <w:rPr>
                  <w:rFonts w:ascii="Cambria Math" w:hAnsi="Cambria Math" w:cs="Cambria Math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0,5*5+1*15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5+15</m:t>
                  </m:r>
                </m:den>
              </m:f>
            </m:oMath>
            <w:r w:rsidRPr="00FB4688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CC7E41" w:rsidRDefault="00CC7E41" w:rsidP="005C6575">
            <w:pPr>
              <w:ind w:left="170" w:right="170"/>
              <w:rPr>
                <w:rFonts w:asciiTheme="minorHAnsi" w:hAnsiTheme="minorHAnsi"/>
                <w:sz w:val="24"/>
                <w:szCs w:val="24"/>
              </w:rPr>
            </w:pPr>
          </w:p>
          <w:p w:rsidR="005C6575" w:rsidRPr="00FB4688" w:rsidRDefault="005C6575" w:rsidP="001E22A9">
            <w:pPr>
              <w:ind w:right="170"/>
              <w:rPr>
                <w:rFonts w:asciiTheme="minorHAnsi" w:hAnsiTheme="minorHAnsi"/>
                <w:b/>
              </w:rPr>
            </w:pPr>
          </w:p>
          <w:p w:rsidR="005C6575" w:rsidRPr="00363A3D" w:rsidRDefault="005C6575" w:rsidP="005C6575">
            <w:pPr>
              <w:pStyle w:val="Odstavecseseznamem"/>
              <w:numPr>
                <w:ilvl w:val="0"/>
                <w:numId w:val="14"/>
              </w:numPr>
              <w:ind w:left="366" w:hanging="196"/>
            </w:pPr>
            <w:r w:rsidRPr="00FB4688">
              <w:rPr>
                <w:rFonts w:asciiTheme="minorHAnsi" w:hAnsiTheme="minorHAnsi" w:cstheme="minorHAnsi"/>
                <w:b/>
              </w:rPr>
              <w:t>krok</w:t>
            </w:r>
            <w:r w:rsidRPr="00FB4688">
              <w:rPr>
                <w:rFonts w:asciiTheme="minorHAnsi" w:hAnsiTheme="minorHAnsi"/>
                <w:b/>
              </w:rPr>
              <w:t>:</w:t>
            </w:r>
            <w:r w:rsidRPr="00FB4688"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:rsidR="00363A3D" w:rsidRDefault="00363A3D" w:rsidP="005C6575">
            <w:pPr>
              <w:pStyle w:val="Odstavecseseznamem"/>
              <w:numPr>
                <w:ilvl w:val="0"/>
                <w:numId w:val="14"/>
              </w:numPr>
              <w:ind w:left="366" w:hanging="196"/>
            </w:pPr>
          </w:p>
          <w:p w:rsidR="00CC7E41" w:rsidRPr="00CC7E41" w:rsidRDefault="005C6575">
            <w:pPr>
              <w:spacing w:before="120" w:after="120" w:line="480" w:lineRule="auto"/>
              <w:ind w:left="170" w:right="170"/>
              <w:rPr>
                <w:rFonts w:asciiTheme="minorHAnsi" w:hAnsiTheme="minorHAnsi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D= V 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0B7438" w:rsidRDefault="005C6575" w:rsidP="00442411">
            <w:pPr>
              <w:spacing w:line="276" w:lineRule="auto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hAnsiTheme="minorHAnsi"/>
              </w:rPr>
              <w:t>příjemce sečte hodnoty D pro všechny jednotlivé měsíce daného období (roku udrži</w:t>
            </w:r>
            <w:r w:rsidR="00CC7E41">
              <w:rPr>
                <w:rFonts w:asciiTheme="minorHAnsi" w:hAnsiTheme="minorHAnsi"/>
              </w:rPr>
              <w:t>telnost)* pro danou pozici (P):</w:t>
            </w:r>
          </w:p>
          <w:p w:rsidR="00CC7E41" w:rsidRPr="000B7438" w:rsidRDefault="005C6575" w:rsidP="001E22A9">
            <w:pPr>
              <w:spacing w:before="120" w:line="480" w:lineRule="auto"/>
              <w:ind w:left="1830" w:right="170" w:hanging="166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C6575" w:rsidRDefault="005C6575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4.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 w:rsidR="00CC7E41">
              <w:rPr>
                <w:rFonts w:asciiTheme="minorHAnsi" w:hAnsiTheme="minorHAnsi"/>
              </w:rPr>
              <w:t xml:space="preserve"> P:</w:t>
            </w:r>
          </w:p>
          <w:p w:rsidR="009949F5" w:rsidRPr="001E22A9" w:rsidRDefault="005C6575" w:rsidP="001E22A9">
            <w:pPr>
              <w:spacing w:before="120" w:after="120" w:line="276" w:lineRule="auto"/>
              <w:ind w:left="1920" w:right="17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Počet odpracovaných měsíčních FTE=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0B7438" w:rsidRPr="000B7438" w:rsidRDefault="000B7438" w:rsidP="00442411">
            <w:pPr>
              <w:spacing w:before="120" w:after="120" w:line="276" w:lineRule="auto"/>
              <w:ind w:left="1920" w:right="170"/>
              <w:jc w:val="both"/>
              <w:rPr>
                <w:rFonts w:asciiTheme="minorHAnsi" w:hAnsiTheme="minorHAnsi"/>
              </w:rPr>
            </w:pPr>
          </w:p>
          <w:p w:rsidR="005C6575" w:rsidRPr="00FB4688" w:rsidRDefault="005C6575" w:rsidP="00442411">
            <w:pPr>
              <w:spacing w:before="120" w:after="120" w:line="276" w:lineRule="auto"/>
              <w:ind w:left="224" w:right="170"/>
              <w:jc w:val="both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</w:rPr>
              <w:lastRenderedPageBreak/>
              <w:t>5</w:t>
            </w:r>
            <w:r w:rsidRPr="00AE5178">
              <w:rPr>
                <w:rFonts w:asciiTheme="minorHAnsi" w:hAnsiTheme="minorHAnsi"/>
                <w:b/>
              </w:rPr>
              <w:t xml:space="preserve">. krok: </w:t>
            </w:r>
            <w:r>
              <w:rPr>
                <w:rFonts w:asciiTheme="minorHAnsi" w:hAnsiTheme="minorHAnsi"/>
              </w:rPr>
              <w:t>počet odpracovaných měsíčních FTE příjemce vydělí počtem měsíců pro daný rok udržitelnosti, přičemž platí následující zásady:</w:t>
            </w:r>
          </w:p>
          <w:p w:rsidR="005C6575" w:rsidRPr="00FB4688" w:rsidRDefault="005C6575" w:rsidP="005C6575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FB4688">
              <w:rPr>
                <w:rFonts w:asciiTheme="minorHAnsi" w:hAnsiTheme="minorHAnsi"/>
                <w:b/>
              </w:rPr>
              <w:t>V </w:t>
            </w:r>
            <w:r w:rsidRPr="00FB4688">
              <w:rPr>
                <w:rFonts w:asciiTheme="minorHAnsi" w:hAnsiTheme="minorHAnsi"/>
                <w:b/>
                <w:u w:val="single"/>
              </w:rPr>
              <w:t>2. až 5. roce</w:t>
            </w:r>
            <w:r w:rsidRPr="00FB4688">
              <w:rPr>
                <w:rFonts w:asciiTheme="minorHAnsi" w:hAnsiTheme="minorHAnsi"/>
                <w:b/>
              </w:rPr>
              <w:t xml:space="preserve"> udržitelnosti je </w:t>
            </w:r>
            <w:r>
              <w:rPr>
                <w:rFonts w:asciiTheme="minorHAnsi" w:hAnsiTheme="minorHAnsi"/>
                <w:b/>
              </w:rPr>
              <w:t>počet měsíců</w:t>
            </w:r>
            <w:r w:rsidRPr="00FB4688">
              <w:rPr>
                <w:rFonts w:asciiTheme="minorHAnsi" w:hAnsiTheme="minorHAnsi"/>
                <w:b/>
              </w:rPr>
              <w:t xml:space="preserve"> vždy 12 měsíců.</w:t>
            </w:r>
          </w:p>
          <w:p w:rsidR="005C6575" w:rsidRDefault="005C6575" w:rsidP="005C6575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FB4688">
              <w:rPr>
                <w:rFonts w:asciiTheme="minorHAnsi" w:hAnsiTheme="minorHAnsi"/>
                <w:b/>
              </w:rPr>
              <w:t>V </w:t>
            </w:r>
            <w:r w:rsidRPr="00FB4688">
              <w:rPr>
                <w:rFonts w:asciiTheme="minorHAnsi" w:hAnsiTheme="minorHAnsi"/>
                <w:b/>
                <w:u w:val="single"/>
              </w:rPr>
              <w:t>1. roce</w:t>
            </w:r>
            <w:r w:rsidRPr="00FB4688">
              <w:rPr>
                <w:rFonts w:asciiTheme="minorHAnsi" w:hAnsiTheme="minorHAnsi"/>
                <w:b/>
              </w:rPr>
              <w:t xml:space="preserve"> udržitelnosti je </w:t>
            </w:r>
            <w:r>
              <w:rPr>
                <w:rFonts w:asciiTheme="minorHAnsi" w:hAnsiTheme="minorHAnsi"/>
                <w:b/>
              </w:rPr>
              <w:t>počet měsíců</w:t>
            </w:r>
            <w:r w:rsidRPr="00FB4688">
              <w:rPr>
                <w:rFonts w:asciiTheme="minorHAnsi" w:hAnsiTheme="minorHAnsi"/>
                <w:b/>
              </w:rPr>
              <w:t xml:space="preserve"> pro výpočet individuální pro každý projekt: </w:t>
            </w:r>
          </w:p>
          <w:p w:rsidR="005C6575" w:rsidRDefault="005C6575" w:rsidP="005C6575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>hodnota indikátoru musí být naplněna do 90 kalendářních dní od</w:t>
            </w:r>
            <w:r w:rsidR="009949F5">
              <w:rPr>
                <w:rFonts w:asciiTheme="minorHAnsi" w:hAnsiTheme="minorHAnsi"/>
              </w:rPr>
              <w:t xml:space="preserve"> data skutečného</w:t>
            </w:r>
            <w:r w:rsidRPr="00FB4688">
              <w:rPr>
                <w:rFonts w:asciiTheme="minorHAnsi" w:hAnsiTheme="minorHAnsi"/>
              </w:rPr>
              <w:t xml:space="preserve"> ukončení fyzické realizace projektu </w:t>
            </w:r>
            <w:r w:rsidR="009949F5">
              <w:rPr>
                <w:rFonts w:asciiTheme="minorHAnsi" w:hAnsiTheme="minorHAnsi"/>
              </w:rPr>
              <w:t xml:space="preserve">zadaného v MS2014+ </w:t>
            </w:r>
            <w:r w:rsidRPr="00FB4688">
              <w:rPr>
                <w:rFonts w:asciiTheme="minorHAnsi" w:hAnsiTheme="minorHAnsi"/>
              </w:rPr>
              <w:t xml:space="preserve">(a proto je počet měsíců, za které se hodnotí plnění indikátoru v prvním roce udržitelnosti, proměnlivý. Jeho délka se odvíjí od data, kdy projekt vstoupil do stavu </w:t>
            </w:r>
            <w:r w:rsidRPr="00FB4688">
              <w:rPr>
                <w:rFonts w:asciiTheme="minorHAnsi" w:hAnsiTheme="minorHAnsi"/>
                <w:u w:val="single"/>
              </w:rPr>
              <w:t>PP41 - projekt finančně ukončen ze strany ŘO</w:t>
            </w:r>
            <w:r w:rsidRPr="00FB4688">
              <w:rPr>
                <w:rFonts w:asciiTheme="minorHAnsi" w:hAnsiTheme="minorHAnsi"/>
              </w:rPr>
              <w:t xml:space="preserve">.  </w:t>
            </w:r>
          </w:p>
          <w:p w:rsidR="008E5D4B" w:rsidRPr="00FB4688" w:rsidRDefault="008E5D4B" w:rsidP="005C6575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  <w:b/>
              </w:rPr>
            </w:pPr>
          </w:p>
          <w:p w:rsidR="005C6575" w:rsidRDefault="005C6575" w:rsidP="005C6575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projekt </w:t>
            </w:r>
            <w:r w:rsidR="00A4721B">
              <w:rPr>
                <w:rFonts w:asciiTheme="minorHAnsi" w:hAnsiTheme="minorHAnsi"/>
              </w:rPr>
              <w:t>vstoupil</w:t>
            </w:r>
            <w:r w:rsidRPr="0047620E">
              <w:rPr>
                <w:rFonts w:asciiTheme="minorHAnsi" w:hAnsiTheme="minorHAnsi"/>
              </w:rPr>
              <w:t xml:space="preserve"> do stavu PP41 dříve, než uplynula 90 denní lhůta pro naplnění </w:t>
            </w:r>
            <w:r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Pr="0047620E">
              <w:rPr>
                <w:rFonts w:asciiTheme="minorHAnsi" w:hAnsiTheme="minorHAnsi"/>
              </w:rPr>
              <w:t xml:space="preserve">do výpočtu </w:t>
            </w:r>
            <w:r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měsíce, kdy se obě období překrývají 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B4688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5C6575" w:rsidRPr="00F7648D" w:rsidRDefault="005C6575" w:rsidP="005C6575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5C6575" w:rsidRPr="00FB4688" w:rsidRDefault="005C6575" w:rsidP="005C6575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Pokud</w:t>
            </w:r>
            <w:r w:rsidR="00A4721B">
              <w:rPr>
                <w:rFonts w:asciiTheme="minorHAnsi" w:hAnsiTheme="minorHAnsi"/>
              </w:rPr>
              <w:t xml:space="preserve"> projekt vstoupil</w:t>
            </w:r>
            <w:r w:rsidRPr="0047620E">
              <w:rPr>
                <w:rFonts w:asciiTheme="minorHAnsi" w:hAnsiTheme="minorHAnsi"/>
              </w:rPr>
              <w:t xml:space="preserve"> do stavu PP4</w:t>
            </w:r>
            <w:r w:rsidR="00A4721B">
              <w:rPr>
                <w:rFonts w:asciiTheme="minorHAnsi" w:hAnsiTheme="minorHAnsi"/>
              </w:rPr>
              <w:t>1 po skončení 90 denní lhůty,</w:t>
            </w:r>
            <w:r w:rsidR="00D26BC9">
              <w:rPr>
                <w:rFonts w:asciiTheme="minorHAnsi" w:hAnsiTheme="minorHAnsi"/>
              </w:rPr>
              <w:t xml:space="preserve"> tak se</w:t>
            </w:r>
            <w:r w:rsidRPr="0047620E">
              <w:rPr>
                <w:rFonts w:asciiTheme="minorHAnsi" w:hAnsiTheme="minorHAnsi"/>
              </w:rPr>
              <w:t xml:space="preserve"> období před začátkem udržitelnosti, ale po skončení</w:t>
            </w:r>
            <w:r w:rsidR="00D26BC9">
              <w:rPr>
                <w:rFonts w:asciiTheme="minorHAnsi" w:hAnsiTheme="minorHAnsi"/>
              </w:rPr>
              <w:t xml:space="preserve"> lhůty pro naplnění indikátoru,</w:t>
            </w:r>
            <w:r w:rsidR="00A4721B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do výpočtu zahrnuje</w:t>
            </w:r>
            <w:r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>
              <w:rPr>
                <w:rFonts w:asciiTheme="minorHAnsi" w:hAnsiTheme="minorHAnsi"/>
              </w:rPr>
              <w:t xml:space="preserve">). Tento případ zobrazuje </w:t>
            </w:r>
            <w:r w:rsidRPr="00FB4688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3.</w:t>
            </w:r>
          </w:p>
          <w:p w:rsidR="005C6575" w:rsidRPr="008E5D4B" w:rsidRDefault="005C6575" w:rsidP="009949F5">
            <w:pPr>
              <w:spacing w:before="120" w:after="120"/>
              <w:ind w:left="1920" w:right="170" w:hanging="1920"/>
              <w:jc w:val="both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měsíců v daném roce udržitelnosti</m:t>
                    </m:r>
                  </m:den>
                </m:f>
              </m:oMath>
            </m:oMathPara>
          </w:p>
          <w:p w:rsidR="00CC7E41" w:rsidRPr="00442411" w:rsidRDefault="00CC7E41" w:rsidP="005C6575">
            <w:pPr>
              <w:spacing w:before="120" w:after="120"/>
              <w:ind w:right="170"/>
              <w:jc w:val="both"/>
              <w:rPr>
                <w:rFonts w:asciiTheme="minorHAnsi" w:hAnsiTheme="minorHAnsi"/>
              </w:rPr>
            </w:pPr>
          </w:p>
          <w:tbl>
            <w:tblPr>
              <w:tblW w:w="950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3"/>
              <w:gridCol w:w="552"/>
              <w:gridCol w:w="516"/>
              <w:gridCol w:w="578"/>
              <w:gridCol w:w="468"/>
              <w:gridCol w:w="177"/>
              <w:gridCol w:w="245"/>
              <w:gridCol w:w="351"/>
              <w:gridCol w:w="215"/>
              <w:gridCol w:w="285"/>
              <w:gridCol w:w="218"/>
              <w:gridCol w:w="205"/>
              <w:gridCol w:w="264"/>
              <w:gridCol w:w="158"/>
              <w:gridCol w:w="44"/>
              <w:gridCol w:w="221"/>
              <w:gridCol w:w="103"/>
              <w:gridCol w:w="54"/>
              <w:gridCol w:w="142"/>
              <w:gridCol w:w="129"/>
              <w:gridCol w:w="151"/>
              <w:gridCol w:w="276"/>
              <w:gridCol w:w="147"/>
              <w:gridCol w:w="141"/>
              <w:gridCol w:w="135"/>
              <w:gridCol w:w="147"/>
              <w:gridCol w:w="276"/>
              <w:gridCol w:w="146"/>
              <w:gridCol w:w="144"/>
              <w:gridCol w:w="134"/>
              <w:gridCol w:w="144"/>
              <w:gridCol w:w="23"/>
              <w:gridCol w:w="256"/>
              <w:gridCol w:w="144"/>
              <w:gridCol w:w="48"/>
              <w:gridCol w:w="160"/>
              <w:gridCol w:w="72"/>
              <w:gridCol w:w="148"/>
              <w:gridCol w:w="130"/>
              <w:gridCol w:w="29"/>
              <w:gridCol w:w="60"/>
              <w:gridCol w:w="60"/>
              <w:gridCol w:w="198"/>
              <w:gridCol w:w="198"/>
              <w:gridCol w:w="131"/>
              <w:gridCol w:w="10"/>
              <w:gridCol w:w="188"/>
              <w:gridCol w:w="131"/>
              <w:gridCol w:w="31"/>
              <w:gridCol w:w="116"/>
              <w:gridCol w:w="17"/>
              <w:gridCol w:w="7"/>
              <w:gridCol w:w="19"/>
              <w:gridCol w:w="120"/>
              <w:gridCol w:w="117"/>
            </w:tblGrid>
            <w:tr w:rsidR="005C6575" w:rsidRPr="00F7648D" w:rsidTr="00442411">
              <w:trPr>
                <w:gridAfter w:val="3"/>
                <w:wAfter w:w="256" w:type="dxa"/>
                <w:trHeight w:val="665"/>
              </w:trPr>
              <w:tc>
                <w:tcPr>
                  <w:tcW w:w="9247" w:type="dxa"/>
                  <w:gridSpan w:val="5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949F5" w:rsidRPr="00F7648D" w:rsidTr="00442411">
              <w:trPr>
                <w:gridAfter w:val="1"/>
                <w:wAfter w:w="117" w:type="dxa"/>
                <w:trHeight w:val="580"/>
              </w:trPr>
              <w:tc>
                <w:tcPr>
                  <w:tcW w:w="4769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Default="005C6575" w:rsidP="005C6575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</w:p>
                <w:p w:rsidR="005C6575" w:rsidRPr="00F7648D" w:rsidRDefault="005C6575" w:rsidP="00363A3D">
                  <w:pPr>
                    <w:ind w:left="170"/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Ilustrativní seřazení jednotlivých lhůt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za sebe</w:t>
                  </w:r>
                  <w:r w:rsid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3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903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9949F5" w:rsidRPr="00F7648D" w:rsidTr="009949F5">
              <w:trPr>
                <w:gridAfter w:val="3"/>
                <w:wAfter w:w="256" w:type="dxa"/>
                <w:trHeight w:val="791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5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142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2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855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02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755C9E">
              <w:trPr>
                <w:gridAfter w:val="3"/>
                <w:wAfter w:w="256" w:type="dxa"/>
                <w:trHeight w:val="1233"/>
              </w:trPr>
              <w:tc>
                <w:tcPr>
                  <w:tcW w:w="9247" w:type="dxa"/>
                  <w:gridSpan w:val="5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49F5" w:rsidRPr="00F7648D" w:rsidRDefault="009949F5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2: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s</w:t>
                  </w:r>
                  <w:r w:rsidRPr="0044241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ituace, kdy</w:t>
                  </w:r>
                  <w:r w:rsidRP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Pr="00442411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</w:t>
                  </w:r>
                  <w:r w:rsidRPr="00442411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949F5" w:rsidRPr="00F7648D" w:rsidTr="00442411">
              <w:trPr>
                <w:trHeight w:val="1348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2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158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755C9E">
              <w:trPr>
                <w:gridAfter w:val="3"/>
                <w:wAfter w:w="256" w:type="dxa"/>
                <w:trHeight w:val="1202"/>
              </w:trPr>
              <w:tc>
                <w:tcPr>
                  <w:tcW w:w="9247" w:type="dxa"/>
                  <w:gridSpan w:val="5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1346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8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2"/>
                <w:wAfter w:w="237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2"/>
                <w:wAfter w:w="237" w:type="dxa"/>
                <w:trHeight w:val="189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2"/>
                <w:wAfter w:w="237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50A5F" w:rsidRPr="00442411" w:rsidRDefault="009949F5" w:rsidP="00442411">
            <w:pPr>
              <w:ind w:left="170" w:right="17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42411">
              <w:rPr>
                <w:rFonts w:asciiTheme="minorHAnsi" w:hAnsiTheme="minorHAnsi"/>
                <w:b/>
              </w:rPr>
              <w:t>V MS2014+ se hodnoty FTE se vykazují s přesností na dvě desetinná místa (zaokrouhleno matematicky)</w:t>
            </w:r>
          </w:p>
        </w:tc>
      </w:tr>
    </w:tbl>
    <w:p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82" w:type="dxa"/>
        <w:tblInd w:w="-4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843"/>
        <w:gridCol w:w="992"/>
        <w:gridCol w:w="1134"/>
        <w:gridCol w:w="1843"/>
        <w:gridCol w:w="1750"/>
      </w:tblGrid>
      <w:tr w:rsidR="00065576" w:rsidRPr="0098535B" w:rsidTr="00442411">
        <w:trPr>
          <w:trHeight w:val="390"/>
        </w:trPr>
        <w:tc>
          <w:tcPr>
            <w:tcW w:w="9782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442411">
        <w:trPr>
          <w:trHeight w:val="328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442411">
        <w:trPr>
          <w:trHeight w:val="312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:rsidTr="00442411">
        <w:trPr>
          <w:trHeight w:val="545"/>
        </w:trPr>
        <w:tc>
          <w:tcPr>
            <w:tcW w:w="222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442411">
        <w:trPr>
          <w:trHeight w:val="438"/>
        </w:trPr>
        <w:tc>
          <w:tcPr>
            <w:tcW w:w="222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442411">
        <w:trPr>
          <w:trHeight w:val="236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442411">
        <w:trPr>
          <w:trHeight w:val="368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363A3D">
            <w:pPr>
              <w:spacing w:before="24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363A3D" w:rsidRPr="00856363" w:rsidRDefault="008D35EC" w:rsidP="00363A3D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</w:tc>
      </w:tr>
      <w:tr w:rsidR="00065576" w:rsidRPr="0098535B" w:rsidTr="00442411">
        <w:trPr>
          <w:trHeight w:val="301"/>
        </w:trPr>
        <w:tc>
          <w:tcPr>
            <w:tcW w:w="505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:rsidTr="00442411">
        <w:trPr>
          <w:trHeight w:val="285"/>
        </w:trPr>
        <w:tc>
          <w:tcPr>
            <w:tcW w:w="5055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442411">
        <w:trPr>
          <w:trHeight w:val="375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442411">
        <w:trPr>
          <w:trHeight w:val="368"/>
        </w:trPr>
        <w:tc>
          <w:tcPr>
            <w:tcW w:w="9782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442411">
        <w:trPr>
          <w:trHeight w:val="269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442411">
        <w:trPr>
          <w:trHeight w:val="81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=Full-</w:t>
            </w:r>
            <w:proofErr w:type="spellStart"/>
            <w:r w:rsidRPr="00FF7DA1">
              <w:rPr>
                <w:sz w:val="20"/>
                <w:szCs w:val="20"/>
              </w:rPr>
              <w:t>time</w:t>
            </w:r>
            <w:proofErr w:type="spellEnd"/>
            <w:r w:rsidRPr="00FF7DA1">
              <w:rPr>
                <w:sz w:val="20"/>
                <w:szCs w:val="20"/>
              </w:rPr>
              <w:t xml:space="preserve"> </w:t>
            </w:r>
            <w:proofErr w:type="spellStart"/>
            <w:r w:rsidRPr="00FF7DA1">
              <w:rPr>
                <w:sz w:val="20"/>
                <w:szCs w:val="20"/>
              </w:rPr>
              <w:t>equivalent</w:t>
            </w:r>
            <w:proofErr w:type="spellEnd"/>
            <w:r w:rsidRPr="00FF7DA1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03308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</w:t>
            </w:r>
            <w:r w:rsidR="00755C9E">
              <w:rPr>
                <w:sz w:val="20"/>
                <w:szCs w:val="20"/>
              </w:rPr>
              <w:t xml:space="preserve"> </w:t>
            </w:r>
            <w:r w:rsidR="00755C9E" w:rsidRPr="00755C9E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 xml:space="preserve"> </w:t>
            </w:r>
          </w:p>
          <w:p w:rsidR="00033080" w:rsidRPr="00442411" w:rsidRDefault="00033080" w:rsidP="004F2B9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42411">
              <w:rPr>
                <w:b/>
                <w:sz w:val="20"/>
                <w:szCs w:val="20"/>
              </w:rPr>
              <w:t xml:space="preserve">Příklad: </w:t>
            </w:r>
            <w:r w:rsidR="00755C9E" w:rsidRPr="00442411">
              <w:rPr>
                <w:b/>
                <w:sz w:val="20"/>
                <w:szCs w:val="20"/>
              </w:rPr>
              <w:t>plánované datum ukončení realizace projektu je 31.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>8.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1E22A9">
              <w:rPr>
                <w:b/>
                <w:sz w:val="20"/>
                <w:szCs w:val="20"/>
              </w:rPr>
              <w:t>2019</w:t>
            </w:r>
            <w:r w:rsidR="00755C9E" w:rsidRPr="00442411">
              <w:rPr>
                <w:b/>
                <w:sz w:val="20"/>
                <w:szCs w:val="20"/>
              </w:rPr>
              <w:t xml:space="preserve"> – cílová hodnota je stanovena 90 kalendářních dnů od ukončení projektu, tedy na datum 29.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>11.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 xml:space="preserve">2019. </w:t>
            </w:r>
          </w:p>
          <w:p w:rsidR="00755C9E" w:rsidRDefault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</w:t>
            </w:r>
            <w:r w:rsidR="00D26BC9">
              <w:rPr>
                <w:sz w:val="20"/>
                <w:szCs w:val="20"/>
              </w:rPr>
              <w:t>ch</w:t>
            </w:r>
            <w:r w:rsidRPr="00FF7DA1">
              <w:rPr>
                <w:sz w:val="20"/>
                <w:szCs w:val="20"/>
              </w:rPr>
              <w:t xml:space="preserve"> pracovní místa, doklady z Úřadu práce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="00D26BC9">
              <w:rPr>
                <w:sz w:val="20"/>
                <w:szCs w:val="20"/>
              </w:rPr>
              <w:t xml:space="preserve"> aj.</w:t>
            </w:r>
            <w:r w:rsidR="00A4721B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V případě, že výpadek doloží, 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3 měsíce/rok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  <w:r w:rsidR="001E22A9">
              <w:rPr>
                <w:sz w:val="20"/>
                <w:szCs w:val="20"/>
              </w:rPr>
              <w:t xml:space="preserve"> </w:t>
            </w:r>
            <w:r w:rsidR="001E22A9" w:rsidRPr="001E22A9">
              <w:rPr>
                <w:sz w:val="20"/>
                <w:szCs w:val="20"/>
              </w:rPr>
              <w:t>V případě vzniku nového podnikatelského subjektu OSVČ, jehož podnikatelská aktivita bude zahájena v souvislosti s podporou IROP, tak se OSVČ rovněž započítává do indikátoru 10400 o velikosti 1,0 FTE s ostatními zaměstnanci. Pokud OSVČ spadá do osob z cílových skupin, bude se započítávat rovněž do indikátoru 10403.</w:t>
            </w:r>
          </w:p>
        </w:tc>
      </w:tr>
      <w:tr w:rsidR="00065576" w:rsidRPr="0098535B" w:rsidTr="00442411">
        <w:trPr>
          <w:trHeight w:val="156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:rsidTr="00442411">
        <w:trPr>
          <w:trHeight w:val="443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016DB" w:rsidRPr="00856363" w:rsidRDefault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Hodnoty, stanovené na základě uvedených pravidel, žadatel zadává do žádosti o podporu v sytému MS2014+. Dosažené hodnoty vykazuje v systému MS2014+ prostřednictvím:</w:t>
            </w:r>
          </w:p>
          <w:p w:rsidR="00C05A0D" w:rsidRDefault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9949F5" w:rsidRPr="00442411" w:rsidRDefault="009949F5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312C40" w:rsidRPr="00856363" w:rsidRDefault="00C05A0D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442411">
              <w:rPr>
                <w:rFonts w:asciiTheme="minorHAnsi" w:hAnsiTheme="minorHAnsi"/>
                <w:b/>
              </w:rPr>
              <w:t>Dosažená hodnota, vykazovaná ve zprávě o udržitelnosti, se vztahuje k období, za které se daná zpráva odevzdává (rok udržitelnosti). Obsazenost pozic se určuje podle údajů v pracovních smlouvách.</w:t>
            </w:r>
            <w:r>
              <w:rPr>
                <w:rFonts w:asciiTheme="minorHAnsi" w:hAnsiTheme="minorHAnsi"/>
              </w:rPr>
              <w:t xml:space="preserve"> </w:t>
            </w:r>
          </w:p>
          <w:p w:rsidR="009949F5" w:rsidRDefault="009949F5" w:rsidP="00442411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</w:p>
          <w:p w:rsidR="00B05103" w:rsidRDefault="00B05103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Postup výpočtu pro období udržitelnosti projektu: </w:t>
            </w:r>
          </w:p>
          <w:p w:rsidR="00DB41BA" w:rsidRPr="00442411" w:rsidRDefault="00C05A0D" w:rsidP="00442411">
            <w:pPr>
              <w:pStyle w:val="Odstavecseseznamem"/>
              <w:numPr>
                <w:ilvl w:val="6"/>
                <w:numId w:val="16"/>
              </w:numPr>
              <w:spacing w:before="120" w:after="120"/>
              <w:ind w:left="507" w:right="170" w:hanging="283"/>
              <w:rPr>
                <w:rFonts w:asciiTheme="minorHAnsi" w:hAnsiTheme="minorHAnsi"/>
                <w:b/>
                <w:color w:val="000000"/>
              </w:rPr>
            </w:pPr>
            <w:r w:rsidRPr="00442411">
              <w:rPr>
                <w:rFonts w:asciiTheme="minorHAnsi" w:hAnsiTheme="minorHAnsi"/>
                <w:b/>
                <w:color w:val="000000"/>
              </w:rPr>
              <w:t>k</w:t>
            </w:r>
            <w:r w:rsidR="00DB41BA" w:rsidRPr="00442411">
              <w:rPr>
                <w:rFonts w:asciiTheme="minorHAnsi" w:hAnsiTheme="minorHAnsi"/>
                <w:b/>
                <w:color w:val="000000"/>
              </w:rPr>
              <w:t>rok: výpočet velikosti pozice v kalendářním měsíci:</w:t>
            </w:r>
          </w:p>
          <w:p w:rsidR="00DB41BA" w:rsidRPr="00442411" w:rsidRDefault="00DB41BA" w:rsidP="00363A3D">
            <w:pPr>
              <w:pStyle w:val="Odstavecseseznamem"/>
              <w:spacing w:line="360" w:lineRule="auto"/>
              <w:ind w:left="17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 xml:space="preserve">Pokud se velikost pozice </w:t>
            </w:r>
            <w:r>
              <w:rPr>
                <w:rFonts w:asciiTheme="minorHAnsi" w:hAnsiTheme="minorHAnsi"/>
              </w:rPr>
              <w:t xml:space="preserve">v FTE (V) </w:t>
            </w:r>
            <w:r w:rsidRPr="00FB4688">
              <w:rPr>
                <w:rFonts w:asciiTheme="minorHAnsi" w:hAnsiTheme="minorHAnsi"/>
              </w:rPr>
              <w:t xml:space="preserve">změnila </w:t>
            </w:r>
            <w:r w:rsidR="00A4721B">
              <w:rPr>
                <w:rFonts w:asciiTheme="minorHAnsi" w:hAnsiTheme="minorHAnsi"/>
              </w:rPr>
              <w:t xml:space="preserve">v průběhu měsíce, je nutné </w:t>
            </w:r>
            <w:r w:rsidRPr="00FB4688">
              <w:rPr>
                <w:rFonts w:asciiTheme="minorHAnsi" w:hAnsiTheme="minorHAnsi"/>
              </w:rPr>
              <w:t>počítat s její reálnou velikostí</w:t>
            </w:r>
            <w:r>
              <w:rPr>
                <w:rFonts w:asciiTheme="minorHAnsi" w:hAnsiTheme="minorHAnsi"/>
              </w:rPr>
              <w:t xml:space="preserve"> v daném měsíci</w:t>
            </w:r>
            <w:r w:rsidR="005C6575">
              <w:rPr>
                <w:rFonts w:asciiTheme="minorHAnsi" w:hAnsiTheme="minorHAnsi"/>
              </w:rPr>
              <w:t>:</w:t>
            </w:r>
          </w:p>
          <w:p w:rsidR="00DB41BA" w:rsidRPr="005C6575" w:rsidRDefault="005C6575">
            <w:pPr>
              <w:spacing w:before="120" w:after="120"/>
              <w:ind w:left="170" w:right="170"/>
              <w:rPr>
                <w:rFonts w:asciiTheme="minorHAnsi" w:hAnsiTheme="minorHAnsi"/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Cambria Math"/>
                    <w:sz w:val="18"/>
                    <w:szCs w:val="18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velikost 1*počet PD 1+velikost 2*počet PD 2</m:t>
                    </m:r>
                  </m:num>
                  <m:den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počet PD 1+počet PD 2</m:t>
                    </m:r>
                  </m:den>
                </m:f>
              </m:oMath>
            </m:oMathPara>
          </w:p>
          <w:p w:rsidR="005C6575" w:rsidRPr="00442411" w:rsidRDefault="005C6575" w:rsidP="00442411">
            <w:pPr>
              <w:spacing w:before="120" w:after="120"/>
              <w:ind w:right="170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5C6575" w:rsidRPr="00442411" w:rsidRDefault="005C6575" w:rsidP="00442411">
            <w:pPr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442411">
              <w:rPr>
                <w:rFonts w:asciiTheme="minorHAnsi" w:hAnsiTheme="minorHAnsi"/>
                <w:b/>
                <w:u w:val="single"/>
              </w:rPr>
              <w:t>Protože r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ok udržitelnosti často nezačíná první den v měsíci, </w:t>
            </w:r>
            <w:r w:rsidRPr="00442411">
              <w:rPr>
                <w:rFonts w:asciiTheme="minorHAnsi" w:hAnsiTheme="minorHAnsi"/>
                <w:b/>
                <w:u w:val="single"/>
              </w:rPr>
              <w:t>uvažuje se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 část prvního a posledního měsíce</w:t>
            </w:r>
            <w:r w:rsidRPr="00442411">
              <w:rPr>
                <w:rFonts w:asciiTheme="minorHAnsi" w:hAnsiTheme="minorHAnsi"/>
                <w:b/>
                <w:u w:val="single"/>
              </w:rPr>
              <w:t xml:space="preserve"> daného roku udržitelnosti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 dohr</w:t>
            </w:r>
            <w:r w:rsidRPr="00442411">
              <w:rPr>
                <w:rFonts w:asciiTheme="minorHAnsi" w:hAnsiTheme="minorHAnsi"/>
                <w:b/>
                <w:u w:val="single"/>
              </w:rPr>
              <w:t>omady za jeden kalendářní měsíc.</w:t>
            </w:r>
            <w:r w:rsidRPr="00442411">
              <w:rPr>
                <w:rFonts w:asciiTheme="minorHAnsi" w:hAnsiTheme="minorHAnsi"/>
                <w:u w:val="single"/>
              </w:rPr>
              <w:t xml:space="preserve"> </w:t>
            </w:r>
          </w:p>
          <w:p w:rsidR="005C6575" w:rsidRDefault="005C6575" w:rsidP="00442411">
            <w:pPr>
              <w:ind w:left="170" w:right="170"/>
              <w:jc w:val="both"/>
              <w:rPr>
                <w:rFonts w:asciiTheme="minorHAnsi" w:hAnsiTheme="minorHAnsi"/>
              </w:rPr>
            </w:pPr>
          </w:p>
          <w:p w:rsidR="00E14432" w:rsidRDefault="005C6575" w:rsidP="00442411">
            <w:pPr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Příklad:</w:t>
            </w:r>
            <w:r w:rsidRPr="00FB4688">
              <w:rPr>
                <w:rFonts w:asciiTheme="minorHAnsi" w:hAnsiTheme="minorHAnsi"/>
              </w:rPr>
              <w:t xml:space="preserve"> pokud má měsíc 20 pracovních dní (PD) a z toho 5 PD byla velikost pozice 0,5 FTE a 15 PD 1 FTE, pak je její skutečná velikost v daném měsíci 0,875 (</w:t>
            </w:r>
            <m:oMath>
              <m:r>
                <w:rPr>
                  <w:rFonts w:ascii="Cambria Math" w:hAnsi="Cambria Math" w:cs="Cambria Math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0,5*5+1*15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5+15</m:t>
                  </m:r>
                </m:den>
              </m:f>
            </m:oMath>
            <w:r w:rsidRPr="00FB4688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E14432" w:rsidRPr="00442411" w:rsidRDefault="00E14432" w:rsidP="00442411">
            <w:pPr>
              <w:spacing w:after="120"/>
              <w:ind w:left="170" w:right="170"/>
              <w:rPr>
                <w:rFonts w:asciiTheme="minorHAnsi" w:hAnsiTheme="minorHAnsi"/>
                <w:b/>
              </w:rPr>
            </w:pPr>
          </w:p>
          <w:p w:rsidR="00451E60" w:rsidRPr="00442411" w:rsidRDefault="00451E60" w:rsidP="00363A3D">
            <w:pPr>
              <w:pStyle w:val="Odstavecseseznamem"/>
              <w:numPr>
                <w:ilvl w:val="0"/>
                <w:numId w:val="16"/>
              </w:numPr>
              <w:spacing w:line="360" w:lineRule="auto"/>
              <w:ind w:left="507" w:hanging="283"/>
              <w:rPr>
                <w:rFonts w:asciiTheme="minorHAnsi" w:hAnsiTheme="minorHAnsi"/>
              </w:rPr>
            </w:pPr>
            <w:r w:rsidRPr="00442411">
              <w:rPr>
                <w:rFonts w:asciiTheme="minorHAnsi" w:hAnsiTheme="minorHAnsi"/>
                <w:b/>
              </w:rPr>
              <w:t>krok</w:t>
            </w:r>
            <w:r w:rsidRPr="00442411">
              <w:rPr>
                <w:rFonts w:asciiTheme="minorHAnsi" w:hAnsiTheme="minorHAnsi"/>
              </w:rPr>
              <w:t>: příjemce vypočte pro každou pozici její obsazenost (D) v každém měsíci roku udržitelnosti:</w:t>
            </w:r>
          </w:p>
          <w:p w:rsidR="00C05A0D" w:rsidRPr="00442411" w:rsidRDefault="00367E88" w:rsidP="00442411">
            <w:pPr>
              <w:spacing w:before="120" w:after="120" w:line="480" w:lineRule="auto"/>
              <w:ind w:right="170"/>
              <w:rPr>
                <w:rFonts w:asciiTheme="minorHAnsi" w:hAnsiTheme="minorHAnsi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D= V 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D25098" w:rsidRDefault="00C05A0D" w:rsidP="00442411">
            <w:pPr>
              <w:spacing w:before="120" w:line="276" w:lineRule="auto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="00367E88">
              <w:rPr>
                <w:rFonts w:asciiTheme="minorHAnsi" w:hAnsiTheme="minorHAnsi"/>
                <w:b/>
              </w:rPr>
              <w:t>.</w:t>
            </w:r>
            <w:r w:rsidR="00367E88" w:rsidRPr="00720E13">
              <w:rPr>
                <w:rFonts w:asciiTheme="minorHAnsi" w:hAnsiTheme="minorHAnsi"/>
                <w:b/>
              </w:rPr>
              <w:t xml:space="preserve"> krok</w:t>
            </w:r>
            <w:r w:rsidR="00367E88"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:rsidR="00E14432" w:rsidRPr="00363A3D" w:rsidRDefault="00367E88" w:rsidP="00363A3D">
            <w:pPr>
              <w:spacing w:before="120" w:after="120" w:line="360" w:lineRule="auto"/>
              <w:ind w:left="1925" w:right="170" w:hanging="1925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8E5D4B" w:rsidRDefault="00C05A0D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="00367E88">
              <w:rPr>
                <w:rFonts w:asciiTheme="minorHAnsi" w:hAnsiTheme="minorHAnsi"/>
                <w:b/>
              </w:rPr>
              <w:t>.</w:t>
            </w:r>
            <w:r w:rsidR="00367E88" w:rsidRPr="00720E13">
              <w:rPr>
                <w:rFonts w:asciiTheme="minorHAnsi" w:hAnsiTheme="minorHAnsi"/>
                <w:b/>
              </w:rPr>
              <w:t xml:space="preserve"> krok</w:t>
            </w:r>
            <w:r w:rsidR="00367E88"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="00367E88" w:rsidRPr="00720E13">
              <w:rPr>
                <w:rFonts w:asciiTheme="minorHAnsi" w:hAnsiTheme="minorHAnsi"/>
              </w:rPr>
              <w:t xml:space="preserve"> hodnot</w:t>
            </w:r>
            <w:r w:rsidR="00367E88">
              <w:rPr>
                <w:rFonts w:asciiTheme="minorHAnsi" w:hAnsiTheme="minorHAnsi"/>
              </w:rPr>
              <w:t>y</w:t>
            </w:r>
            <w:r w:rsidR="00367E88" w:rsidRPr="00720E13">
              <w:rPr>
                <w:rFonts w:asciiTheme="minorHAnsi" w:hAnsiTheme="minorHAnsi"/>
              </w:rPr>
              <w:t xml:space="preserve"> jednotlivých pozic</w:t>
            </w:r>
            <w:r w:rsidR="00367E88">
              <w:rPr>
                <w:rFonts w:asciiTheme="minorHAnsi" w:hAnsiTheme="minorHAnsi"/>
              </w:rPr>
              <w:t xml:space="preserve"> P</w:t>
            </w:r>
            <w:r w:rsidR="00A4721B">
              <w:rPr>
                <w:rFonts w:asciiTheme="minorHAnsi" w:hAnsiTheme="minorHAnsi"/>
              </w:rPr>
              <w:t>:</w:t>
            </w:r>
          </w:p>
          <w:p w:rsidR="00E14432" w:rsidRPr="00363A3D" w:rsidRDefault="00367E88" w:rsidP="00363A3D">
            <w:pPr>
              <w:spacing w:before="120" w:after="120" w:line="480" w:lineRule="auto"/>
              <w:ind w:left="1920" w:right="170" w:hanging="175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Počet odpracovaných měsíčních FTE=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D25098" w:rsidRPr="00442411" w:rsidRDefault="00C05A0D" w:rsidP="00442411">
            <w:pPr>
              <w:spacing w:before="120" w:after="120" w:line="276" w:lineRule="auto"/>
              <w:ind w:left="170" w:right="170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="00AE5178" w:rsidRPr="00AE5178">
              <w:rPr>
                <w:rFonts w:asciiTheme="minorHAnsi" w:hAnsiTheme="minorHAnsi"/>
                <w:b/>
              </w:rPr>
              <w:t xml:space="preserve">. krok: </w:t>
            </w:r>
            <w:r w:rsidR="00B14A5B">
              <w:rPr>
                <w:rFonts w:asciiTheme="minorHAnsi" w:hAnsiTheme="minorHAnsi"/>
              </w:rPr>
              <w:t>p</w:t>
            </w:r>
            <w:r w:rsidR="00AE5178">
              <w:rPr>
                <w:rFonts w:asciiTheme="minorHAnsi" w:hAnsiTheme="minorHAnsi"/>
              </w:rPr>
              <w:t xml:space="preserve">očet odpracovaných měsíčních FTE příjemce vydělí </w:t>
            </w:r>
            <w:r w:rsidR="00315D05">
              <w:rPr>
                <w:rFonts w:asciiTheme="minorHAnsi" w:hAnsiTheme="minorHAnsi"/>
              </w:rPr>
              <w:t xml:space="preserve">počtem měsíců </w:t>
            </w:r>
            <w:r>
              <w:rPr>
                <w:rFonts w:asciiTheme="minorHAnsi" w:hAnsiTheme="minorHAnsi"/>
              </w:rPr>
              <w:t xml:space="preserve">pro daný rok udržitelnosti, </w:t>
            </w:r>
            <w:r w:rsidR="00B05103">
              <w:rPr>
                <w:rFonts w:asciiTheme="minorHAnsi" w:hAnsiTheme="minorHAnsi"/>
              </w:rPr>
              <w:t>přičemž platí následující zásady</w:t>
            </w:r>
            <w:r w:rsidR="005E5800">
              <w:rPr>
                <w:rFonts w:asciiTheme="minorHAnsi" w:hAnsiTheme="minorHAnsi"/>
              </w:rPr>
              <w:t>:</w:t>
            </w:r>
          </w:p>
          <w:p w:rsidR="000B7438" w:rsidRDefault="00D25098" w:rsidP="00442411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  <w:b/>
              </w:rPr>
              <w:t>V </w:t>
            </w:r>
            <w:r w:rsidRPr="00442411">
              <w:rPr>
                <w:rFonts w:asciiTheme="minorHAnsi" w:hAnsiTheme="minorHAnsi"/>
                <w:b/>
                <w:u w:val="single"/>
              </w:rPr>
              <w:t>2. až</w:t>
            </w:r>
            <w:r w:rsidR="005E5800" w:rsidRPr="00442411">
              <w:rPr>
                <w:rFonts w:asciiTheme="minorHAnsi" w:hAnsiTheme="minorHAnsi"/>
                <w:b/>
                <w:u w:val="single"/>
              </w:rPr>
              <w:t xml:space="preserve"> 5.</w:t>
            </w:r>
            <w:r w:rsidRPr="00442411">
              <w:rPr>
                <w:rFonts w:asciiTheme="minorHAnsi" w:hAnsiTheme="minorHAnsi"/>
                <w:b/>
                <w:u w:val="single"/>
              </w:rPr>
              <w:t xml:space="preserve"> roce</w:t>
            </w:r>
            <w:r w:rsidRPr="00442411">
              <w:rPr>
                <w:rFonts w:asciiTheme="minorHAnsi" w:hAnsiTheme="minorHAnsi"/>
                <w:b/>
              </w:rPr>
              <w:t xml:space="preserve"> udržitelnosti je </w:t>
            </w:r>
            <w:r w:rsidR="00C05A0D">
              <w:rPr>
                <w:rFonts w:asciiTheme="minorHAnsi" w:hAnsiTheme="minorHAnsi"/>
                <w:b/>
              </w:rPr>
              <w:t>počet měsíců</w:t>
            </w:r>
            <w:r w:rsidRPr="00442411">
              <w:rPr>
                <w:rFonts w:asciiTheme="minorHAnsi" w:hAnsiTheme="minorHAnsi"/>
                <w:b/>
              </w:rPr>
              <w:t xml:space="preserve"> </w:t>
            </w:r>
            <w:r w:rsidR="00315D05" w:rsidRPr="00442411">
              <w:rPr>
                <w:rFonts w:asciiTheme="minorHAnsi" w:hAnsiTheme="minorHAnsi"/>
                <w:b/>
              </w:rPr>
              <w:t>vždy</w:t>
            </w:r>
            <w:r w:rsidRPr="00442411">
              <w:rPr>
                <w:rFonts w:asciiTheme="minorHAnsi" w:hAnsiTheme="minorHAnsi"/>
                <w:b/>
              </w:rPr>
              <w:t xml:space="preserve"> 12 měsíců.</w:t>
            </w:r>
          </w:p>
          <w:p w:rsidR="00C05A0D" w:rsidRPr="00442411" w:rsidRDefault="00C05A0D" w:rsidP="00442411">
            <w:pPr>
              <w:pStyle w:val="Odstavecseseznamem"/>
              <w:spacing w:before="120" w:after="120"/>
              <w:ind w:left="649" w:right="17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C05A0D" w:rsidRDefault="00D25098" w:rsidP="00442411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  <w:b/>
              </w:rPr>
              <w:t>V</w:t>
            </w:r>
            <w:r w:rsidR="005E5800" w:rsidRPr="00442411">
              <w:rPr>
                <w:rFonts w:asciiTheme="minorHAnsi" w:hAnsiTheme="minorHAnsi"/>
                <w:b/>
              </w:rPr>
              <w:t> </w:t>
            </w:r>
            <w:r w:rsidR="005E5800" w:rsidRPr="00442411">
              <w:rPr>
                <w:rFonts w:asciiTheme="minorHAnsi" w:hAnsiTheme="minorHAnsi"/>
                <w:b/>
                <w:u w:val="single"/>
              </w:rPr>
              <w:t xml:space="preserve">1. </w:t>
            </w:r>
            <w:r w:rsidRPr="00442411">
              <w:rPr>
                <w:rFonts w:asciiTheme="minorHAnsi" w:hAnsiTheme="minorHAnsi"/>
                <w:b/>
                <w:u w:val="single"/>
              </w:rPr>
              <w:t>roce</w:t>
            </w:r>
            <w:r w:rsidRPr="00442411">
              <w:rPr>
                <w:rFonts w:asciiTheme="minorHAnsi" w:hAnsiTheme="minorHAnsi"/>
                <w:b/>
              </w:rPr>
              <w:t xml:space="preserve"> udržitelnosti je </w:t>
            </w:r>
            <w:r w:rsidR="00C05A0D">
              <w:rPr>
                <w:rFonts w:asciiTheme="minorHAnsi" w:hAnsiTheme="minorHAnsi"/>
                <w:b/>
              </w:rPr>
              <w:t>počet měsíců</w:t>
            </w:r>
            <w:r w:rsidRPr="00442411">
              <w:rPr>
                <w:rFonts w:asciiTheme="minorHAnsi" w:hAnsiTheme="minorHAnsi"/>
                <w:b/>
              </w:rPr>
              <w:t xml:space="preserve"> pro výpočet individuální pro každý projekt: </w:t>
            </w:r>
          </w:p>
          <w:p w:rsidR="00C05A0D" w:rsidRPr="00442411" w:rsidRDefault="00B14A5B" w:rsidP="00442411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</w:rPr>
              <w:t>hodnota i</w:t>
            </w:r>
            <w:r w:rsidR="00D25098" w:rsidRPr="00442411">
              <w:rPr>
                <w:rFonts w:asciiTheme="minorHAnsi" w:hAnsiTheme="minorHAnsi"/>
              </w:rPr>
              <w:t>ndikátor</w:t>
            </w:r>
            <w:r w:rsidRPr="00442411">
              <w:rPr>
                <w:rFonts w:asciiTheme="minorHAnsi" w:hAnsiTheme="minorHAnsi"/>
              </w:rPr>
              <w:t>u</w:t>
            </w:r>
            <w:r w:rsidR="00D25098" w:rsidRPr="00442411">
              <w:rPr>
                <w:rFonts w:asciiTheme="minorHAnsi" w:hAnsiTheme="minorHAnsi"/>
              </w:rPr>
              <w:t xml:space="preserve"> musí být naplněn</w:t>
            </w:r>
            <w:r w:rsidRPr="00442411">
              <w:rPr>
                <w:rFonts w:asciiTheme="minorHAnsi" w:hAnsiTheme="minorHAnsi"/>
              </w:rPr>
              <w:t>a</w:t>
            </w:r>
            <w:r w:rsidR="00D25098" w:rsidRPr="00442411">
              <w:rPr>
                <w:rFonts w:asciiTheme="minorHAnsi" w:hAnsiTheme="minorHAnsi"/>
              </w:rPr>
              <w:t xml:space="preserve"> do 90</w:t>
            </w:r>
            <w:r w:rsidR="005E5800" w:rsidRPr="00442411">
              <w:rPr>
                <w:rFonts w:asciiTheme="minorHAnsi" w:hAnsiTheme="minorHAnsi"/>
              </w:rPr>
              <w:t xml:space="preserve"> kalendářních</w:t>
            </w:r>
            <w:r w:rsidR="00D25098" w:rsidRPr="00442411">
              <w:rPr>
                <w:rFonts w:asciiTheme="minorHAnsi" w:hAnsiTheme="minorHAnsi"/>
              </w:rPr>
              <w:t xml:space="preserve"> dní od</w:t>
            </w:r>
            <w:r w:rsidR="008E5D4B">
              <w:rPr>
                <w:rFonts w:asciiTheme="minorHAnsi" w:hAnsiTheme="minorHAnsi"/>
              </w:rPr>
              <w:t xml:space="preserve"> data skutečného</w:t>
            </w:r>
            <w:r w:rsidR="00D25098" w:rsidRPr="00442411">
              <w:rPr>
                <w:rFonts w:asciiTheme="minorHAnsi" w:hAnsiTheme="minorHAnsi"/>
              </w:rPr>
              <w:t xml:space="preserve"> ukončení fyzické realizace projektu</w:t>
            </w:r>
            <w:r w:rsidR="005E5800" w:rsidRPr="00442411">
              <w:rPr>
                <w:rFonts w:asciiTheme="minorHAnsi" w:hAnsiTheme="minorHAnsi"/>
              </w:rPr>
              <w:t xml:space="preserve"> (</w:t>
            </w:r>
            <w:r w:rsidR="00D25098" w:rsidRPr="00442411">
              <w:rPr>
                <w:rFonts w:asciiTheme="minorHAnsi" w:hAnsiTheme="minorHAnsi"/>
              </w:rPr>
              <w:t xml:space="preserve">a proto je počet měsíců, za které se hodnotí plnění indikátoru v prvním roce udržitelnosti, proměnlivý. Jeho délka se odvíjí od </w:t>
            </w:r>
            <w:r w:rsidRPr="00442411">
              <w:rPr>
                <w:rFonts w:asciiTheme="minorHAnsi" w:hAnsiTheme="minorHAnsi"/>
              </w:rPr>
              <w:t>data</w:t>
            </w:r>
            <w:r w:rsidR="00D25098" w:rsidRPr="00442411">
              <w:rPr>
                <w:rFonts w:asciiTheme="minorHAnsi" w:hAnsiTheme="minorHAnsi"/>
              </w:rPr>
              <w:t xml:space="preserve">, kdy projekt vstoupil do stavu </w:t>
            </w:r>
            <w:r w:rsidR="00D25098" w:rsidRPr="00442411">
              <w:rPr>
                <w:rFonts w:asciiTheme="minorHAnsi" w:hAnsiTheme="minorHAnsi"/>
                <w:u w:val="single"/>
              </w:rPr>
              <w:t>PP41 - projekt finančně ukončen ze strany ŘO</w:t>
            </w:r>
            <w:r w:rsidR="00D25098" w:rsidRPr="00442411">
              <w:rPr>
                <w:rFonts w:asciiTheme="minorHAnsi" w:hAnsiTheme="minorHAnsi"/>
              </w:rPr>
              <w:t xml:space="preserve">.  </w:t>
            </w:r>
          </w:p>
          <w:p w:rsidR="00D25098" w:rsidRDefault="00D25098" w:rsidP="00442411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projekt </w:t>
            </w:r>
            <w:r w:rsidR="00D26BC9">
              <w:rPr>
                <w:rFonts w:asciiTheme="minorHAnsi" w:hAnsiTheme="minorHAnsi"/>
              </w:rPr>
              <w:t>vstoupil</w:t>
            </w:r>
            <w:r w:rsidR="00D26BC9" w:rsidRPr="0047620E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 xml:space="preserve">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Pr="0047620E">
              <w:rPr>
                <w:rFonts w:asciiTheme="minorHAnsi" w:hAnsiTheme="minorHAnsi"/>
              </w:rPr>
              <w:t>do výpočtu</w:t>
            </w:r>
            <w:r w:rsidR="00B14A5B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>rouhlená na celé měsíce nahoru). Tento případ zobrazuje</w:t>
            </w:r>
            <w:r w:rsidR="00B05103">
              <w:rPr>
                <w:rFonts w:asciiTheme="minorHAnsi" w:hAnsiTheme="minorHAnsi"/>
              </w:rPr>
              <w:t xml:space="preserve"> </w:t>
            </w:r>
            <w:r w:rsidR="00B05103" w:rsidRPr="00442411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E14432" w:rsidRPr="00442411" w:rsidRDefault="00B14A5B" w:rsidP="00442411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</w:t>
            </w:r>
            <w:r w:rsidR="00D26BC9">
              <w:rPr>
                <w:rFonts w:asciiTheme="minorHAnsi" w:hAnsiTheme="minorHAnsi"/>
              </w:rPr>
              <w:t>il</w:t>
            </w:r>
            <w:r w:rsidR="00D25098" w:rsidRPr="0047620E">
              <w:rPr>
                <w:rFonts w:asciiTheme="minorHAnsi" w:hAnsiTheme="minorHAnsi"/>
              </w:rPr>
              <w:t xml:space="preserve"> do stavu PP41 po skončení 90 denní lhůty,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="00D25098" w:rsidRPr="0047620E">
              <w:rPr>
                <w:rFonts w:asciiTheme="minorHAnsi" w:hAnsiTheme="minorHAnsi"/>
              </w:rPr>
              <w:t xml:space="preserve">období před začátkem udržitelnosti, ale po skončení lhůty pro naplnění indikátoru, </w:t>
            </w:r>
            <w:r w:rsidR="00D26BC9">
              <w:rPr>
                <w:rFonts w:asciiTheme="minorHAnsi" w:hAnsiTheme="minorHAnsi"/>
              </w:rPr>
              <w:t xml:space="preserve">do </w:t>
            </w:r>
            <w:r w:rsidR="00D25098" w:rsidRPr="0047620E">
              <w:rPr>
                <w:rFonts w:asciiTheme="minorHAnsi" w:hAnsiTheme="minorHAnsi"/>
              </w:rPr>
              <w:t>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>). Tento případ zobrazuje</w:t>
            </w:r>
            <w:r w:rsidR="00B05103">
              <w:rPr>
                <w:rFonts w:asciiTheme="minorHAnsi" w:hAnsiTheme="minorHAnsi"/>
              </w:rPr>
              <w:t xml:space="preserve"> </w:t>
            </w:r>
            <w:r w:rsidR="00B05103" w:rsidRPr="00442411">
              <w:rPr>
                <w:rFonts w:asciiTheme="minorHAnsi" w:hAnsiTheme="minorHAnsi"/>
                <w:b/>
              </w:rPr>
              <w:t>níže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p w:rsidR="00E14432" w:rsidRPr="00442411" w:rsidRDefault="00E14432" w:rsidP="00442411">
            <w:pPr>
              <w:pStyle w:val="Odstavecseseznamem"/>
              <w:spacing w:before="120" w:after="120"/>
              <w:ind w:left="1428" w:right="170"/>
              <w:jc w:val="both"/>
              <w:rPr>
                <w:rFonts w:asciiTheme="minorHAnsi" w:hAnsiTheme="minorHAnsi"/>
                <w:b/>
              </w:rPr>
            </w:pPr>
          </w:p>
          <w:p w:rsidR="005E5800" w:rsidRPr="000B7438" w:rsidRDefault="00C05A0D" w:rsidP="00442411">
            <w:pPr>
              <w:spacing w:before="120" w:after="120"/>
              <w:ind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měsíců v daném roce udržitelnosti</m:t>
                    </m:r>
                  </m:den>
                </m:f>
              </m:oMath>
            </m:oMathPara>
          </w:p>
          <w:p w:rsidR="00E14432" w:rsidRPr="00442411" w:rsidRDefault="00E14432" w:rsidP="00442411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tbl>
            <w:tblPr>
              <w:tblW w:w="968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569"/>
              <w:gridCol w:w="532"/>
              <w:gridCol w:w="595"/>
              <w:gridCol w:w="483"/>
              <w:gridCol w:w="181"/>
              <w:gridCol w:w="253"/>
              <w:gridCol w:w="360"/>
              <w:gridCol w:w="221"/>
              <w:gridCol w:w="294"/>
              <w:gridCol w:w="225"/>
              <w:gridCol w:w="211"/>
              <w:gridCol w:w="273"/>
              <w:gridCol w:w="162"/>
              <w:gridCol w:w="45"/>
              <w:gridCol w:w="229"/>
              <w:gridCol w:w="105"/>
              <w:gridCol w:w="56"/>
              <w:gridCol w:w="146"/>
              <w:gridCol w:w="133"/>
              <w:gridCol w:w="156"/>
              <w:gridCol w:w="284"/>
              <w:gridCol w:w="152"/>
              <w:gridCol w:w="145"/>
              <w:gridCol w:w="139"/>
              <w:gridCol w:w="152"/>
              <w:gridCol w:w="284"/>
              <w:gridCol w:w="151"/>
              <w:gridCol w:w="148"/>
              <w:gridCol w:w="138"/>
              <w:gridCol w:w="149"/>
              <w:gridCol w:w="23"/>
              <w:gridCol w:w="264"/>
              <w:gridCol w:w="149"/>
              <w:gridCol w:w="49"/>
              <w:gridCol w:w="164"/>
              <w:gridCol w:w="74"/>
              <w:gridCol w:w="152"/>
              <w:gridCol w:w="142"/>
              <w:gridCol w:w="22"/>
              <w:gridCol w:w="63"/>
              <w:gridCol w:w="61"/>
              <w:gridCol w:w="166"/>
              <w:gridCol w:w="164"/>
              <w:gridCol w:w="106"/>
              <w:gridCol w:w="6"/>
              <w:gridCol w:w="266"/>
              <w:gridCol w:w="40"/>
              <w:gridCol w:w="269"/>
              <w:gridCol w:w="23"/>
            </w:tblGrid>
            <w:tr w:rsidR="00980CE3" w:rsidRPr="00F7648D" w:rsidTr="00442411">
              <w:trPr>
                <w:gridAfter w:val="2"/>
                <w:wAfter w:w="280" w:type="dxa"/>
                <w:trHeight w:val="620"/>
              </w:trPr>
              <w:tc>
                <w:tcPr>
                  <w:tcW w:w="9402" w:type="dxa"/>
                  <w:gridSpan w:val="4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:rsidTr="00442411">
              <w:trPr>
                <w:trHeight w:val="541"/>
              </w:trPr>
              <w:tc>
                <w:tcPr>
                  <w:tcW w:w="492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D05" w:rsidRDefault="00315D05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</w:p>
                <w:p w:rsidR="00980CE3" w:rsidRPr="00F7648D" w:rsidRDefault="00E14432" w:rsidP="00363A3D">
                  <w:pPr>
                    <w:ind w:left="170"/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 Ilustrativní seřazení jednotlivých lhůt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za sebe</w:t>
                  </w:r>
                </w:p>
              </w:tc>
              <w:tc>
                <w:tcPr>
                  <w:tcW w:w="3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0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:rsidTr="00442411">
              <w:trPr>
                <w:gridAfter w:val="2"/>
                <w:wAfter w:w="289" w:type="dxa"/>
                <w:trHeight w:val="842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0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:rsidTr="00442411">
              <w:trPr>
                <w:gridAfter w:val="2"/>
                <w:wAfter w:w="283" w:type="dxa"/>
                <w:trHeight w:val="738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82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3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2" w:type="dxa"/>
                <w:trHeight w:val="133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442411">
              <w:trPr>
                <w:gridAfter w:val="2"/>
                <w:wAfter w:w="289" w:type="dxa"/>
                <w:trHeight w:val="7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04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14432" w:rsidRPr="00F7648D" w:rsidTr="00442411">
              <w:trPr>
                <w:gridAfter w:val="2"/>
                <w:wAfter w:w="280" w:type="dxa"/>
                <w:trHeight w:val="1150"/>
              </w:trPr>
              <w:tc>
                <w:tcPr>
                  <w:tcW w:w="9402" w:type="dxa"/>
                  <w:gridSpan w:val="4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4432" w:rsidRPr="00F7648D" w:rsidRDefault="00E14432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B4688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2: situace, kdy projekt je finančně ukončen dříve, než skončí devadesátidenní lhůta pro naplnění indikátoru</w:t>
                  </w:r>
                  <w:r w:rsidRPr="00FB4688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80CE3" w:rsidRPr="00F7648D" w:rsidTr="00442411">
              <w:trPr>
                <w:gridAfter w:val="2"/>
                <w:wAfter w:w="288" w:type="dxa"/>
                <w:trHeight w:val="1257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6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1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1" w:type="dxa"/>
                <w:trHeight w:val="148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442411">
              <w:trPr>
                <w:gridAfter w:val="2"/>
                <w:wAfter w:w="291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442411">
              <w:trPr>
                <w:gridAfter w:val="2"/>
                <w:wAfter w:w="280" w:type="dxa"/>
                <w:trHeight w:val="1121"/>
              </w:trPr>
              <w:tc>
                <w:tcPr>
                  <w:tcW w:w="9402" w:type="dxa"/>
                  <w:gridSpan w:val="4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80CE3" w:rsidRPr="00F7648D" w:rsidTr="00442411">
              <w:trPr>
                <w:gridAfter w:val="1"/>
                <w:wAfter w:w="20" w:type="dxa"/>
                <w:trHeight w:val="1255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1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3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1"/>
                <w:wAfter w:w="23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1"/>
                <w:wAfter w:w="23" w:type="dxa"/>
                <w:trHeight w:val="17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4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442411">
              <w:trPr>
                <w:gridAfter w:val="1"/>
                <w:wAfter w:w="23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442411">
              <w:trPr>
                <w:gridAfter w:val="1"/>
                <w:wAfter w:w="11" w:type="dxa"/>
                <w:trHeight w:val="1168"/>
              </w:trPr>
              <w:tc>
                <w:tcPr>
                  <w:tcW w:w="9671" w:type="dxa"/>
                  <w:gridSpan w:val="4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0B7438" w:rsidRPr="00F7648D" w:rsidRDefault="000B7438" w:rsidP="00363A3D">
                  <w:pPr>
                    <w:ind w:lef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442411">
                    <w:rPr>
                      <w:rFonts w:asciiTheme="minorHAnsi" w:hAnsiTheme="minorHAnsi"/>
                      <w:b/>
                    </w:rPr>
                    <w:t>V MS2014+ se hodnoty FTE se vykazují s přesností na dvě desetinná místa (zaokrouhleno matematicky).</w:t>
                  </w:r>
                </w:p>
                <w:p w:rsidR="000B7438" w:rsidRPr="00F7648D" w:rsidRDefault="000B7438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:rsidR="00312C40" w:rsidRDefault="00312C40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proofErr w:type="gramStart"/>
            <w:r w:rsidR="009024CA">
              <w:rPr>
                <w:sz w:val="20"/>
                <w:szCs w:val="20"/>
              </w:rPr>
              <w:t>tzn.</w:t>
            </w:r>
            <w:r w:rsidR="00363A3D">
              <w:rPr>
                <w:sz w:val="20"/>
                <w:szCs w:val="20"/>
              </w:rPr>
              <w:t xml:space="preserve"> </w:t>
            </w:r>
            <w:r w:rsidR="009024CA">
              <w:rPr>
                <w:sz w:val="20"/>
                <w:szCs w:val="20"/>
              </w:rPr>
              <w:t>bylo</w:t>
            </w:r>
            <w:proofErr w:type="gramEnd"/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016DB" w:rsidRPr="00C16347" w:rsidRDefault="00045452" w:rsidP="00B1469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C16347">
              <w:rPr>
                <w:rFonts w:cs="Arial"/>
                <w:sz w:val="20"/>
                <w:szCs w:val="20"/>
              </w:rPr>
              <w:t>Podmínkách Rozhodnutí o poskytnutí dotace.</w:t>
            </w:r>
          </w:p>
        </w:tc>
      </w:tr>
      <w:tr w:rsidR="00065576" w:rsidRPr="0098535B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:rsidR="000709B8" w:rsidRDefault="000709B8" w:rsidP="000709B8"/>
    <w:p w:rsidR="00476808" w:rsidRDefault="00476808" w:rsidP="003F5384">
      <w:pPr>
        <w:sectPr w:rsidR="00476808" w:rsidSect="003F538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9A4" w:rsidRDefault="00B159A4" w:rsidP="00A05B52">
      <w:r>
        <w:separator/>
      </w:r>
    </w:p>
  </w:endnote>
  <w:endnote w:type="continuationSeparator" w:id="0">
    <w:p w:rsidR="00B159A4" w:rsidRDefault="00B159A4" w:rsidP="00A05B52">
      <w:r>
        <w:continuationSeparator/>
      </w:r>
    </w:p>
  </w:endnote>
  <w:endnote w:type="continuationNotice" w:id="1">
    <w:p w:rsidR="00B159A4" w:rsidRDefault="00B15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55C9E" w:rsidRPr="00E47FC1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55C9E" w:rsidRPr="00E47FC1" w:rsidRDefault="00755C9E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D69AE">
            <w:rPr>
              <w:rStyle w:val="slostrnky"/>
              <w:rFonts w:ascii="Arial" w:hAnsi="Arial" w:cs="Arial"/>
              <w:noProof/>
            </w:rPr>
            <w:t>13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D69AE">
            <w:rPr>
              <w:rStyle w:val="slostrnky"/>
              <w:rFonts w:ascii="Arial" w:hAnsi="Arial" w:cs="Arial"/>
              <w:noProof/>
            </w:rPr>
            <w:t>13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755C9E" w:rsidRDefault="00755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9A4" w:rsidRDefault="00B159A4" w:rsidP="00A05B52">
      <w:r>
        <w:separator/>
      </w:r>
    </w:p>
  </w:footnote>
  <w:footnote w:type="continuationSeparator" w:id="0">
    <w:p w:rsidR="00B159A4" w:rsidRDefault="00B159A4" w:rsidP="00A05B52">
      <w:r>
        <w:continuationSeparator/>
      </w:r>
    </w:p>
  </w:footnote>
  <w:footnote w:type="continuationNotice" w:id="1">
    <w:p w:rsidR="00B159A4" w:rsidRDefault="00B159A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C9E" w:rsidRDefault="00755C9E" w:rsidP="00D647F5">
    <w:pPr>
      <w:pStyle w:val="Zhlav"/>
      <w:jc w:val="center"/>
    </w:pPr>
    <w:r>
      <w:rPr>
        <w:noProof/>
      </w:rPr>
      <w:drawing>
        <wp:inline distT="0" distB="0" distL="0" distR="0" wp14:anchorId="6988E656" wp14:editId="43F94E87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454FC"/>
    <w:multiLevelType w:val="multilevel"/>
    <w:tmpl w:val="F718E5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DC34D3"/>
    <w:multiLevelType w:val="hybridMultilevel"/>
    <w:tmpl w:val="15CEEB5E"/>
    <w:lvl w:ilvl="0" w:tplc="0DC45344">
      <w:start w:val="1"/>
      <w:numFmt w:val="decimal"/>
      <w:lvlText w:val="%1."/>
      <w:lvlJc w:val="left"/>
      <w:pPr>
        <w:ind w:left="53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16119A"/>
    <w:multiLevelType w:val="hybridMultilevel"/>
    <w:tmpl w:val="4134B3F0"/>
    <w:lvl w:ilvl="0" w:tplc="3146BBA6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605B4ABF"/>
    <w:multiLevelType w:val="hybridMultilevel"/>
    <w:tmpl w:val="2CA8B8D4"/>
    <w:lvl w:ilvl="0" w:tplc="39EC7A8A">
      <w:start w:val="1"/>
      <w:numFmt w:val="decimal"/>
      <w:lvlText w:val="%1)"/>
      <w:lvlJc w:val="left"/>
      <w:pPr>
        <w:ind w:left="53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648B641F"/>
    <w:multiLevelType w:val="multilevel"/>
    <w:tmpl w:val="38CE8EEA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3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14" w15:restartNumberingAfterBreak="0">
    <w:nsid w:val="694428A4"/>
    <w:multiLevelType w:val="hybridMultilevel"/>
    <w:tmpl w:val="15CEEB5E"/>
    <w:lvl w:ilvl="0" w:tplc="0DC45344">
      <w:start w:val="1"/>
      <w:numFmt w:val="decimal"/>
      <w:lvlText w:val="%1."/>
      <w:lvlJc w:val="left"/>
      <w:pPr>
        <w:ind w:left="53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10"/>
  </w:num>
  <w:num w:numId="5">
    <w:abstractNumId w:val="15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5"/>
  </w:num>
  <w:num w:numId="12">
    <w:abstractNumId w:val="9"/>
  </w:num>
  <w:num w:numId="13">
    <w:abstractNumId w:val="11"/>
  </w:num>
  <w:num w:numId="14">
    <w:abstractNumId w:val="6"/>
  </w:num>
  <w:num w:numId="15">
    <w:abstractNumId w:val="12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74"/>
    <w:rsid w:val="000003BE"/>
    <w:rsid w:val="00003308"/>
    <w:rsid w:val="000061C1"/>
    <w:rsid w:val="00014240"/>
    <w:rsid w:val="000265D4"/>
    <w:rsid w:val="0003064E"/>
    <w:rsid w:val="000310F6"/>
    <w:rsid w:val="00033080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B7438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45307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105A"/>
    <w:rsid w:val="001A4684"/>
    <w:rsid w:val="001B4D0D"/>
    <w:rsid w:val="001B63B3"/>
    <w:rsid w:val="001B7405"/>
    <w:rsid w:val="001C4BCD"/>
    <w:rsid w:val="001C7794"/>
    <w:rsid w:val="001E22A9"/>
    <w:rsid w:val="00203F44"/>
    <w:rsid w:val="00204B23"/>
    <w:rsid w:val="00205F6C"/>
    <w:rsid w:val="00210CC0"/>
    <w:rsid w:val="00210FA7"/>
    <w:rsid w:val="00211670"/>
    <w:rsid w:val="002126FB"/>
    <w:rsid w:val="002130ED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15D05"/>
    <w:rsid w:val="0032340C"/>
    <w:rsid w:val="00324D7E"/>
    <w:rsid w:val="00330655"/>
    <w:rsid w:val="00350345"/>
    <w:rsid w:val="00356931"/>
    <w:rsid w:val="00360330"/>
    <w:rsid w:val="00363A3D"/>
    <w:rsid w:val="00364226"/>
    <w:rsid w:val="00367E88"/>
    <w:rsid w:val="0037578C"/>
    <w:rsid w:val="003917DF"/>
    <w:rsid w:val="003A5153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040A2"/>
    <w:rsid w:val="00415154"/>
    <w:rsid w:val="0041633A"/>
    <w:rsid w:val="00422FC7"/>
    <w:rsid w:val="004242B4"/>
    <w:rsid w:val="00427A06"/>
    <w:rsid w:val="0043161D"/>
    <w:rsid w:val="00431B2E"/>
    <w:rsid w:val="00431BE8"/>
    <w:rsid w:val="00435DEE"/>
    <w:rsid w:val="00435FDA"/>
    <w:rsid w:val="00442411"/>
    <w:rsid w:val="00443438"/>
    <w:rsid w:val="0045015F"/>
    <w:rsid w:val="00451E60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05C9"/>
    <w:rsid w:val="004D7F72"/>
    <w:rsid w:val="004E54E8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6575"/>
    <w:rsid w:val="005C7FA2"/>
    <w:rsid w:val="005E5800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46649"/>
    <w:rsid w:val="00650D31"/>
    <w:rsid w:val="00655C97"/>
    <w:rsid w:val="006752F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55C9E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D69AE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74332"/>
    <w:rsid w:val="00882029"/>
    <w:rsid w:val="008848B1"/>
    <w:rsid w:val="008934B0"/>
    <w:rsid w:val="008C6495"/>
    <w:rsid w:val="008D35EC"/>
    <w:rsid w:val="008D3D5C"/>
    <w:rsid w:val="008E159E"/>
    <w:rsid w:val="008E4DCD"/>
    <w:rsid w:val="008E5D4B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949F5"/>
    <w:rsid w:val="009A5784"/>
    <w:rsid w:val="009A716B"/>
    <w:rsid w:val="009B0483"/>
    <w:rsid w:val="009B13CB"/>
    <w:rsid w:val="009B7423"/>
    <w:rsid w:val="009B7865"/>
    <w:rsid w:val="009C1716"/>
    <w:rsid w:val="009C2B10"/>
    <w:rsid w:val="009C7DA0"/>
    <w:rsid w:val="009D1D47"/>
    <w:rsid w:val="009D40D5"/>
    <w:rsid w:val="009D43A6"/>
    <w:rsid w:val="009E1AE7"/>
    <w:rsid w:val="009E3E3F"/>
    <w:rsid w:val="009E4541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4721B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05103"/>
    <w:rsid w:val="00B144CD"/>
    <w:rsid w:val="00B14693"/>
    <w:rsid w:val="00B14A5B"/>
    <w:rsid w:val="00B159A4"/>
    <w:rsid w:val="00B16492"/>
    <w:rsid w:val="00B23C5A"/>
    <w:rsid w:val="00B34DD1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4E04"/>
    <w:rsid w:val="00BA7255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05A0D"/>
    <w:rsid w:val="00C16347"/>
    <w:rsid w:val="00C16B62"/>
    <w:rsid w:val="00C35783"/>
    <w:rsid w:val="00C40970"/>
    <w:rsid w:val="00C7722A"/>
    <w:rsid w:val="00C926F7"/>
    <w:rsid w:val="00CB2E51"/>
    <w:rsid w:val="00CB5B2A"/>
    <w:rsid w:val="00CB69B3"/>
    <w:rsid w:val="00CC40CB"/>
    <w:rsid w:val="00CC4929"/>
    <w:rsid w:val="00CC7E41"/>
    <w:rsid w:val="00CF4417"/>
    <w:rsid w:val="00CF714F"/>
    <w:rsid w:val="00D24F42"/>
    <w:rsid w:val="00D25098"/>
    <w:rsid w:val="00D26BC9"/>
    <w:rsid w:val="00D27FE6"/>
    <w:rsid w:val="00D3297D"/>
    <w:rsid w:val="00D33789"/>
    <w:rsid w:val="00D3701F"/>
    <w:rsid w:val="00D478FB"/>
    <w:rsid w:val="00D56D63"/>
    <w:rsid w:val="00D6273B"/>
    <w:rsid w:val="00D647F5"/>
    <w:rsid w:val="00D73DAB"/>
    <w:rsid w:val="00D73FBE"/>
    <w:rsid w:val="00D82C8B"/>
    <w:rsid w:val="00D85CE1"/>
    <w:rsid w:val="00D93E47"/>
    <w:rsid w:val="00DB0666"/>
    <w:rsid w:val="00DB0F48"/>
    <w:rsid w:val="00DB41BA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14432"/>
    <w:rsid w:val="00E24C3D"/>
    <w:rsid w:val="00E36D5A"/>
    <w:rsid w:val="00E43B2F"/>
    <w:rsid w:val="00E53331"/>
    <w:rsid w:val="00E555A1"/>
    <w:rsid w:val="00E61EE3"/>
    <w:rsid w:val="00E6232A"/>
    <w:rsid w:val="00E679B7"/>
    <w:rsid w:val="00E72DD9"/>
    <w:rsid w:val="00E763A2"/>
    <w:rsid w:val="00E77445"/>
    <w:rsid w:val="00E80523"/>
    <w:rsid w:val="00E84181"/>
    <w:rsid w:val="00E87D2A"/>
    <w:rsid w:val="00E96A6E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A02B9"/>
    <w:rsid w:val="00FA034E"/>
    <w:rsid w:val="00FA2E42"/>
    <w:rsid w:val="00FB5E5E"/>
    <w:rsid w:val="00FC11DB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B90DF"/>
  <w15:docId w15:val="{5F4EB9F0-44C1-433B-BA29-43285A55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2814C-60D6-477A-9FCF-12AE8DC9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3572</Words>
  <Characters>21075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17</cp:revision>
  <cp:lastPrinted>2015-10-19T14:50:00Z</cp:lastPrinted>
  <dcterms:created xsi:type="dcterms:W3CDTF">2019-07-03T09:13:00Z</dcterms:created>
  <dcterms:modified xsi:type="dcterms:W3CDTF">2020-12-11T10:19:00Z</dcterms:modified>
</cp:coreProperties>
</file>