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bookmarkStart w:id="5" w:name="_GoBack"/>
      <w:bookmarkEnd w:id="5"/>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526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BF05DD">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526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423F71">
        <w:rPr>
          <w:rFonts w:asciiTheme="majorHAnsi" w:hAnsiTheme="majorHAnsi" w:cs="MyriadPro-Black"/>
          <w:sz w:val="46"/>
          <w:szCs w:val="40"/>
        </w:rPr>
        <w:t xml:space="preserve"> (bez VP)</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52625A">
        <w:rPr>
          <w:rFonts w:asciiTheme="majorHAnsi" w:hAnsiTheme="majorHAnsi" w:cs="MyriadPro-Black"/>
          <w:caps/>
          <w:sz w:val="32"/>
          <w:szCs w:val="40"/>
        </w:rPr>
        <w:t>12. 1. 2018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FD6CA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9"/>
              </w:numPr>
              <w:ind w:left="512" w:hanging="284"/>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Default="00C10D46"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6D7FA7">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p>
          <w:p w:rsidR="00E90B73" w:rsidRDefault="00E90B73" w:rsidP="006D7FA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E90B73" w:rsidRDefault="00C10D46" w:rsidP="006D7FA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E90B73">
              <w:rPr>
                <w:rFonts w:asciiTheme="minorHAnsi" w:hAnsiTheme="minorHAnsi"/>
                <w:snapToGrid w:val="0"/>
                <w:sz w:val="22"/>
                <w:szCs w:val="22"/>
              </w:rPr>
              <w:t>V. v rozmezí 90 % - 110 %</w:t>
            </w:r>
          </w:p>
          <w:p w:rsidR="00E90B73" w:rsidRDefault="00E90B73" w:rsidP="008630F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nebude dotace </w:t>
            </w:r>
            <w:r>
              <w:rPr>
                <w:rFonts w:asciiTheme="minorHAnsi" w:hAnsiTheme="minorHAnsi"/>
                <w:snapToGrid w:val="0"/>
                <w:sz w:val="22"/>
                <w:szCs w:val="22"/>
              </w:rPr>
              <w:lastRenderedPageBreak/>
              <w:t>vyplacena.</w:t>
            </w:r>
          </w:p>
          <w:p w:rsidR="00C10D46" w:rsidRPr="0078137E"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5"/>
              </w:numPr>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Pr="00C7195A"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Pr="00440E16" w:rsidRDefault="00C10D46"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E90B7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p>
          <w:p w:rsidR="00E90B73" w:rsidRDefault="00E90B73" w:rsidP="00E90B73">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E90B73" w:rsidRDefault="00C10D46" w:rsidP="00E90B73">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E90B73">
              <w:rPr>
                <w:rFonts w:asciiTheme="minorHAnsi" w:hAnsiTheme="minorHAnsi"/>
                <w:snapToGrid w:val="0"/>
                <w:sz w:val="22"/>
                <w:szCs w:val="22"/>
              </w:rPr>
              <w:t>V. v rozmezí 90 % - 110 %</w:t>
            </w:r>
          </w:p>
          <w:p w:rsidR="00E90B73" w:rsidRDefault="00E90B73" w:rsidP="00127779">
            <w:pPr>
              <w:widowControl w:val="0"/>
              <w:spacing w:after="120"/>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p w:rsidR="00C10D46" w:rsidRPr="000E1CCB"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8D4618">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w:t>
            </w:r>
            <w:r w:rsidRPr="00811919">
              <w:rPr>
                <w:rFonts w:asciiTheme="minorHAnsi" w:hAnsiTheme="minorHAnsi"/>
                <w:snapToGrid w:val="0"/>
                <w:sz w:val="22"/>
                <w:szCs w:val="22"/>
              </w:rPr>
              <w:lastRenderedPageBreak/>
              <w:t xml:space="preserve">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w:t>
            </w:r>
            <w:r>
              <w:rPr>
                <w:rFonts w:asciiTheme="minorHAnsi" w:hAnsiTheme="minorHAnsi"/>
                <w:snapToGrid w:val="0"/>
                <w:sz w:val="22"/>
                <w:szCs w:val="22"/>
              </w:rPr>
              <w:lastRenderedPageBreak/>
              <w:t>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ED3F55" w:rsidRPr="005511D6" w:rsidRDefault="00ED3F55" w:rsidP="00ED3F55">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Pr="008D7A90">
        <w:rPr>
          <w:rFonts w:asciiTheme="minorHAnsi" w:hAnsiTheme="minorHAnsi"/>
          <w:snapToGrid w:val="0"/>
        </w:rPr>
        <w:t>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7195A">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7195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7195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7195A">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3F71"/>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85E"/>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25A"/>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618"/>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5DD"/>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0D46"/>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195A"/>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F55"/>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CB0E6-3609-424A-A2A1-D0EE2B1D7E0B}">
  <ds:schemaRefs>
    <ds:schemaRef ds:uri="http://schemas.openxmlformats.org/officeDocument/2006/bibliography"/>
  </ds:schemaRefs>
</ds:datastoreItem>
</file>

<file path=customXml/itemProps10.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11.xml><?xml version="1.0" encoding="utf-8"?>
<ds:datastoreItem xmlns:ds="http://schemas.openxmlformats.org/officeDocument/2006/customXml" ds:itemID="{E6D7CFAA-5822-4290-AE01-71A491FA19D9}">
  <ds:schemaRefs>
    <ds:schemaRef ds:uri="http://schemas.openxmlformats.org/officeDocument/2006/bibliography"/>
  </ds:schemaRefs>
</ds:datastoreItem>
</file>

<file path=customXml/itemProps12.xml><?xml version="1.0" encoding="utf-8"?>
<ds:datastoreItem xmlns:ds="http://schemas.openxmlformats.org/officeDocument/2006/customXml" ds:itemID="{298057AD-7E6E-48A4-8CDC-D0A865AF97CC}">
  <ds:schemaRefs>
    <ds:schemaRef ds:uri="http://schemas.openxmlformats.org/officeDocument/2006/bibliography"/>
  </ds:schemaRefs>
</ds:datastoreItem>
</file>

<file path=customXml/itemProps13.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14.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15.xml><?xml version="1.0" encoding="utf-8"?>
<ds:datastoreItem xmlns:ds="http://schemas.openxmlformats.org/officeDocument/2006/customXml" ds:itemID="{DAF5C54C-69ED-46E5-9F43-A76B99FF1E49}">
  <ds:schemaRefs>
    <ds:schemaRef ds:uri="http://schemas.openxmlformats.org/officeDocument/2006/bibliography"/>
  </ds:schemaRefs>
</ds:datastoreItem>
</file>

<file path=customXml/itemProps16.xml><?xml version="1.0" encoding="utf-8"?>
<ds:datastoreItem xmlns:ds="http://schemas.openxmlformats.org/officeDocument/2006/customXml" ds:itemID="{7940CAD7-B3B7-40B8-AD0A-A363A950E4AA}">
  <ds:schemaRefs>
    <ds:schemaRef ds:uri="http://schemas.openxmlformats.org/officeDocument/2006/bibliography"/>
  </ds:schemaRefs>
</ds:datastoreItem>
</file>

<file path=customXml/itemProps17.xml><?xml version="1.0" encoding="utf-8"?>
<ds:datastoreItem xmlns:ds="http://schemas.openxmlformats.org/officeDocument/2006/customXml" ds:itemID="{22A1780E-F792-42E4-B9EE-76B360826F22}">
  <ds:schemaRefs>
    <ds:schemaRef ds:uri="http://schemas.openxmlformats.org/officeDocument/2006/bibliography"/>
  </ds:schemaRefs>
</ds:datastoreItem>
</file>

<file path=customXml/itemProps18.xml><?xml version="1.0" encoding="utf-8"?>
<ds:datastoreItem xmlns:ds="http://schemas.openxmlformats.org/officeDocument/2006/customXml" ds:itemID="{46A1B5EA-F1DD-4468-9A60-A075F291FC54}">
  <ds:schemaRefs>
    <ds:schemaRef ds:uri="http://schemas.openxmlformats.org/officeDocument/2006/bibliography"/>
  </ds:schemaRefs>
</ds:datastoreItem>
</file>

<file path=customXml/itemProps19.xml><?xml version="1.0" encoding="utf-8"?>
<ds:datastoreItem xmlns:ds="http://schemas.openxmlformats.org/officeDocument/2006/customXml" ds:itemID="{6C29C30B-6508-4672-9F03-7306A1A6474C}">
  <ds:schemaRefs>
    <ds:schemaRef ds:uri="http://schemas.openxmlformats.org/officeDocument/2006/bibliography"/>
  </ds:schemaRefs>
</ds:datastoreItem>
</file>

<file path=customXml/itemProps2.xml><?xml version="1.0" encoding="utf-8"?>
<ds:datastoreItem xmlns:ds="http://schemas.openxmlformats.org/officeDocument/2006/customXml" ds:itemID="{FBA71A6E-0696-4E5F-885F-6860428BA397}">
  <ds:schemaRefs>
    <ds:schemaRef ds:uri="http://schemas.openxmlformats.org/officeDocument/2006/bibliography"/>
  </ds:schemaRefs>
</ds:datastoreItem>
</file>

<file path=customXml/itemProps20.xml><?xml version="1.0" encoding="utf-8"?>
<ds:datastoreItem xmlns:ds="http://schemas.openxmlformats.org/officeDocument/2006/customXml" ds:itemID="{DF7A3B82-A9CD-4333-AE3D-AE22D444385B}">
  <ds:schemaRefs>
    <ds:schemaRef ds:uri="http://schemas.openxmlformats.org/officeDocument/2006/bibliography"/>
  </ds:schemaRefs>
</ds:datastoreItem>
</file>

<file path=customXml/itemProps21.xml><?xml version="1.0" encoding="utf-8"?>
<ds:datastoreItem xmlns:ds="http://schemas.openxmlformats.org/officeDocument/2006/customXml" ds:itemID="{F46221CE-B310-4911-A452-8733BD08D419}">
  <ds:schemaRefs>
    <ds:schemaRef ds:uri="http://schemas.openxmlformats.org/officeDocument/2006/bibliography"/>
  </ds:schemaRefs>
</ds:datastoreItem>
</file>

<file path=customXml/itemProps22.xml><?xml version="1.0" encoding="utf-8"?>
<ds:datastoreItem xmlns:ds="http://schemas.openxmlformats.org/officeDocument/2006/customXml" ds:itemID="{78664D46-676B-4EB0-9116-3DE6B89BDA68}">
  <ds:schemaRefs>
    <ds:schemaRef ds:uri="http://schemas.openxmlformats.org/officeDocument/2006/bibliography"/>
  </ds:schemaRefs>
</ds:datastoreItem>
</file>

<file path=customXml/itemProps3.xml><?xml version="1.0" encoding="utf-8"?>
<ds:datastoreItem xmlns:ds="http://schemas.openxmlformats.org/officeDocument/2006/customXml" ds:itemID="{D29D7F35-1269-45FC-9ECB-F18D986FBA24}">
  <ds:schemaRefs>
    <ds:schemaRef ds:uri="http://schemas.openxmlformats.org/officeDocument/2006/bibliography"/>
  </ds:schemaRefs>
</ds:datastoreItem>
</file>

<file path=customXml/itemProps4.xml><?xml version="1.0" encoding="utf-8"?>
<ds:datastoreItem xmlns:ds="http://schemas.openxmlformats.org/officeDocument/2006/customXml" ds:itemID="{4E274C0F-855F-4767-A785-51C9BD8E1132}">
  <ds:schemaRefs>
    <ds:schemaRef ds:uri="http://schemas.openxmlformats.org/officeDocument/2006/bibliography"/>
  </ds:schemaRefs>
</ds:datastoreItem>
</file>

<file path=customXml/itemProps5.xml><?xml version="1.0" encoding="utf-8"?>
<ds:datastoreItem xmlns:ds="http://schemas.openxmlformats.org/officeDocument/2006/customXml" ds:itemID="{336E85C1-8891-46FD-8DCA-71E2399919B5}">
  <ds:schemaRefs>
    <ds:schemaRef ds:uri="http://schemas.openxmlformats.org/officeDocument/2006/bibliography"/>
  </ds:schemaRefs>
</ds:datastoreItem>
</file>

<file path=customXml/itemProps6.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7.xml><?xml version="1.0" encoding="utf-8"?>
<ds:datastoreItem xmlns:ds="http://schemas.openxmlformats.org/officeDocument/2006/customXml" ds:itemID="{050ADF51-DCF0-41E5-88EF-532468DD1339}">
  <ds:schemaRefs>
    <ds:schemaRef ds:uri="http://schemas.openxmlformats.org/officeDocument/2006/bibliography"/>
  </ds:schemaRefs>
</ds:datastoreItem>
</file>

<file path=customXml/itemProps8.xml><?xml version="1.0" encoding="utf-8"?>
<ds:datastoreItem xmlns:ds="http://schemas.openxmlformats.org/officeDocument/2006/customXml" ds:itemID="{E454A939-C9BF-46FA-A4A4-AB8BC209BAF1}">
  <ds:schemaRefs>
    <ds:schemaRef ds:uri="http://schemas.openxmlformats.org/officeDocument/2006/bibliography"/>
  </ds:schemaRefs>
</ds:datastoreItem>
</file>

<file path=customXml/itemProps9.xml><?xml version="1.0" encoding="utf-8"?>
<ds:datastoreItem xmlns:ds="http://schemas.openxmlformats.org/officeDocument/2006/customXml" ds:itemID="{1D0F223C-521B-4CDC-A7A8-A7F9E4D5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3160</Words>
  <Characters>18646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2018-01-12T07:00:00Z</dcterms:created>
  <dcterms:modified xsi:type="dcterms:W3CDTF">2018-01-12T07:01:00Z</dcterms:modified>
</cp:coreProperties>
</file>