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DE47C7" w14:textId="77777777" w:rsidR="00A7480F" w:rsidRDefault="00A7480F" w:rsidP="00A7480F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bookmarkStart w:id="0" w:name="_GoBack"/>
      <w:bookmarkEnd w:id="0"/>
    </w:p>
    <w:p w14:paraId="08747F74" w14:textId="77777777" w:rsidR="00A7480F" w:rsidRPr="00B304E9" w:rsidRDefault="00A7480F" w:rsidP="00A7480F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784A36AA" w14:textId="77777777" w:rsidR="00A7480F" w:rsidRDefault="00A7480F" w:rsidP="00A7480F">
      <w:pPr>
        <w:rPr>
          <w:rFonts w:ascii="Cambria" w:hAnsi="Cambria" w:cs="Arial"/>
          <w:b/>
          <w:sz w:val="40"/>
          <w:szCs w:val="40"/>
        </w:rPr>
      </w:pPr>
    </w:p>
    <w:p w14:paraId="52201A6F" w14:textId="77777777" w:rsidR="00A7480F" w:rsidRPr="004C3570" w:rsidRDefault="00A7480F" w:rsidP="00A7480F">
      <w:pPr>
        <w:rPr>
          <w:rFonts w:ascii="Cambria" w:hAnsi="Cambria" w:cs="Arial"/>
          <w:b/>
          <w:sz w:val="40"/>
          <w:szCs w:val="40"/>
        </w:rPr>
      </w:pPr>
    </w:p>
    <w:p w14:paraId="34A2E5C6" w14:textId="77777777" w:rsidR="00A7480F" w:rsidRPr="004C3570" w:rsidRDefault="00A7480F" w:rsidP="00A7480F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 xml:space="preserve">Specifická </w:t>
      </w:r>
      <w:r w:rsidRPr="004C3570">
        <w:rPr>
          <w:rFonts w:ascii="Cambria" w:hAnsi="Cambria" w:cs="MyriadPro-Black"/>
          <w:caps/>
          <w:sz w:val="60"/>
          <w:szCs w:val="60"/>
        </w:rPr>
        <w:t>PRAVIDLA</w:t>
      </w:r>
    </w:p>
    <w:p w14:paraId="6855A169" w14:textId="77777777" w:rsidR="00A7480F" w:rsidRPr="004C3570" w:rsidRDefault="00A7480F" w:rsidP="00A7480F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 w:rsidRPr="004C3570">
        <w:rPr>
          <w:rFonts w:ascii="Cambria" w:hAnsi="Cambria" w:cs="MyriadPro-Black"/>
          <w:caps/>
          <w:sz w:val="60"/>
          <w:szCs w:val="60"/>
        </w:rPr>
        <w:t xml:space="preserve">PRO ŽADATELE A PŘÍJEMCE </w:t>
      </w:r>
    </w:p>
    <w:p w14:paraId="381E3A19" w14:textId="77777777" w:rsidR="00A7480F" w:rsidRDefault="00A7480F" w:rsidP="00A7480F">
      <w:pPr>
        <w:spacing w:after="0"/>
        <w:rPr>
          <w:rFonts w:ascii="Cambria" w:hAnsi="Cambria" w:cs="Arial"/>
          <w:b/>
          <w:sz w:val="40"/>
          <w:szCs w:val="40"/>
        </w:rPr>
      </w:pPr>
    </w:p>
    <w:p w14:paraId="7AA79BB5" w14:textId="77777777" w:rsidR="00A7480F" w:rsidRDefault="00A7480F" w:rsidP="00A7480F">
      <w:pPr>
        <w:spacing w:after="0"/>
        <w:rPr>
          <w:rFonts w:ascii="Cambria" w:hAnsi="Cambria" w:cs="Arial"/>
          <w:b/>
          <w:sz w:val="40"/>
          <w:szCs w:val="40"/>
        </w:rPr>
      </w:pPr>
    </w:p>
    <w:p w14:paraId="0B0D6BAA" w14:textId="77777777" w:rsidR="00A7480F" w:rsidRPr="004A011E" w:rsidRDefault="00A7480F" w:rsidP="00A7480F">
      <w:pPr>
        <w:rPr>
          <w:rFonts w:ascii="Cambria" w:hAnsi="Cambria" w:cs="MyriadPro-Black"/>
          <w:caps/>
          <w:color w:val="A6A6A6"/>
          <w:sz w:val="40"/>
          <w:szCs w:val="40"/>
        </w:rPr>
      </w:pPr>
      <w:r>
        <w:rPr>
          <w:rFonts w:ascii="Cambria" w:hAnsi="Cambria" w:cs="MyriadPro-Black"/>
          <w:caps/>
          <w:color w:val="A6A6A6"/>
          <w:sz w:val="40"/>
          <w:szCs w:val="40"/>
        </w:rPr>
        <w:t>Specifický cíl 2.5</w:t>
      </w:r>
    </w:p>
    <w:p w14:paraId="1CE80472" w14:textId="7BEC2D53" w:rsidR="00A7480F" w:rsidRPr="004A011E" w:rsidRDefault="00A7480F" w:rsidP="00A7480F">
      <w:pPr>
        <w:rPr>
          <w:rFonts w:ascii="Cambria" w:hAnsi="Cambria" w:cs="Arial"/>
          <w:b/>
          <w:color w:val="A6A6A6"/>
          <w:sz w:val="40"/>
          <w:szCs w:val="40"/>
        </w:rPr>
      </w:pPr>
      <w:r>
        <w:rPr>
          <w:rFonts w:ascii="Cambria" w:hAnsi="Cambria" w:cs="MyriadPro-Black"/>
          <w:caps/>
          <w:color w:val="A6A6A6"/>
          <w:sz w:val="40"/>
          <w:szCs w:val="40"/>
        </w:rPr>
        <w:t>průběžná</w:t>
      </w:r>
      <w:r w:rsidRPr="004A011E">
        <w:rPr>
          <w:rFonts w:ascii="Cambria" w:hAnsi="Cambria" w:cs="MyriadPro-Black"/>
          <w:caps/>
          <w:color w:val="A6A6A6"/>
          <w:sz w:val="40"/>
          <w:szCs w:val="40"/>
        </w:rPr>
        <w:t xml:space="preserve"> výzva Č. </w:t>
      </w:r>
      <w:r w:rsidR="00136500">
        <w:rPr>
          <w:rFonts w:ascii="Cambria" w:hAnsi="Cambria" w:cs="MyriadPro-Black"/>
          <w:caps/>
          <w:color w:val="A6A6A6"/>
          <w:sz w:val="40"/>
          <w:szCs w:val="40"/>
        </w:rPr>
        <w:t>78</w:t>
      </w:r>
    </w:p>
    <w:p w14:paraId="0BFF38EC" w14:textId="77777777" w:rsidR="00A7480F" w:rsidRPr="004C3570" w:rsidRDefault="00A7480F" w:rsidP="00A7480F">
      <w:pPr>
        <w:spacing w:after="0"/>
        <w:rPr>
          <w:rFonts w:ascii="Cambria" w:hAnsi="Cambria" w:cs="Arial"/>
          <w:b/>
          <w:sz w:val="40"/>
          <w:szCs w:val="40"/>
        </w:rPr>
      </w:pPr>
    </w:p>
    <w:p w14:paraId="59376F5A" w14:textId="77777777" w:rsidR="00A7480F" w:rsidRPr="004C3570" w:rsidRDefault="00A7480F" w:rsidP="00A7480F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 w:rsidRPr="004C3570">
        <w:rPr>
          <w:rFonts w:ascii="Cambria" w:hAnsi="Cambria" w:cs="MyriadPro-Black"/>
          <w:caps/>
          <w:sz w:val="40"/>
          <w:szCs w:val="40"/>
        </w:rPr>
        <w:t>PŘÍLOHA Č.</w:t>
      </w:r>
      <w:r>
        <w:rPr>
          <w:rFonts w:ascii="Cambria" w:hAnsi="Cambria" w:cs="MyriadPro-Black"/>
          <w:caps/>
          <w:color w:val="FF0000"/>
          <w:sz w:val="40"/>
          <w:szCs w:val="40"/>
        </w:rPr>
        <w:t xml:space="preserve"> </w:t>
      </w:r>
      <w:r>
        <w:rPr>
          <w:rFonts w:ascii="Cambria" w:hAnsi="Cambria" w:cs="MyriadPro-Black"/>
          <w:caps/>
          <w:color w:val="auto"/>
          <w:sz w:val="40"/>
          <w:szCs w:val="40"/>
        </w:rPr>
        <w:t>4</w:t>
      </w:r>
    </w:p>
    <w:p w14:paraId="3EB7C3AF" w14:textId="77777777" w:rsidR="00A7480F" w:rsidRPr="004C3570" w:rsidRDefault="00A7480F" w:rsidP="00A7480F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2ADAF14F" w14:textId="77777777" w:rsidR="00A7480F" w:rsidRPr="004C3570" w:rsidRDefault="00A7480F" w:rsidP="00A7480F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  <w:r>
        <w:rPr>
          <w:rFonts w:ascii="Cambria" w:hAnsi="Cambria" w:cs="MyriadPro-Black"/>
          <w:b/>
          <w:caps/>
          <w:sz w:val="46"/>
          <w:szCs w:val="40"/>
        </w:rPr>
        <w:t>Motivační účinek projektů</w:t>
      </w:r>
    </w:p>
    <w:p w14:paraId="2C682A48" w14:textId="77777777" w:rsidR="00A7480F" w:rsidRDefault="00A7480F" w:rsidP="00A7480F">
      <w:pPr>
        <w:pStyle w:val="Default"/>
        <w:spacing w:line="276" w:lineRule="auto"/>
        <w:jc w:val="center"/>
      </w:pPr>
    </w:p>
    <w:p w14:paraId="332AEA0B" w14:textId="77777777" w:rsidR="00A7480F" w:rsidRDefault="00A7480F" w:rsidP="00A7480F">
      <w:pPr>
        <w:pStyle w:val="Default"/>
        <w:spacing w:line="276" w:lineRule="auto"/>
        <w:jc w:val="center"/>
      </w:pPr>
    </w:p>
    <w:p w14:paraId="10617254" w14:textId="77777777" w:rsidR="00A7480F" w:rsidRDefault="00A7480F" w:rsidP="00A7480F">
      <w:pPr>
        <w:pStyle w:val="Default"/>
        <w:spacing w:line="276" w:lineRule="auto"/>
        <w:jc w:val="center"/>
      </w:pPr>
    </w:p>
    <w:p w14:paraId="056BBB30" w14:textId="77777777" w:rsidR="00A7480F" w:rsidRDefault="00A7480F" w:rsidP="00A7480F">
      <w:pPr>
        <w:pStyle w:val="Default"/>
        <w:spacing w:line="276" w:lineRule="auto"/>
        <w:jc w:val="center"/>
        <w:rPr>
          <w:rFonts w:ascii="Cambria" w:hAnsi="Cambria"/>
        </w:rPr>
      </w:pPr>
    </w:p>
    <w:p w14:paraId="10F8DC88" w14:textId="77777777" w:rsidR="00A7480F" w:rsidRDefault="00A7480F" w:rsidP="00A7480F">
      <w:pPr>
        <w:pStyle w:val="Default"/>
        <w:spacing w:line="276" w:lineRule="auto"/>
        <w:jc w:val="center"/>
        <w:rPr>
          <w:rFonts w:ascii="Cambria" w:hAnsi="Cambria"/>
        </w:rPr>
      </w:pPr>
    </w:p>
    <w:p w14:paraId="36311ACF" w14:textId="77777777" w:rsidR="00A7480F" w:rsidRDefault="00A7480F" w:rsidP="00A7480F">
      <w:pPr>
        <w:pStyle w:val="Default"/>
        <w:spacing w:line="276" w:lineRule="auto"/>
        <w:jc w:val="center"/>
        <w:rPr>
          <w:rFonts w:ascii="Cambria" w:hAnsi="Cambria"/>
        </w:rPr>
      </w:pPr>
    </w:p>
    <w:p w14:paraId="14DE4308" w14:textId="77777777" w:rsidR="00A7480F" w:rsidRDefault="00A7480F" w:rsidP="00A7480F">
      <w:pPr>
        <w:pStyle w:val="Default"/>
        <w:spacing w:line="276" w:lineRule="auto"/>
        <w:jc w:val="center"/>
        <w:rPr>
          <w:rFonts w:ascii="Cambria" w:hAnsi="Cambria"/>
        </w:rPr>
      </w:pPr>
    </w:p>
    <w:p w14:paraId="2DBE367D" w14:textId="77777777" w:rsidR="00A7480F" w:rsidRPr="000842A7" w:rsidRDefault="00A7480F" w:rsidP="00A7480F">
      <w:pPr>
        <w:spacing w:after="0"/>
        <w:rPr>
          <w:rFonts w:ascii="Cambria" w:hAnsi="Cambria" w:cs="MyriadPro-Black"/>
          <w:caps/>
          <w:color w:val="A6A6A6"/>
          <w:sz w:val="32"/>
          <w:szCs w:val="40"/>
        </w:rPr>
      </w:pPr>
    </w:p>
    <w:p w14:paraId="753D362B" w14:textId="69567A82" w:rsidR="00A7480F" w:rsidRDefault="00A7480F" w:rsidP="00A7480F">
      <w:pPr>
        <w:rPr>
          <w:rFonts w:ascii="Cambria" w:hAnsi="Cambria" w:cs="MyriadPro-Black"/>
          <w:caps/>
          <w:color w:val="A6A6A6"/>
          <w:sz w:val="32"/>
          <w:szCs w:val="40"/>
        </w:rPr>
      </w:pPr>
      <w:r w:rsidRPr="000842A7">
        <w:rPr>
          <w:rFonts w:ascii="Cambria" w:hAnsi="Cambria" w:cs="MyriadPro-Black"/>
          <w:caps/>
          <w:color w:val="A6A6A6"/>
          <w:sz w:val="32"/>
          <w:szCs w:val="40"/>
        </w:rPr>
        <w:t>pLATNOST OD</w:t>
      </w:r>
      <w:r w:rsidR="001B4F13">
        <w:rPr>
          <w:rFonts w:ascii="Cambria" w:hAnsi="Cambria" w:cs="MyriadPro-Black"/>
          <w:caps/>
          <w:color w:val="A6A6A6"/>
          <w:sz w:val="32"/>
          <w:szCs w:val="40"/>
        </w:rPr>
        <w:t xml:space="preserve"> </w:t>
      </w:r>
      <w:r w:rsidR="00136500">
        <w:rPr>
          <w:rFonts w:ascii="Cambria" w:hAnsi="Cambria" w:cs="MyriadPro-Black"/>
          <w:caps/>
          <w:color w:val="A6A6A6"/>
          <w:sz w:val="32"/>
          <w:szCs w:val="40"/>
        </w:rPr>
        <w:t>12. 1. 2018</w:t>
      </w:r>
    </w:p>
    <w:p w14:paraId="48540AE1" w14:textId="77777777" w:rsidR="00A7480F" w:rsidRDefault="00A7480F" w:rsidP="002A460B">
      <w:pPr>
        <w:spacing w:after="0" w:line="240" w:lineRule="auto"/>
        <w:jc w:val="center"/>
        <w:rPr>
          <w:rFonts w:asciiTheme="majorHAnsi" w:hAnsiTheme="majorHAnsi"/>
          <w:b/>
          <w:sz w:val="32"/>
        </w:rPr>
      </w:pPr>
    </w:p>
    <w:p w14:paraId="5B322BEF" w14:textId="77777777" w:rsidR="00A7480F" w:rsidRDefault="00A7480F" w:rsidP="002A460B">
      <w:pPr>
        <w:spacing w:after="0" w:line="240" w:lineRule="auto"/>
        <w:jc w:val="center"/>
        <w:rPr>
          <w:rFonts w:asciiTheme="majorHAnsi" w:hAnsiTheme="majorHAnsi"/>
          <w:b/>
          <w:sz w:val="32"/>
        </w:rPr>
      </w:pPr>
    </w:p>
    <w:p w14:paraId="2ECC53A1" w14:textId="77777777" w:rsidR="002A460B" w:rsidRPr="002A460B" w:rsidRDefault="00A7480F" w:rsidP="004559AF">
      <w:pPr>
        <w:spacing w:after="120"/>
        <w:jc w:val="center"/>
        <w:rPr>
          <w:rFonts w:asciiTheme="majorHAnsi" w:hAnsiTheme="majorHAnsi"/>
          <w:b/>
          <w:sz w:val="32"/>
        </w:rPr>
      </w:pPr>
      <w:r>
        <w:rPr>
          <w:rFonts w:asciiTheme="majorHAnsi" w:hAnsiTheme="majorHAnsi"/>
          <w:b/>
          <w:sz w:val="32"/>
        </w:rPr>
        <w:br w:type="page"/>
      </w:r>
      <w:r w:rsidR="005C1894" w:rsidRPr="002A460B">
        <w:rPr>
          <w:rFonts w:asciiTheme="majorHAnsi" w:hAnsiTheme="majorHAnsi"/>
          <w:b/>
          <w:sz w:val="32"/>
        </w:rPr>
        <w:lastRenderedPageBreak/>
        <w:t>Motivační účinek projektů v souladu s </w:t>
      </w:r>
      <w:r w:rsidR="00006976">
        <w:rPr>
          <w:rFonts w:asciiTheme="majorHAnsi" w:hAnsiTheme="majorHAnsi"/>
          <w:b/>
          <w:sz w:val="32"/>
        </w:rPr>
        <w:t>N</w:t>
      </w:r>
      <w:r w:rsidR="005C1894" w:rsidRPr="002A460B">
        <w:rPr>
          <w:rFonts w:asciiTheme="majorHAnsi" w:hAnsiTheme="majorHAnsi"/>
          <w:b/>
          <w:sz w:val="32"/>
        </w:rPr>
        <w:t>ařízení</w:t>
      </w:r>
      <w:r w:rsidR="00087DAF">
        <w:rPr>
          <w:rFonts w:asciiTheme="majorHAnsi" w:hAnsiTheme="majorHAnsi"/>
          <w:b/>
          <w:sz w:val="32"/>
        </w:rPr>
        <w:t>m</w:t>
      </w:r>
      <w:r w:rsidR="005C1894" w:rsidRPr="002A460B">
        <w:rPr>
          <w:rFonts w:asciiTheme="majorHAnsi" w:hAnsiTheme="majorHAnsi"/>
          <w:b/>
          <w:sz w:val="32"/>
        </w:rPr>
        <w:t xml:space="preserve"> </w:t>
      </w:r>
      <w:r w:rsidR="004559AF">
        <w:rPr>
          <w:rFonts w:asciiTheme="majorHAnsi" w:hAnsiTheme="majorHAnsi"/>
          <w:b/>
          <w:sz w:val="32"/>
        </w:rPr>
        <w:t xml:space="preserve">Komise (EU) </w:t>
      </w:r>
      <w:r w:rsidR="005C1894" w:rsidRPr="002A460B">
        <w:rPr>
          <w:rFonts w:asciiTheme="majorHAnsi" w:hAnsiTheme="majorHAnsi"/>
          <w:b/>
          <w:sz w:val="32"/>
        </w:rPr>
        <w:t>č. 651/2014</w:t>
      </w:r>
    </w:p>
    <w:p w14:paraId="6FB11F3A" w14:textId="0DEEC429" w:rsidR="009559EF" w:rsidRDefault="005C1894" w:rsidP="002A460B">
      <w:pPr>
        <w:spacing w:after="0" w:line="240" w:lineRule="auto"/>
        <w:jc w:val="center"/>
        <w:rPr>
          <w:rFonts w:asciiTheme="majorHAnsi" w:hAnsiTheme="majorHAnsi"/>
          <w:sz w:val="24"/>
        </w:rPr>
      </w:pPr>
      <w:r w:rsidRPr="002A460B">
        <w:rPr>
          <w:rFonts w:asciiTheme="majorHAnsi" w:hAnsiTheme="majorHAnsi"/>
          <w:sz w:val="24"/>
        </w:rPr>
        <w:t xml:space="preserve">ze dne 17. </w:t>
      </w:r>
      <w:r w:rsidR="002A460B">
        <w:rPr>
          <w:rFonts w:asciiTheme="majorHAnsi" w:hAnsiTheme="majorHAnsi"/>
          <w:sz w:val="24"/>
        </w:rPr>
        <w:t>č</w:t>
      </w:r>
      <w:r w:rsidRPr="002A460B">
        <w:rPr>
          <w:rFonts w:asciiTheme="majorHAnsi" w:hAnsiTheme="majorHAnsi"/>
          <w:sz w:val="24"/>
        </w:rPr>
        <w:t>ervna 2014, kterým se v souladu s články 107 a 108 Smlouvy prohlašují určité kategorie podpory za slučitelné s vnitřním trhem</w:t>
      </w:r>
      <w:r w:rsidR="00095C0D">
        <w:rPr>
          <w:rFonts w:asciiTheme="majorHAnsi" w:hAnsiTheme="majorHAnsi"/>
          <w:sz w:val="24"/>
        </w:rPr>
        <w:t xml:space="preserve"> </w:t>
      </w:r>
    </w:p>
    <w:p w14:paraId="7907E8CE" w14:textId="77777777" w:rsidR="0006503E" w:rsidRPr="002A460B" w:rsidRDefault="0006503E" w:rsidP="002A460B">
      <w:pPr>
        <w:spacing w:after="0" w:line="240" w:lineRule="auto"/>
        <w:jc w:val="center"/>
        <w:rPr>
          <w:rFonts w:asciiTheme="majorHAnsi" w:hAnsiTheme="majorHAnsi"/>
          <w:sz w:val="24"/>
        </w:rPr>
      </w:pPr>
    </w:p>
    <w:p w14:paraId="3F7B270A" w14:textId="5599C0CB" w:rsidR="0006503E" w:rsidRDefault="0006503E" w:rsidP="0006503E">
      <w:pPr>
        <w:spacing w:after="0" w:line="240" w:lineRule="auto"/>
        <w:jc w:val="both"/>
        <w:rPr>
          <w:rFonts w:asciiTheme="majorHAnsi" w:hAnsiTheme="majorHAnsi"/>
        </w:rPr>
      </w:pPr>
      <w:r w:rsidRPr="0006503E">
        <w:rPr>
          <w:rFonts w:asciiTheme="majorHAnsi" w:hAnsiTheme="majorHAnsi"/>
        </w:rPr>
        <w:t xml:space="preserve">Prokázání motivačního účinku se vztahuje pouze na projekty v režimu blokových výjimek podle </w:t>
      </w:r>
      <w:r w:rsidR="00BE070A">
        <w:rPr>
          <w:rFonts w:asciiTheme="majorHAnsi" w:hAnsiTheme="majorHAnsi"/>
        </w:rPr>
        <w:t>N</w:t>
      </w:r>
      <w:r w:rsidRPr="0006503E">
        <w:rPr>
          <w:rFonts w:asciiTheme="majorHAnsi" w:hAnsiTheme="majorHAnsi"/>
        </w:rPr>
        <w:t xml:space="preserve">ařízení </w:t>
      </w:r>
      <w:r w:rsidR="00BE070A">
        <w:rPr>
          <w:rFonts w:asciiTheme="majorHAnsi" w:hAnsiTheme="majorHAnsi"/>
        </w:rPr>
        <w:t xml:space="preserve">Komise (EU) č. </w:t>
      </w:r>
      <w:r w:rsidRPr="0006503E">
        <w:rPr>
          <w:rFonts w:asciiTheme="majorHAnsi" w:hAnsiTheme="majorHAnsi"/>
        </w:rPr>
        <w:t>651/2014</w:t>
      </w:r>
      <w:r w:rsidR="00084BC2">
        <w:rPr>
          <w:rFonts w:asciiTheme="majorHAnsi" w:hAnsiTheme="majorHAnsi"/>
        </w:rPr>
        <w:t xml:space="preserve"> (dále jen „GBER“)</w:t>
      </w:r>
      <w:r w:rsidRPr="0006503E">
        <w:rPr>
          <w:rFonts w:asciiTheme="majorHAnsi" w:hAnsiTheme="majorHAnsi"/>
        </w:rPr>
        <w:t xml:space="preserve">, nikoli na projekty v režimu de </w:t>
      </w:r>
      <w:proofErr w:type="spellStart"/>
      <w:r w:rsidRPr="0006503E">
        <w:rPr>
          <w:rFonts w:asciiTheme="majorHAnsi" w:hAnsiTheme="majorHAnsi"/>
        </w:rPr>
        <w:t>minimis</w:t>
      </w:r>
      <w:proofErr w:type="spellEnd"/>
      <w:r w:rsidR="00BE070A">
        <w:rPr>
          <w:rFonts w:asciiTheme="majorHAnsi" w:hAnsiTheme="majorHAnsi"/>
        </w:rPr>
        <w:t xml:space="preserve"> podle Nařízení Komise (EU) č. 1407/2013</w:t>
      </w:r>
      <w:r w:rsidRPr="0006503E">
        <w:rPr>
          <w:rFonts w:asciiTheme="majorHAnsi" w:hAnsiTheme="majorHAnsi"/>
        </w:rPr>
        <w:t>.</w:t>
      </w:r>
    </w:p>
    <w:p w14:paraId="72957C60" w14:textId="77777777" w:rsidR="00014DAD" w:rsidRPr="002A460B" w:rsidRDefault="00014DAD" w:rsidP="002A460B">
      <w:pPr>
        <w:spacing w:after="0" w:line="240" w:lineRule="auto"/>
        <w:rPr>
          <w:rFonts w:asciiTheme="majorHAnsi" w:hAnsiTheme="majorHAnsi"/>
        </w:rPr>
      </w:pPr>
    </w:p>
    <w:p w14:paraId="6BD17598" w14:textId="77777777" w:rsidR="00DC640B" w:rsidRDefault="00DC640B" w:rsidP="00B133AF">
      <w:pPr>
        <w:spacing w:after="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Motivační účinek je </w:t>
      </w:r>
      <w:r w:rsidR="00345812">
        <w:rPr>
          <w:rFonts w:asciiTheme="majorHAnsi" w:hAnsiTheme="majorHAnsi"/>
        </w:rPr>
        <w:t xml:space="preserve">jedním z </w:t>
      </w:r>
      <w:r>
        <w:rPr>
          <w:rFonts w:asciiTheme="majorHAnsi" w:hAnsiTheme="majorHAnsi"/>
        </w:rPr>
        <w:t>rozhodující</w:t>
      </w:r>
      <w:r w:rsidR="00345812">
        <w:rPr>
          <w:rFonts w:asciiTheme="majorHAnsi" w:hAnsiTheme="majorHAnsi"/>
        </w:rPr>
        <w:t>ch</w:t>
      </w:r>
      <w:r>
        <w:rPr>
          <w:rFonts w:asciiTheme="majorHAnsi" w:hAnsiTheme="majorHAnsi"/>
        </w:rPr>
        <w:t xml:space="preserve"> faktor</w:t>
      </w:r>
      <w:r w:rsidR="00345812">
        <w:rPr>
          <w:rFonts w:asciiTheme="majorHAnsi" w:hAnsiTheme="majorHAnsi"/>
        </w:rPr>
        <w:t>ů</w:t>
      </w:r>
      <w:r>
        <w:rPr>
          <w:rFonts w:asciiTheme="majorHAnsi" w:hAnsiTheme="majorHAnsi"/>
        </w:rPr>
        <w:t xml:space="preserve"> pro </w:t>
      </w:r>
      <w:r w:rsidR="00F64DB5">
        <w:rPr>
          <w:rFonts w:asciiTheme="majorHAnsi" w:hAnsiTheme="majorHAnsi"/>
        </w:rPr>
        <w:t>přidělení</w:t>
      </w:r>
      <w:r>
        <w:rPr>
          <w:rFonts w:asciiTheme="majorHAnsi" w:hAnsiTheme="majorHAnsi"/>
        </w:rPr>
        <w:t xml:space="preserve"> požadované podpory. V případě </w:t>
      </w:r>
      <w:r w:rsidR="006E7DEC">
        <w:rPr>
          <w:rFonts w:asciiTheme="majorHAnsi" w:hAnsiTheme="majorHAnsi"/>
        </w:rPr>
        <w:t>nepřítomnosti</w:t>
      </w:r>
      <w:r>
        <w:rPr>
          <w:rFonts w:asciiTheme="majorHAnsi" w:hAnsiTheme="majorHAnsi"/>
        </w:rPr>
        <w:t xml:space="preserve"> motivačního účinku </w:t>
      </w:r>
      <w:r w:rsidR="007128AD">
        <w:rPr>
          <w:rFonts w:asciiTheme="majorHAnsi" w:hAnsiTheme="majorHAnsi"/>
        </w:rPr>
        <w:t xml:space="preserve">je </w:t>
      </w:r>
      <w:r w:rsidR="00FF7FBB">
        <w:rPr>
          <w:rFonts w:asciiTheme="majorHAnsi" w:hAnsiTheme="majorHAnsi"/>
        </w:rPr>
        <w:t>podpora neslučitelná s vnitřním trhem a nemůže být proto schválena.</w:t>
      </w:r>
      <w:r>
        <w:rPr>
          <w:rFonts w:asciiTheme="majorHAnsi" w:hAnsiTheme="majorHAnsi"/>
        </w:rPr>
        <w:t xml:space="preserve"> </w:t>
      </w:r>
    </w:p>
    <w:p w14:paraId="5D9938D6" w14:textId="77777777" w:rsidR="00DC640B" w:rsidRDefault="00DC640B" w:rsidP="00B133AF">
      <w:pPr>
        <w:spacing w:after="0" w:line="240" w:lineRule="auto"/>
        <w:jc w:val="both"/>
        <w:rPr>
          <w:rFonts w:asciiTheme="majorHAnsi" w:hAnsiTheme="majorHAnsi"/>
        </w:rPr>
      </w:pPr>
    </w:p>
    <w:p w14:paraId="5A2643E1" w14:textId="4AFEDB88" w:rsidR="00F9477B" w:rsidRDefault="00F9477B" w:rsidP="000F475D">
      <w:pPr>
        <w:spacing w:after="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Podpora vykazuje motivační účinek, jestliže </w:t>
      </w:r>
      <w:r w:rsidR="00443192">
        <w:rPr>
          <w:rFonts w:asciiTheme="majorHAnsi" w:hAnsiTheme="majorHAnsi"/>
        </w:rPr>
        <w:t>příjemce</w:t>
      </w:r>
      <w:r>
        <w:rPr>
          <w:rFonts w:asciiTheme="majorHAnsi" w:hAnsiTheme="majorHAnsi"/>
        </w:rPr>
        <w:t xml:space="preserve"> zahájí další činnosti, kter</w:t>
      </w:r>
      <w:r w:rsidR="00D041BE">
        <w:rPr>
          <w:rFonts w:asciiTheme="majorHAnsi" w:hAnsiTheme="majorHAnsi"/>
        </w:rPr>
        <w:t>é</w:t>
      </w:r>
      <w:r>
        <w:rPr>
          <w:rFonts w:asciiTheme="majorHAnsi" w:hAnsiTheme="majorHAnsi"/>
        </w:rPr>
        <w:t xml:space="preserve"> přispív</w:t>
      </w:r>
      <w:r w:rsidR="00D041BE">
        <w:rPr>
          <w:rFonts w:asciiTheme="majorHAnsi" w:hAnsiTheme="majorHAnsi"/>
        </w:rPr>
        <w:t>ají</w:t>
      </w:r>
      <w:r>
        <w:rPr>
          <w:rFonts w:asciiTheme="majorHAnsi" w:hAnsiTheme="majorHAnsi"/>
        </w:rPr>
        <w:t xml:space="preserve"> </w:t>
      </w:r>
      <w:r w:rsidR="00EE4024">
        <w:rPr>
          <w:rFonts w:asciiTheme="majorHAnsi" w:hAnsiTheme="majorHAnsi"/>
        </w:rPr>
        <w:t>k</w:t>
      </w:r>
      <w:r w:rsidR="00103C29">
        <w:rPr>
          <w:rFonts w:asciiTheme="majorHAnsi" w:hAnsiTheme="majorHAnsi"/>
        </w:rPr>
        <w:t> </w:t>
      </w:r>
      <w:r>
        <w:rPr>
          <w:rFonts w:asciiTheme="majorHAnsi" w:hAnsiTheme="majorHAnsi"/>
        </w:rPr>
        <w:t>rozvoji dané oblasti a kter</w:t>
      </w:r>
      <w:r w:rsidR="00D041BE">
        <w:rPr>
          <w:rFonts w:asciiTheme="majorHAnsi" w:hAnsiTheme="majorHAnsi"/>
        </w:rPr>
        <w:t>é</w:t>
      </w:r>
      <w:r>
        <w:rPr>
          <w:rFonts w:asciiTheme="majorHAnsi" w:hAnsiTheme="majorHAnsi"/>
        </w:rPr>
        <w:t xml:space="preserve"> by bez poskytnutí podpory </w:t>
      </w:r>
      <w:r w:rsidR="00095C0D">
        <w:rPr>
          <w:rFonts w:asciiTheme="majorHAnsi" w:hAnsiTheme="majorHAnsi"/>
        </w:rPr>
        <w:t xml:space="preserve">nezahájil či </w:t>
      </w:r>
      <w:r>
        <w:rPr>
          <w:rFonts w:asciiTheme="majorHAnsi" w:hAnsiTheme="majorHAnsi"/>
        </w:rPr>
        <w:t xml:space="preserve">nevykonával nebo by ji </w:t>
      </w:r>
      <w:r w:rsidR="00095C0D">
        <w:rPr>
          <w:rFonts w:asciiTheme="majorHAnsi" w:hAnsiTheme="majorHAnsi"/>
        </w:rPr>
        <w:t xml:space="preserve">zahájil či </w:t>
      </w:r>
      <w:r>
        <w:rPr>
          <w:rFonts w:asciiTheme="majorHAnsi" w:hAnsiTheme="majorHAnsi"/>
        </w:rPr>
        <w:t xml:space="preserve">vykonával omezeným nebo jiným způsobem nebo v jiném umístění. Podpora nesmí subvencovat náklady na činnost, které by </w:t>
      </w:r>
      <w:r w:rsidR="00443192">
        <w:rPr>
          <w:rFonts w:asciiTheme="majorHAnsi" w:hAnsiTheme="majorHAnsi"/>
        </w:rPr>
        <w:t>příjemci</w:t>
      </w:r>
      <w:r>
        <w:rPr>
          <w:rFonts w:asciiTheme="majorHAnsi" w:hAnsiTheme="majorHAnsi"/>
        </w:rPr>
        <w:t xml:space="preserve"> vznikly v každém případě, a nesmí vyrovnávat běžná rizika činnosti. </w:t>
      </w:r>
    </w:p>
    <w:p w14:paraId="0906FC4A" w14:textId="77777777" w:rsidR="002953DF" w:rsidRDefault="002953DF" w:rsidP="000F475D">
      <w:pPr>
        <w:spacing w:after="0" w:line="240" w:lineRule="auto"/>
        <w:jc w:val="both"/>
        <w:rPr>
          <w:rFonts w:asciiTheme="majorHAnsi" w:hAnsiTheme="majorHAnsi"/>
        </w:rPr>
      </w:pPr>
    </w:p>
    <w:p w14:paraId="6C09456C" w14:textId="6F670379" w:rsidR="000F475D" w:rsidRDefault="000F475D" w:rsidP="001C711D">
      <w:pPr>
        <w:spacing w:after="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Podpora </w:t>
      </w:r>
      <w:r w:rsidR="00EE4024">
        <w:rPr>
          <w:rFonts w:asciiTheme="majorHAnsi" w:hAnsiTheme="majorHAnsi"/>
        </w:rPr>
        <w:t xml:space="preserve">má </w:t>
      </w:r>
      <w:r>
        <w:rPr>
          <w:rFonts w:asciiTheme="majorHAnsi" w:hAnsiTheme="majorHAnsi"/>
        </w:rPr>
        <w:t>motivační účin</w:t>
      </w:r>
      <w:r w:rsidR="00EE4024">
        <w:rPr>
          <w:rFonts w:asciiTheme="majorHAnsi" w:hAnsiTheme="majorHAnsi"/>
        </w:rPr>
        <w:t>e</w:t>
      </w:r>
      <w:r>
        <w:rPr>
          <w:rFonts w:asciiTheme="majorHAnsi" w:hAnsiTheme="majorHAnsi"/>
        </w:rPr>
        <w:t>k, pokud příjemce předložil žádost o</w:t>
      </w:r>
      <w:r w:rsidR="0012505D">
        <w:rPr>
          <w:rFonts w:asciiTheme="majorHAnsi" w:hAnsiTheme="majorHAnsi"/>
        </w:rPr>
        <w:t> </w:t>
      </w:r>
      <w:r>
        <w:rPr>
          <w:rFonts w:asciiTheme="majorHAnsi" w:hAnsiTheme="majorHAnsi"/>
        </w:rPr>
        <w:t xml:space="preserve">podporu </w:t>
      </w:r>
      <w:r w:rsidRPr="00443192">
        <w:rPr>
          <w:rFonts w:asciiTheme="majorHAnsi" w:hAnsiTheme="majorHAnsi"/>
          <w:b/>
        </w:rPr>
        <w:t>před zahájením prací na projektu nebo činnosti</w:t>
      </w:r>
      <w:r>
        <w:rPr>
          <w:rFonts w:asciiTheme="majorHAnsi" w:hAnsiTheme="majorHAnsi"/>
        </w:rPr>
        <w:t xml:space="preserve">. </w:t>
      </w:r>
    </w:p>
    <w:p w14:paraId="5DFD3A48" w14:textId="5E7D8789" w:rsidR="00095C0D" w:rsidRDefault="00095C0D" w:rsidP="001C711D">
      <w:pPr>
        <w:spacing w:after="0" w:line="240" w:lineRule="auto"/>
        <w:jc w:val="both"/>
        <w:rPr>
          <w:rFonts w:asciiTheme="majorHAnsi" w:hAnsiTheme="majorHAnsi"/>
        </w:rPr>
      </w:pPr>
    </w:p>
    <w:p w14:paraId="54F95F8B" w14:textId="77777777" w:rsidR="00095C0D" w:rsidRPr="00EE486E" w:rsidRDefault="00095C0D" w:rsidP="00095C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Theme="majorHAnsi" w:hAnsiTheme="majorHAnsi"/>
          <w:b/>
        </w:rPr>
      </w:pPr>
      <w:r w:rsidRPr="00EE486E">
        <w:rPr>
          <w:rFonts w:asciiTheme="majorHAnsi" w:hAnsiTheme="majorHAnsi"/>
          <w:b/>
        </w:rPr>
        <w:t>UPOZORNĚNÍ</w:t>
      </w:r>
    </w:p>
    <w:p w14:paraId="7DD327E4" w14:textId="1BE80FAB" w:rsidR="00095C0D" w:rsidRDefault="00095C0D" w:rsidP="00095C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V případě neprokázání motivačního účinku podpory během hodnocení formálních náležitostí a přijatelnosti je žádost o podporu vyřazena z dalšího procesu hodnocení. </w:t>
      </w:r>
    </w:p>
    <w:p w14:paraId="28AE5236" w14:textId="77777777" w:rsidR="00095C0D" w:rsidRDefault="00095C0D" w:rsidP="00095C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Při zjištění nedodržení podmínek motivačního účinku projektu v průběhu realizace projektu je s příjemcem podpory zahájeno řízení o odejmutí celé dotace v souladu s § 15 odst. 1 písm. b) zákona č. 218/2000 Sb., o rozpočtových pravidlech. </w:t>
      </w:r>
    </w:p>
    <w:p w14:paraId="4294A92D" w14:textId="77777777" w:rsidR="00095C0D" w:rsidRDefault="00095C0D" w:rsidP="00095C0D">
      <w:pPr>
        <w:spacing w:after="0" w:line="240" w:lineRule="auto"/>
        <w:jc w:val="both"/>
        <w:rPr>
          <w:rFonts w:asciiTheme="majorHAnsi" w:hAnsiTheme="majorHAnsi"/>
        </w:rPr>
      </w:pPr>
    </w:p>
    <w:p w14:paraId="5C2AE8BB" w14:textId="1A2399A8" w:rsidR="00095C0D" w:rsidRDefault="00095C0D" w:rsidP="00095C0D">
      <w:pPr>
        <w:spacing w:after="0" w:line="240" w:lineRule="auto"/>
        <w:jc w:val="both"/>
        <w:rPr>
          <w:rFonts w:asciiTheme="majorHAnsi" w:hAnsiTheme="majorHAnsi"/>
        </w:rPr>
      </w:pPr>
      <w:r w:rsidRPr="00FF75F8">
        <w:rPr>
          <w:rFonts w:asciiTheme="majorHAnsi" w:hAnsiTheme="majorHAnsi"/>
        </w:rPr>
        <w:t>Při volbě postupu zadání zakázky zadavatel musí zohlednit nejen pravidla pro zadávání zakázek IROP (</w:t>
      </w:r>
      <w:r w:rsidR="001C5BA9">
        <w:rPr>
          <w:rFonts w:asciiTheme="majorHAnsi" w:hAnsiTheme="majorHAnsi"/>
        </w:rPr>
        <w:t xml:space="preserve">zákon č. 134/20169 Sb., o zadávání veřejných zakázek, ve znění pozdějších předpisů, </w:t>
      </w:r>
      <w:r w:rsidR="001C5BA9" w:rsidRPr="001C5BA9">
        <w:rPr>
          <w:rFonts w:asciiTheme="majorHAnsi" w:hAnsiTheme="majorHAnsi"/>
        </w:rPr>
        <w:t>Metodick</w:t>
      </w:r>
      <w:r w:rsidR="001C5BA9">
        <w:rPr>
          <w:rFonts w:asciiTheme="majorHAnsi" w:hAnsiTheme="majorHAnsi"/>
        </w:rPr>
        <w:t>ý</w:t>
      </w:r>
      <w:r w:rsidR="001C5BA9" w:rsidRPr="001C5BA9">
        <w:rPr>
          <w:rFonts w:asciiTheme="majorHAnsi" w:hAnsiTheme="majorHAnsi"/>
        </w:rPr>
        <w:t xml:space="preserve"> pokyn pro oblast zadávání zakázek pro programové období 2014-2020</w:t>
      </w:r>
      <w:r w:rsidRPr="00FF75F8">
        <w:rPr>
          <w:rFonts w:asciiTheme="majorHAnsi" w:hAnsiTheme="majorHAnsi"/>
        </w:rPr>
        <w:t>), ale i podmínku dodržení motivačního účinku.</w:t>
      </w:r>
    </w:p>
    <w:p w14:paraId="752F2F6A" w14:textId="77777777" w:rsidR="00095C0D" w:rsidRDefault="00095C0D" w:rsidP="00095C0D">
      <w:pPr>
        <w:spacing w:after="0" w:line="240" w:lineRule="auto"/>
        <w:jc w:val="both"/>
        <w:rPr>
          <w:rFonts w:asciiTheme="majorHAnsi" w:hAnsiTheme="majorHAnsi"/>
        </w:rPr>
      </w:pPr>
    </w:p>
    <w:p w14:paraId="2E3ADB69" w14:textId="77777777" w:rsidR="00095C0D" w:rsidRPr="00AA2C8D" w:rsidRDefault="00095C0D" w:rsidP="00095C0D">
      <w:pPr>
        <w:pStyle w:val="Odstavecseseznamem"/>
        <w:numPr>
          <w:ilvl w:val="0"/>
          <w:numId w:val="4"/>
        </w:numPr>
        <w:spacing w:after="0" w:line="240" w:lineRule="auto"/>
        <w:jc w:val="both"/>
        <w:rPr>
          <w:rFonts w:asciiTheme="majorHAnsi" w:hAnsiTheme="majorHAnsi"/>
          <w:b/>
        </w:rPr>
      </w:pPr>
      <w:r w:rsidRPr="00AA2C8D">
        <w:rPr>
          <w:rFonts w:asciiTheme="majorHAnsi" w:hAnsiTheme="majorHAnsi"/>
          <w:b/>
        </w:rPr>
        <w:t>Zahájení zadávacího/výběrového řízení před podáním žádosti o podporu</w:t>
      </w:r>
    </w:p>
    <w:p w14:paraId="2300262F" w14:textId="77777777" w:rsidR="00095C0D" w:rsidRDefault="00095C0D" w:rsidP="00095C0D">
      <w:pPr>
        <w:spacing w:after="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V případě zahájení zadávacího/výběrového řízení před podáním žádosti o podporu splnění podmínky motivačního účinku závisí na posouzení, zda zahájení zadávacího řízení má či nemá charakter závazku, v jehož důsledku se investice stává nezvratnou. Pokud zadavatel je oprávněn zadávací/výběrové řízení (např. z důvodu neobdržení podpory) zrušit, nepředstavuje zahájení zadávacího/výběrového řízení závazek, v jehož důsledku se investice stává nezvratnou. Zahájením zadávacího/výběrového řízení před podáním žádosti o podporu by v takovém případě nedošlo k porušení podmínky motivačního účinku. </w:t>
      </w:r>
    </w:p>
    <w:p w14:paraId="57C5A726" w14:textId="77777777" w:rsidR="00095C0D" w:rsidRDefault="00095C0D" w:rsidP="00095C0D">
      <w:pPr>
        <w:spacing w:after="0" w:line="240" w:lineRule="auto"/>
        <w:jc w:val="both"/>
        <w:rPr>
          <w:rFonts w:asciiTheme="majorHAnsi" w:hAnsiTheme="majorHAnsi"/>
        </w:rPr>
      </w:pPr>
    </w:p>
    <w:p w14:paraId="54AA40FC" w14:textId="156AACD7" w:rsidR="00095C0D" w:rsidRPr="00AA2C8D" w:rsidRDefault="00B635B4" w:rsidP="00095C0D">
      <w:pPr>
        <w:pStyle w:val="Odstavecseseznamem"/>
        <w:numPr>
          <w:ilvl w:val="0"/>
          <w:numId w:val="4"/>
        </w:numPr>
        <w:spacing w:after="0" w:line="240" w:lineRule="auto"/>
        <w:jc w:val="both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U</w:t>
      </w:r>
      <w:r w:rsidR="00095C0D" w:rsidRPr="00AA2C8D">
        <w:rPr>
          <w:rFonts w:asciiTheme="majorHAnsi" w:hAnsiTheme="majorHAnsi"/>
          <w:b/>
        </w:rPr>
        <w:t>zavření smlouvy na plnění zakázky před podáním žádosti o podporu</w:t>
      </w:r>
    </w:p>
    <w:p w14:paraId="228BD7C5" w14:textId="5BA3D00D" w:rsidR="00095C0D" w:rsidRDefault="00095C0D" w:rsidP="00095C0D">
      <w:pPr>
        <w:spacing w:after="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Pokud uzavření smlouvy nepředstavuje závazek, v jehož důsledku se investice stává nezvratnou, pak zahájením prací, a tedy uzavřením </w:t>
      </w:r>
      <w:r w:rsidR="00084BC2">
        <w:rPr>
          <w:rFonts w:asciiTheme="majorHAnsi" w:hAnsiTheme="majorHAnsi"/>
        </w:rPr>
        <w:t xml:space="preserve">smlouvy </w:t>
      </w:r>
      <w:r>
        <w:rPr>
          <w:rFonts w:asciiTheme="majorHAnsi" w:hAnsiTheme="majorHAnsi"/>
        </w:rPr>
        <w:t xml:space="preserve">před podáním žádosti o podporu nedojde k porušení podmínky motivačního účinku. </w:t>
      </w:r>
    </w:p>
    <w:p w14:paraId="69E15A55" w14:textId="36717C8F" w:rsidR="00095C0D" w:rsidRDefault="00095C0D" w:rsidP="00095C0D">
      <w:pPr>
        <w:spacing w:after="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lastRenderedPageBreak/>
        <w:t>K zahájení prací</w:t>
      </w:r>
      <w:r w:rsidDel="00D748DB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 xml:space="preserve">nedojde, pokud smlouva umožňuje zadavateli bez sankce před realizací projektu od ní jednostranně odstoupit, případně je-li účinnost smlouvy podmíněna tím, že zadavatel obdrží na předmět plnění smlouvy podporu. </w:t>
      </w:r>
    </w:p>
    <w:p w14:paraId="055370CF" w14:textId="77777777" w:rsidR="00095C0D" w:rsidRDefault="00095C0D" w:rsidP="00095C0D">
      <w:pPr>
        <w:spacing w:after="0" w:line="240" w:lineRule="auto"/>
        <w:jc w:val="both"/>
        <w:rPr>
          <w:rFonts w:asciiTheme="majorHAnsi" w:hAnsiTheme="majorHAnsi"/>
        </w:rPr>
      </w:pPr>
    </w:p>
    <w:p w14:paraId="6D1B6753" w14:textId="77777777" w:rsidR="00095C0D" w:rsidRPr="00AA2C8D" w:rsidRDefault="00095C0D" w:rsidP="00095C0D">
      <w:pPr>
        <w:pStyle w:val="Odstavecseseznamem"/>
        <w:numPr>
          <w:ilvl w:val="0"/>
          <w:numId w:val="4"/>
        </w:numPr>
        <w:spacing w:after="0" w:line="240" w:lineRule="auto"/>
        <w:jc w:val="both"/>
        <w:rPr>
          <w:rFonts w:asciiTheme="majorHAnsi" w:hAnsiTheme="majorHAnsi"/>
          <w:b/>
        </w:rPr>
      </w:pPr>
      <w:r w:rsidRPr="00AA2C8D">
        <w:rPr>
          <w:rFonts w:asciiTheme="majorHAnsi" w:hAnsiTheme="majorHAnsi"/>
          <w:b/>
        </w:rPr>
        <w:t>Uzavření smlouvy na plnění zakázky a provedení přípravných prací podle takové smlouvy před podáním žádosti o podporu</w:t>
      </w:r>
    </w:p>
    <w:p w14:paraId="4F57C8D9" w14:textId="150F2941" w:rsidR="00095C0D" w:rsidRDefault="00095C0D" w:rsidP="00095C0D">
      <w:pPr>
        <w:spacing w:after="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Pokud předmětem plnění jedné smlouvy je realizace samotného projektu (investice) a zároveň přípravné práce, pak její uzavření před podáním žádosti o podporu je možné, pokud zadavatel je oprávněn před realizací projektu jednostrann</w:t>
      </w:r>
      <w:r w:rsidR="00C536DF">
        <w:rPr>
          <w:rFonts w:asciiTheme="majorHAnsi" w:hAnsiTheme="majorHAnsi"/>
        </w:rPr>
        <w:t>ě</w:t>
      </w:r>
      <w:r>
        <w:rPr>
          <w:rFonts w:asciiTheme="majorHAnsi" w:hAnsiTheme="majorHAnsi"/>
        </w:rPr>
        <w:t xml:space="preserve"> od smlouvy bez sankcí </w:t>
      </w:r>
      <w:r w:rsidR="00C536DF">
        <w:rPr>
          <w:rFonts w:asciiTheme="majorHAnsi" w:hAnsiTheme="majorHAnsi"/>
        </w:rPr>
        <w:t xml:space="preserve">odstoupit </w:t>
      </w:r>
      <w:r>
        <w:rPr>
          <w:rFonts w:asciiTheme="majorHAnsi" w:hAnsiTheme="majorHAnsi"/>
        </w:rPr>
        <w:t xml:space="preserve">nebo účinnost části smlouvy, která upravuje realizaci projektu, je podmíněna obdržením podpory. </w:t>
      </w:r>
    </w:p>
    <w:p w14:paraId="75C103AC" w14:textId="77777777" w:rsidR="00095C0D" w:rsidRDefault="00095C0D" w:rsidP="00095C0D">
      <w:pPr>
        <w:spacing w:after="0" w:line="240" w:lineRule="auto"/>
        <w:jc w:val="both"/>
        <w:rPr>
          <w:rFonts w:asciiTheme="majorHAnsi" w:hAnsiTheme="majorHAnsi"/>
        </w:rPr>
      </w:pPr>
    </w:p>
    <w:p w14:paraId="08B6CB55" w14:textId="77777777" w:rsidR="00095C0D" w:rsidRPr="00AA2C8D" w:rsidRDefault="00095C0D" w:rsidP="00095C0D">
      <w:pPr>
        <w:pStyle w:val="Odstavecseseznamem"/>
        <w:numPr>
          <w:ilvl w:val="0"/>
          <w:numId w:val="4"/>
        </w:numPr>
        <w:spacing w:after="0" w:line="240" w:lineRule="auto"/>
        <w:jc w:val="both"/>
        <w:rPr>
          <w:rFonts w:asciiTheme="majorHAnsi" w:hAnsiTheme="majorHAnsi"/>
          <w:b/>
        </w:rPr>
      </w:pPr>
      <w:r w:rsidRPr="00AA2C8D">
        <w:rPr>
          <w:rFonts w:asciiTheme="majorHAnsi" w:hAnsiTheme="majorHAnsi"/>
          <w:b/>
        </w:rPr>
        <w:t>Realizace přípravných prací</w:t>
      </w:r>
    </w:p>
    <w:p w14:paraId="67A33A71" w14:textId="5F92BE8B" w:rsidR="00095C0D" w:rsidRDefault="00095C0D" w:rsidP="00095C0D">
      <w:pPr>
        <w:spacing w:after="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Část plnění smlouvy na realizaci přípravných </w:t>
      </w:r>
      <w:r w:rsidR="00B635B4">
        <w:rPr>
          <w:rFonts w:asciiTheme="majorHAnsi" w:hAnsiTheme="majorHAnsi"/>
        </w:rPr>
        <w:t xml:space="preserve">prací </w:t>
      </w:r>
      <w:r>
        <w:rPr>
          <w:rFonts w:asciiTheme="majorHAnsi" w:hAnsiTheme="majorHAnsi"/>
        </w:rPr>
        <w:t xml:space="preserve">je možno realizovat ještě před podáním žádosti o podporu, nicméně aby byla dodržena podmínka motivačního účinku, nemohou být dle výkladů Evropské komise náklady na přípravné práce vynaložené před podáním žádosti předmětem podpory poskytnuté dle GBER. Přípravné práce a práce na realizaci samotného projektu by měly být ve smlouvě jasně odděleny. </w:t>
      </w:r>
    </w:p>
    <w:p w14:paraId="7C05F496" w14:textId="77777777" w:rsidR="00095C0D" w:rsidRDefault="00095C0D" w:rsidP="00095C0D">
      <w:pPr>
        <w:spacing w:after="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Činnosti, které je možné zahájit před podáním žádosti o podporu, ale výdaje na jejich úhradu nesmí být zahrnuty do způsobilých výdajů:</w:t>
      </w:r>
    </w:p>
    <w:p w14:paraId="0B852225" w14:textId="77777777" w:rsidR="00095C0D" w:rsidRDefault="00095C0D" w:rsidP="00095C0D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projektová dokumentace;</w:t>
      </w:r>
    </w:p>
    <w:p w14:paraId="5A7AF779" w14:textId="77777777" w:rsidR="00095C0D" w:rsidRPr="003F1EA5" w:rsidRDefault="00095C0D" w:rsidP="00095C0D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kupní smlouvy na nákup nemovitostí. </w:t>
      </w:r>
    </w:p>
    <w:p w14:paraId="3A74B84C" w14:textId="4CC13006" w:rsidR="00095C0D" w:rsidRDefault="00095C0D" w:rsidP="00095C0D">
      <w:pPr>
        <w:spacing w:after="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Projektové dokumentace a </w:t>
      </w:r>
      <w:r w:rsidR="001C365B">
        <w:rPr>
          <w:rFonts w:asciiTheme="majorHAnsi" w:hAnsiTheme="majorHAnsi"/>
        </w:rPr>
        <w:t>Podklady pro hodnocení</w:t>
      </w:r>
      <w:r>
        <w:rPr>
          <w:rFonts w:asciiTheme="majorHAnsi" w:hAnsiTheme="majorHAnsi"/>
        </w:rPr>
        <w:t xml:space="preserve"> lze zařadit do způsobilých výdajů v případě využití aplikace Nařízení Komise (EU) č. 1407/2013 na tyto položky rozpočtu. </w:t>
      </w:r>
    </w:p>
    <w:p w14:paraId="10C57441" w14:textId="77777777" w:rsidR="00095C0D" w:rsidRDefault="00095C0D" w:rsidP="001C711D">
      <w:pPr>
        <w:spacing w:after="0" w:line="240" w:lineRule="auto"/>
        <w:jc w:val="both"/>
        <w:rPr>
          <w:rFonts w:asciiTheme="majorHAnsi" w:hAnsiTheme="majorHAnsi"/>
        </w:rPr>
      </w:pPr>
    </w:p>
    <w:p w14:paraId="6E65CBD1" w14:textId="63E87C5F" w:rsidR="00BB0589" w:rsidRDefault="00BB0589" w:rsidP="00BB0589">
      <w:pPr>
        <w:spacing w:after="0" w:line="240" w:lineRule="auto"/>
        <w:jc w:val="both"/>
        <w:rPr>
          <w:rFonts w:asciiTheme="majorHAnsi" w:hAnsiTheme="majorHAnsi"/>
        </w:rPr>
      </w:pPr>
      <w:r w:rsidRPr="002B60FB">
        <w:rPr>
          <w:rFonts w:asciiTheme="majorHAnsi" w:hAnsiTheme="majorHAnsi"/>
        </w:rPr>
        <w:t>Při posouzení konkrétních činností, které je možné zahájit před podáním žádosti o podporu, je relevantní hledisko, zda žadatel může před podáním žádosti o podporu ustoupit od realizace projektu, aniž by mu tím vznikly nepřiměřené ztráty nebo náklady (např. vysoké smluvní pokuty nebo vysoké náklady na zpracování dokumentace, která nemusí být využita). V případech pochybností bude povinností žadatele prokázat, že činnosti, zahájené před podáním žádosti o</w:t>
      </w:r>
      <w:r>
        <w:rPr>
          <w:rFonts w:asciiTheme="majorHAnsi" w:hAnsiTheme="majorHAnsi"/>
        </w:rPr>
        <w:t> </w:t>
      </w:r>
      <w:r w:rsidRPr="002B60FB">
        <w:rPr>
          <w:rFonts w:asciiTheme="majorHAnsi" w:hAnsiTheme="majorHAnsi"/>
        </w:rPr>
        <w:t xml:space="preserve">podporu, splňuji podmínku motivačního účinku. </w:t>
      </w:r>
      <w:r w:rsidR="00C91249">
        <w:rPr>
          <w:rFonts w:asciiTheme="majorHAnsi" w:hAnsiTheme="majorHAnsi"/>
        </w:rPr>
        <w:t xml:space="preserve">Žadatel o podporu popíše veškeré skutečnosti v části 6 Připravenost projektu k realizaci povinné přílohy </w:t>
      </w:r>
      <w:r w:rsidR="00AE2855">
        <w:rPr>
          <w:rFonts w:asciiTheme="majorHAnsi" w:hAnsiTheme="majorHAnsi"/>
        </w:rPr>
        <w:t xml:space="preserve">č. 3 </w:t>
      </w:r>
      <w:r w:rsidR="00C91249">
        <w:rPr>
          <w:rFonts w:asciiTheme="majorHAnsi" w:hAnsiTheme="majorHAnsi"/>
        </w:rPr>
        <w:t>Poklady pro hodnocení.</w:t>
      </w:r>
    </w:p>
    <w:p w14:paraId="5248FD92" w14:textId="77777777" w:rsidR="00BB0589" w:rsidRDefault="00BB0589" w:rsidP="002953DF">
      <w:pPr>
        <w:spacing w:after="0" w:line="240" w:lineRule="auto"/>
        <w:jc w:val="both"/>
        <w:rPr>
          <w:rFonts w:asciiTheme="majorHAnsi" w:hAnsiTheme="majorHAnsi"/>
        </w:rPr>
      </w:pPr>
    </w:p>
    <w:p w14:paraId="5534B290" w14:textId="1FBE6ED7" w:rsidR="00321B42" w:rsidRDefault="00D349E2" w:rsidP="002953DF">
      <w:pPr>
        <w:spacing w:after="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Ž</w:t>
      </w:r>
      <w:r w:rsidR="004E7454">
        <w:rPr>
          <w:rFonts w:asciiTheme="majorHAnsi" w:hAnsiTheme="majorHAnsi"/>
        </w:rPr>
        <w:t xml:space="preserve">adatel </w:t>
      </w:r>
      <w:r w:rsidR="00B866B9">
        <w:rPr>
          <w:rFonts w:asciiTheme="majorHAnsi" w:hAnsiTheme="majorHAnsi"/>
        </w:rPr>
        <w:t>ne</w:t>
      </w:r>
      <w:r w:rsidR="004E7454">
        <w:rPr>
          <w:rFonts w:asciiTheme="majorHAnsi" w:hAnsiTheme="majorHAnsi"/>
        </w:rPr>
        <w:t>může před podáním žádosti</w:t>
      </w:r>
      <w:r w:rsidR="004D73B5">
        <w:rPr>
          <w:rFonts w:asciiTheme="majorHAnsi" w:hAnsiTheme="majorHAnsi"/>
        </w:rPr>
        <w:t xml:space="preserve"> ve specifickém cíli 2.5</w:t>
      </w:r>
      <w:r w:rsidR="004E7454">
        <w:rPr>
          <w:rFonts w:asciiTheme="majorHAnsi" w:hAnsiTheme="majorHAnsi"/>
        </w:rPr>
        <w:t xml:space="preserve"> </w:t>
      </w:r>
      <w:r w:rsidR="00AE2855">
        <w:rPr>
          <w:rFonts w:asciiTheme="majorHAnsi" w:hAnsiTheme="majorHAnsi"/>
        </w:rPr>
        <w:t xml:space="preserve">IROP </w:t>
      </w:r>
      <w:r w:rsidR="004E7454">
        <w:rPr>
          <w:rFonts w:asciiTheme="majorHAnsi" w:hAnsiTheme="majorHAnsi"/>
        </w:rPr>
        <w:t xml:space="preserve">realizovat </w:t>
      </w:r>
      <w:r>
        <w:rPr>
          <w:rFonts w:asciiTheme="majorHAnsi" w:hAnsiTheme="majorHAnsi"/>
        </w:rPr>
        <w:t>činnosti, uvedené v</w:t>
      </w:r>
      <w:r w:rsidR="004D73B5">
        <w:rPr>
          <w:rFonts w:asciiTheme="majorHAnsi" w:hAnsiTheme="majorHAnsi"/>
        </w:rPr>
        <w:t> </w:t>
      </w:r>
      <w:r>
        <w:rPr>
          <w:rFonts w:asciiTheme="majorHAnsi" w:hAnsiTheme="majorHAnsi"/>
        </w:rPr>
        <w:t>tabulce</w:t>
      </w:r>
      <w:r w:rsidR="004D73B5">
        <w:rPr>
          <w:rFonts w:asciiTheme="majorHAnsi" w:hAnsiTheme="majorHAnsi"/>
        </w:rPr>
        <w:t>:</w:t>
      </w:r>
      <w:r w:rsidR="004E7454">
        <w:rPr>
          <w:rFonts w:asciiTheme="majorHAnsi" w:hAnsiTheme="majorHAnsi"/>
        </w:rPr>
        <w:t xml:space="preserve"> </w:t>
      </w:r>
    </w:p>
    <w:p w14:paraId="61B3270F" w14:textId="77777777" w:rsidR="003E513E" w:rsidRDefault="003E513E" w:rsidP="002953DF">
      <w:pPr>
        <w:spacing w:after="0" w:line="240" w:lineRule="auto"/>
        <w:jc w:val="both"/>
        <w:rPr>
          <w:rFonts w:asciiTheme="majorHAnsi" w:hAnsiTheme="majorHAnsi"/>
        </w:rPr>
      </w:pPr>
    </w:p>
    <w:tbl>
      <w:tblPr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06"/>
      </w:tblGrid>
      <w:tr w:rsidR="00172EC3" w:rsidRPr="006062C2" w14:paraId="760284B6" w14:textId="77777777" w:rsidTr="00B63ECA">
        <w:trPr>
          <w:trHeight w:val="676"/>
          <w:jc w:val="center"/>
        </w:trPr>
        <w:tc>
          <w:tcPr>
            <w:tcW w:w="4606" w:type="dxa"/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1C9EBD" w14:textId="77777777" w:rsidR="00172EC3" w:rsidRPr="006062C2" w:rsidRDefault="00172EC3" w:rsidP="00014DAD">
            <w:pPr>
              <w:spacing w:before="60" w:after="60" w:line="240" w:lineRule="auto"/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  <w:r w:rsidRPr="006062C2">
              <w:rPr>
                <w:rFonts w:asciiTheme="majorHAnsi" w:hAnsiTheme="majorHAnsi" w:cs="Arial"/>
                <w:sz w:val="20"/>
                <w:szCs w:val="20"/>
              </w:rPr>
              <w:t xml:space="preserve">Činnosti, které </w:t>
            </w:r>
            <w:r w:rsidRPr="006062C2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není možné</w:t>
            </w:r>
            <w:r w:rsidRPr="006062C2">
              <w:rPr>
                <w:rFonts w:asciiTheme="majorHAnsi" w:hAnsiTheme="majorHAnsi" w:cs="Arial"/>
                <w:sz w:val="20"/>
                <w:szCs w:val="20"/>
              </w:rPr>
              <w:t xml:space="preserve"> zahájit před podáním žádosti o podporu</w:t>
            </w:r>
          </w:p>
        </w:tc>
      </w:tr>
      <w:tr w:rsidR="00172EC3" w:rsidRPr="006062C2" w14:paraId="406AEB2C" w14:textId="77777777" w:rsidTr="00B63ECA">
        <w:trPr>
          <w:jc w:val="center"/>
        </w:trPr>
        <w:tc>
          <w:tcPr>
            <w:tcW w:w="460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7C8E46" w14:textId="77777777" w:rsidR="00172EC3" w:rsidRPr="006062C2" w:rsidRDefault="00172EC3" w:rsidP="00014DAD">
            <w:pPr>
              <w:spacing w:before="60" w:after="60" w:line="240" w:lineRule="auto"/>
              <w:rPr>
                <w:rFonts w:asciiTheme="majorHAnsi" w:hAnsiTheme="majorHAnsi" w:cs="Arial"/>
                <w:sz w:val="20"/>
                <w:szCs w:val="20"/>
              </w:rPr>
            </w:pPr>
            <w:r w:rsidRPr="006062C2">
              <w:rPr>
                <w:rFonts w:asciiTheme="majorHAnsi" w:hAnsiTheme="majorHAnsi" w:cs="Arial"/>
                <w:sz w:val="20"/>
                <w:szCs w:val="20"/>
              </w:rPr>
              <w:t>Nákup movitého majetku (například vybavení staveb).</w:t>
            </w:r>
          </w:p>
        </w:tc>
      </w:tr>
      <w:tr w:rsidR="00172EC3" w:rsidRPr="006062C2" w14:paraId="1BB70539" w14:textId="77777777" w:rsidTr="00B63ECA">
        <w:trPr>
          <w:jc w:val="center"/>
        </w:trPr>
        <w:tc>
          <w:tcPr>
            <w:tcW w:w="460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A03FA9" w14:textId="77777777" w:rsidR="00172EC3" w:rsidRPr="006062C2" w:rsidRDefault="00172EC3" w:rsidP="00014DAD">
            <w:pPr>
              <w:spacing w:before="60" w:after="60" w:line="240" w:lineRule="auto"/>
              <w:rPr>
                <w:rFonts w:asciiTheme="majorHAnsi" w:hAnsiTheme="majorHAnsi" w:cs="Arial"/>
                <w:sz w:val="20"/>
                <w:szCs w:val="20"/>
              </w:rPr>
            </w:pPr>
            <w:r w:rsidRPr="006062C2">
              <w:rPr>
                <w:rFonts w:asciiTheme="majorHAnsi" w:hAnsiTheme="majorHAnsi" w:cs="Arial"/>
                <w:sz w:val="20"/>
                <w:szCs w:val="20"/>
              </w:rPr>
              <w:t>Zahájení stavebních prací.</w:t>
            </w:r>
          </w:p>
        </w:tc>
      </w:tr>
    </w:tbl>
    <w:p w14:paraId="5750127B" w14:textId="77777777" w:rsidR="000F475D" w:rsidRPr="002A460B" w:rsidRDefault="000F475D" w:rsidP="00B866B9">
      <w:pPr>
        <w:spacing w:after="0" w:line="240" w:lineRule="auto"/>
        <w:jc w:val="both"/>
        <w:rPr>
          <w:rFonts w:asciiTheme="majorHAnsi" w:hAnsiTheme="majorHAnsi"/>
        </w:rPr>
      </w:pPr>
    </w:p>
    <w:sectPr w:rsidR="000F475D" w:rsidRPr="002A460B" w:rsidSect="00B63EC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F4ADDE" w14:textId="77777777" w:rsidR="00236227" w:rsidRDefault="00236227" w:rsidP="005C1894">
      <w:pPr>
        <w:spacing w:after="0" w:line="240" w:lineRule="auto"/>
      </w:pPr>
      <w:r>
        <w:separator/>
      </w:r>
    </w:p>
  </w:endnote>
  <w:endnote w:type="continuationSeparator" w:id="0">
    <w:p w14:paraId="6634F313" w14:textId="77777777" w:rsidR="00236227" w:rsidRDefault="00236227" w:rsidP="005C1894">
      <w:pPr>
        <w:spacing w:after="0" w:line="240" w:lineRule="auto"/>
      </w:pPr>
      <w:r>
        <w:continuationSeparator/>
      </w:r>
    </w:p>
  </w:endnote>
  <w:endnote w:type="continuationNotice" w:id="1">
    <w:p w14:paraId="68F217CE" w14:textId="77777777" w:rsidR="00236227" w:rsidRDefault="0023622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45A333" w14:textId="77777777" w:rsidR="006062C2" w:rsidRDefault="006062C2">
    <w:pPr>
      <w:pStyle w:val="Zpat"/>
      <w:rPr>
        <w:rFonts w:asciiTheme="majorHAnsi" w:hAnsiTheme="majorHAnsi"/>
      </w:rPr>
    </w:pPr>
  </w:p>
  <w:p w14:paraId="63929538" w14:textId="77777777" w:rsidR="006062C2" w:rsidRDefault="006062C2">
    <w:pPr>
      <w:pStyle w:val="Zpat"/>
      <w:rPr>
        <w:rFonts w:asciiTheme="majorHAnsi" w:hAnsiTheme="majorHAnsi"/>
      </w:rPr>
    </w:pPr>
  </w:p>
  <w:tbl>
    <w:tblPr>
      <w:tblW w:w="914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142"/>
    </w:tblGrid>
    <w:tr w:rsidR="006062C2" w:rsidRPr="00E47FC1" w14:paraId="2F0DE696" w14:textId="77777777" w:rsidTr="006062C2">
      <w:trPr>
        <w:cantSplit/>
        <w:trHeight w:val="349"/>
      </w:trPr>
      <w:tc>
        <w:tcPr>
          <w:tcW w:w="174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973804E" w14:textId="075CEB43" w:rsidR="006062C2" w:rsidRPr="00E47FC1" w:rsidRDefault="006062C2" w:rsidP="000A0EE1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292D8A">
            <w:rPr>
              <w:rStyle w:val="slostrnky"/>
              <w:rFonts w:ascii="Arial" w:hAnsi="Arial" w:cs="Arial"/>
              <w:noProof/>
              <w:sz w:val="20"/>
            </w:rPr>
            <w:t>2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292D8A">
            <w:rPr>
              <w:rStyle w:val="slostrnky"/>
              <w:rFonts w:ascii="Arial" w:hAnsi="Arial" w:cs="Arial"/>
              <w:noProof/>
              <w:sz w:val="20"/>
            </w:rPr>
            <w:t>3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14:paraId="4353CF73" w14:textId="77777777" w:rsidR="00236227" w:rsidRPr="00764C07" w:rsidRDefault="00236227" w:rsidP="006062C2">
    <w:pPr>
      <w:pStyle w:val="Zpat"/>
      <w:rPr>
        <w:rFonts w:asciiTheme="majorHAnsi" w:hAnsiTheme="majorHAnsi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4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142"/>
    </w:tblGrid>
    <w:tr w:rsidR="006062C2" w:rsidRPr="00E47FC1" w14:paraId="74104988" w14:textId="77777777" w:rsidTr="006062C2">
      <w:trPr>
        <w:cantSplit/>
        <w:trHeight w:val="349"/>
      </w:trPr>
      <w:tc>
        <w:tcPr>
          <w:tcW w:w="174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EAC539B" w14:textId="72DE5C5E" w:rsidR="006062C2" w:rsidRPr="006062C2" w:rsidRDefault="006062C2" w:rsidP="000A0EE1">
          <w:pPr>
            <w:pStyle w:val="Zpat"/>
            <w:jc w:val="right"/>
            <w:rPr>
              <w:rFonts w:asciiTheme="majorHAnsi" w:hAnsiTheme="majorHAnsi" w:cs="Arial"/>
              <w:sz w:val="20"/>
            </w:rPr>
          </w:pPr>
          <w:r w:rsidRPr="006062C2">
            <w:rPr>
              <w:rFonts w:asciiTheme="majorHAnsi" w:hAnsiTheme="majorHAnsi" w:cs="Arial"/>
              <w:sz w:val="20"/>
            </w:rPr>
            <w:t xml:space="preserve">Strana </w:t>
          </w:r>
          <w:r w:rsidRPr="006062C2">
            <w:rPr>
              <w:rStyle w:val="slostrnky"/>
              <w:rFonts w:asciiTheme="majorHAnsi" w:hAnsiTheme="majorHAnsi" w:cs="Arial"/>
              <w:sz w:val="20"/>
            </w:rPr>
            <w:fldChar w:fldCharType="begin"/>
          </w:r>
          <w:r w:rsidRPr="006062C2">
            <w:rPr>
              <w:rStyle w:val="slostrnky"/>
              <w:rFonts w:asciiTheme="majorHAnsi" w:hAnsiTheme="majorHAnsi" w:cs="Arial"/>
              <w:sz w:val="20"/>
            </w:rPr>
            <w:instrText xml:space="preserve"> PAGE </w:instrText>
          </w:r>
          <w:r w:rsidRPr="006062C2">
            <w:rPr>
              <w:rStyle w:val="slostrnky"/>
              <w:rFonts w:asciiTheme="majorHAnsi" w:hAnsiTheme="majorHAnsi" w:cs="Arial"/>
              <w:sz w:val="20"/>
            </w:rPr>
            <w:fldChar w:fldCharType="separate"/>
          </w:r>
          <w:r w:rsidR="00292D8A">
            <w:rPr>
              <w:rStyle w:val="slostrnky"/>
              <w:rFonts w:asciiTheme="majorHAnsi" w:hAnsiTheme="majorHAnsi" w:cs="Arial"/>
              <w:noProof/>
              <w:sz w:val="20"/>
            </w:rPr>
            <w:t>1</w:t>
          </w:r>
          <w:r w:rsidRPr="006062C2">
            <w:rPr>
              <w:rStyle w:val="slostrnky"/>
              <w:rFonts w:asciiTheme="majorHAnsi" w:hAnsiTheme="majorHAnsi" w:cs="Arial"/>
              <w:sz w:val="20"/>
            </w:rPr>
            <w:fldChar w:fldCharType="end"/>
          </w:r>
          <w:r w:rsidRPr="006062C2">
            <w:rPr>
              <w:rStyle w:val="slostrnky"/>
              <w:rFonts w:asciiTheme="majorHAnsi" w:hAnsiTheme="majorHAnsi" w:cs="Arial"/>
              <w:sz w:val="20"/>
            </w:rPr>
            <w:t xml:space="preserve"> z </w:t>
          </w:r>
          <w:r w:rsidRPr="006062C2">
            <w:rPr>
              <w:rStyle w:val="slostrnky"/>
              <w:rFonts w:asciiTheme="majorHAnsi" w:hAnsiTheme="majorHAnsi" w:cs="Arial"/>
              <w:sz w:val="20"/>
            </w:rPr>
            <w:fldChar w:fldCharType="begin"/>
          </w:r>
          <w:r w:rsidRPr="006062C2">
            <w:rPr>
              <w:rStyle w:val="slostrnky"/>
              <w:rFonts w:asciiTheme="majorHAnsi" w:hAnsiTheme="majorHAnsi" w:cs="Arial"/>
              <w:sz w:val="20"/>
            </w:rPr>
            <w:instrText xml:space="preserve"> NUMPAGES </w:instrText>
          </w:r>
          <w:r w:rsidRPr="006062C2">
            <w:rPr>
              <w:rStyle w:val="slostrnky"/>
              <w:rFonts w:asciiTheme="majorHAnsi" w:hAnsiTheme="majorHAnsi" w:cs="Arial"/>
              <w:sz w:val="20"/>
            </w:rPr>
            <w:fldChar w:fldCharType="separate"/>
          </w:r>
          <w:r w:rsidR="00292D8A">
            <w:rPr>
              <w:rStyle w:val="slostrnky"/>
              <w:rFonts w:asciiTheme="majorHAnsi" w:hAnsiTheme="majorHAnsi" w:cs="Arial"/>
              <w:noProof/>
              <w:sz w:val="20"/>
            </w:rPr>
            <w:t>3</w:t>
          </w:r>
          <w:r w:rsidRPr="006062C2">
            <w:rPr>
              <w:rStyle w:val="slostrnky"/>
              <w:rFonts w:asciiTheme="majorHAnsi" w:hAnsiTheme="majorHAnsi" w:cs="Arial"/>
              <w:sz w:val="20"/>
            </w:rPr>
            <w:fldChar w:fldCharType="end"/>
          </w:r>
        </w:p>
      </w:tc>
    </w:tr>
  </w:tbl>
  <w:p w14:paraId="2FE1D9A6" w14:textId="77777777" w:rsidR="006062C2" w:rsidRDefault="006062C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F6BAA2" w14:textId="77777777" w:rsidR="00236227" w:rsidRDefault="00236227" w:rsidP="005C1894">
      <w:pPr>
        <w:spacing w:after="0" w:line="240" w:lineRule="auto"/>
      </w:pPr>
      <w:r>
        <w:separator/>
      </w:r>
    </w:p>
  </w:footnote>
  <w:footnote w:type="continuationSeparator" w:id="0">
    <w:p w14:paraId="0C827817" w14:textId="77777777" w:rsidR="00236227" w:rsidRDefault="00236227" w:rsidP="005C1894">
      <w:pPr>
        <w:spacing w:after="0" w:line="240" w:lineRule="auto"/>
      </w:pPr>
      <w:r>
        <w:continuationSeparator/>
      </w:r>
    </w:p>
  </w:footnote>
  <w:footnote w:type="continuationNotice" w:id="1">
    <w:p w14:paraId="049E6E63" w14:textId="77777777" w:rsidR="00236227" w:rsidRDefault="0023622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E8A8AE" w14:textId="77777777" w:rsidR="00014DAD" w:rsidRDefault="00014DAD">
    <w:pPr>
      <w:pStyle w:val="Zhlav"/>
    </w:pPr>
    <w:r>
      <w:rPr>
        <w:noProof/>
        <w:lang w:eastAsia="cs-CZ"/>
      </w:rPr>
      <w:drawing>
        <wp:inline distT="0" distB="0" distL="0" distR="0" wp14:anchorId="464F3D5A" wp14:editId="68F16DA0">
          <wp:extent cx="4704203" cy="777985"/>
          <wp:effectExtent l="0" t="0" r="1270" b="3175"/>
          <wp:docPr id="1" name="Obrázek 1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30334" cy="7823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E4C62B" w14:textId="77777777" w:rsidR="00A7480F" w:rsidRDefault="00A7480F" w:rsidP="00A7480F">
    <w:pPr>
      <w:pStyle w:val="Zhlav"/>
      <w:jc w:val="center"/>
    </w:pPr>
    <w:r>
      <w:rPr>
        <w:noProof/>
        <w:lang w:eastAsia="cs-CZ"/>
      </w:rPr>
      <w:drawing>
        <wp:inline distT="0" distB="0" distL="0" distR="0" wp14:anchorId="11077B5A" wp14:editId="6713F892">
          <wp:extent cx="4704203" cy="777985"/>
          <wp:effectExtent l="0" t="0" r="1270" b="3175"/>
          <wp:docPr id="2" name="Obrázek 2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30334" cy="7823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FF33CF"/>
    <w:multiLevelType w:val="hybridMultilevel"/>
    <w:tmpl w:val="A970BB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406C09"/>
    <w:multiLevelType w:val="hybridMultilevel"/>
    <w:tmpl w:val="BC68509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1932EF"/>
    <w:multiLevelType w:val="hybridMultilevel"/>
    <w:tmpl w:val="6668268C"/>
    <w:lvl w:ilvl="0" w:tplc="94922BAA">
      <w:start w:val="1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5F459E"/>
    <w:multiLevelType w:val="hybridMultilevel"/>
    <w:tmpl w:val="9E769BB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0035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1894"/>
    <w:rsid w:val="00006976"/>
    <w:rsid w:val="00014645"/>
    <w:rsid w:val="00014DAD"/>
    <w:rsid w:val="00016E7F"/>
    <w:rsid w:val="00027C17"/>
    <w:rsid w:val="00045A3C"/>
    <w:rsid w:val="00056129"/>
    <w:rsid w:val="00061DC0"/>
    <w:rsid w:val="0006503E"/>
    <w:rsid w:val="0007415E"/>
    <w:rsid w:val="00084BC2"/>
    <w:rsid w:val="00087DAF"/>
    <w:rsid w:val="000904DB"/>
    <w:rsid w:val="00095C0D"/>
    <w:rsid w:val="000A6380"/>
    <w:rsid w:val="000B5362"/>
    <w:rsid w:val="000D284C"/>
    <w:rsid w:val="000F31FC"/>
    <w:rsid w:val="000F475D"/>
    <w:rsid w:val="00103C29"/>
    <w:rsid w:val="00123D75"/>
    <w:rsid w:val="0012505D"/>
    <w:rsid w:val="00133A01"/>
    <w:rsid w:val="00136500"/>
    <w:rsid w:val="00167774"/>
    <w:rsid w:val="00172EC3"/>
    <w:rsid w:val="00197370"/>
    <w:rsid w:val="001B4F13"/>
    <w:rsid w:val="001C365B"/>
    <w:rsid w:val="001C5BA9"/>
    <w:rsid w:val="001C711D"/>
    <w:rsid w:val="001E5C03"/>
    <w:rsid w:val="00203B3E"/>
    <w:rsid w:val="002162C5"/>
    <w:rsid w:val="00232B24"/>
    <w:rsid w:val="00236227"/>
    <w:rsid w:val="00240ED6"/>
    <w:rsid w:val="00292D8A"/>
    <w:rsid w:val="0029369E"/>
    <w:rsid w:val="002953DF"/>
    <w:rsid w:val="002A460B"/>
    <w:rsid w:val="002E07F9"/>
    <w:rsid w:val="002E5F57"/>
    <w:rsid w:val="00321B42"/>
    <w:rsid w:val="0033187C"/>
    <w:rsid w:val="003355CF"/>
    <w:rsid w:val="00345812"/>
    <w:rsid w:val="003565C2"/>
    <w:rsid w:val="00366D27"/>
    <w:rsid w:val="00384E53"/>
    <w:rsid w:val="00390BBC"/>
    <w:rsid w:val="00390F89"/>
    <w:rsid w:val="003A2CB5"/>
    <w:rsid w:val="003E1C7E"/>
    <w:rsid w:val="003E513E"/>
    <w:rsid w:val="003F0AC4"/>
    <w:rsid w:val="003F23B8"/>
    <w:rsid w:val="0043081F"/>
    <w:rsid w:val="00442CE6"/>
    <w:rsid w:val="00443192"/>
    <w:rsid w:val="004461D2"/>
    <w:rsid w:val="004559AF"/>
    <w:rsid w:val="004713B1"/>
    <w:rsid w:val="00482B96"/>
    <w:rsid w:val="004906D8"/>
    <w:rsid w:val="00490AA7"/>
    <w:rsid w:val="00491DA0"/>
    <w:rsid w:val="004D73B5"/>
    <w:rsid w:val="004E7454"/>
    <w:rsid w:val="0051003C"/>
    <w:rsid w:val="0055761B"/>
    <w:rsid w:val="005A6B58"/>
    <w:rsid w:val="005C1894"/>
    <w:rsid w:val="005D310F"/>
    <w:rsid w:val="005E1B54"/>
    <w:rsid w:val="005F2C60"/>
    <w:rsid w:val="006062C2"/>
    <w:rsid w:val="00637ED1"/>
    <w:rsid w:val="00684750"/>
    <w:rsid w:val="00685514"/>
    <w:rsid w:val="006C6638"/>
    <w:rsid w:val="006E0632"/>
    <w:rsid w:val="006E7DEC"/>
    <w:rsid w:val="006F6492"/>
    <w:rsid w:val="007128AD"/>
    <w:rsid w:val="00741028"/>
    <w:rsid w:val="007430C6"/>
    <w:rsid w:val="00750FE5"/>
    <w:rsid w:val="00752773"/>
    <w:rsid w:val="00764C07"/>
    <w:rsid w:val="00795CC9"/>
    <w:rsid w:val="0079715E"/>
    <w:rsid w:val="007A16BC"/>
    <w:rsid w:val="007A7C19"/>
    <w:rsid w:val="007B7365"/>
    <w:rsid w:val="007E1640"/>
    <w:rsid w:val="00804E64"/>
    <w:rsid w:val="00805896"/>
    <w:rsid w:val="00833F8B"/>
    <w:rsid w:val="00886183"/>
    <w:rsid w:val="008976B0"/>
    <w:rsid w:val="008D3211"/>
    <w:rsid w:val="008D3D13"/>
    <w:rsid w:val="008E13DC"/>
    <w:rsid w:val="00910C9C"/>
    <w:rsid w:val="00924A76"/>
    <w:rsid w:val="00930DB5"/>
    <w:rsid w:val="009324AA"/>
    <w:rsid w:val="0093722A"/>
    <w:rsid w:val="00953CB8"/>
    <w:rsid w:val="009559EF"/>
    <w:rsid w:val="00976900"/>
    <w:rsid w:val="009B2415"/>
    <w:rsid w:val="009B7EDF"/>
    <w:rsid w:val="00A13D35"/>
    <w:rsid w:val="00A70034"/>
    <w:rsid w:val="00A7480F"/>
    <w:rsid w:val="00AE2855"/>
    <w:rsid w:val="00B133AF"/>
    <w:rsid w:val="00B318C5"/>
    <w:rsid w:val="00B635B4"/>
    <w:rsid w:val="00B63ECA"/>
    <w:rsid w:val="00B77B82"/>
    <w:rsid w:val="00B866B9"/>
    <w:rsid w:val="00B92AFD"/>
    <w:rsid w:val="00BB0589"/>
    <w:rsid w:val="00BB461A"/>
    <w:rsid w:val="00BC60E4"/>
    <w:rsid w:val="00BE070A"/>
    <w:rsid w:val="00C2107B"/>
    <w:rsid w:val="00C339E2"/>
    <w:rsid w:val="00C4473E"/>
    <w:rsid w:val="00C536DF"/>
    <w:rsid w:val="00C55396"/>
    <w:rsid w:val="00C76752"/>
    <w:rsid w:val="00C91249"/>
    <w:rsid w:val="00C9435C"/>
    <w:rsid w:val="00CA6959"/>
    <w:rsid w:val="00CC3D11"/>
    <w:rsid w:val="00D041BE"/>
    <w:rsid w:val="00D06B0E"/>
    <w:rsid w:val="00D1064D"/>
    <w:rsid w:val="00D349E2"/>
    <w:rsid w:val="00D8218D"/>
    <w:rsid w:val="00DA145D"/>
    <w:rsid w:val="00DB15D7"/>
    <w:rsid w:val="00DC3476"/>
    <w:rsid w:val="00DC640B"/>
    <w:rsid w:val="00DD4789"/>
    <w:rsid w:val="00DD6BFF"/>
    <w:rsid w:val="00DF1E19"/>
    <w:rsid w:val="00E03D76"/>
    <w:rsid w:val="00E21537"/>
    <w:rsid w:val="00E43E2E"/>
    <w:rsid w:val="00E47450"/>
    <w:rsid w:val="00E52825"/>
    <w:rsid w:val="00E52ED5"/>
    <w:rsid w:val="00E84086"/>
    <w:rsid w:val="00E84EC5"/>
    <w:rsid w:val="00EB6FFA"/>
    <w:rsid w:val="00EC61DC"/>
    <w:rsid w:val="00EE1570"/>
    <w:rsid w:val="00EE4024"/>
    <w:rsid w:val="00F12AD7"/>
    <w:rsid w:val="00F42108"/>
    <w:rsid w:val="00F56B3B"/>
    <w:rsid w:val="00F64DB5"/>
    <w:rsid w:val="00F8428E"/>
    <w:rsid w:val="00F9477B"/>
    <w:rsid w:val="00FB32A1"/>
    <w:rsid w:val="00FB3AF5"/>
    <w:rsid w:val="00FB40F1"/>
    <w:rsid w:val="00FD2F96"/>
    <w:rsid w:val="00FE0EDF"/>
    <w:rsid w:val="00FE49ED"/>
    <w:rsid w:val="00FF7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3"/>
    <o:shapelayout v:ext="edit">
      <o:idmap v:ext="edit" data="1"/>
    </o:shapelayout>
  </w:shapeDefaults>
  <w:decimalSymbol w:val=","/>
  <w:listSeparator w:val=";"/>
  <w14:docId w14:val="55447B5B"/>
  <w15:docId w15:val="{7C3DE0F0-72C5-4464-B7D6-1EA6AC69F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5C18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C1894"/>
  </w:style>
  <w:style w:type="paragraph" w:styleId="Zpat">
    <w:name w:val="footer"/>
    <w:basedOn w:val="Normln"/>
    <w:link w:val="ZpatChar"/>
    <w:uiPriority w:val="99"/>
    <w:unhideWhenUsed/>
    <w:rsid w:val="005C18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C1894"/>
  </w:style>
  <w:style w:type="paragraph" w:styleId="Textbubliny">
    <w:name w:val="Balloon Text"/>
    <w:basedOn w:val="Normln"/>
    <w:link w:val="TextbublinyChar"/>
    <w:uiPriority w:val="99"/>
    <w:semiHidden/>
    <w:unhideWhenUsed/>
    <w:rsid w:val="005C18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1894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0F475D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D041B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041B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041B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041B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041BE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D349E2"/>
    <w:pPr>
      <w:spacing w:after="0" w:line="240" w:lineRule="auto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E1570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E1570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EE1570"/>
    <w:rPr>
      <w:vertAlign w:val="superscript"/>
    </w:rPr>
  </w:style>
  <w:style w:type="paragraph" w:customStyle="1" w:styleId="Default">
    <w:name w:val="Default"/>
    <w:rsid w:val="00A7480F"/>
    <w:pPr>
      <w:autoSpaceDE w:val="0"/>
      <w:autoSpaceDN w:val="0"/>
      <w:adjustRightInd w:val="0"/>
      <w:spacing w:after="0" w:line="240" w:lineRule="auto"/>
    </w:pPr>
    <w:rPr>
      <w:rFonts w:ascii="Times New Roman" w:eastAsiaTheme="majorEastAsia" w:hAnsi="Times New Roman" w:cs="Times New Roman"/>
      <w:color w:val="000000"/>
      <w:sz w:val="24"/>
      <w:szCs w:val="24"/>
    </w:rPr>
  </w:style>
  <w:style w:type="paragraph" w:customStyle="1" w:styleId="Zkladnodstavec">
    <w:name w:val="[Základní odstavec]"/>
    <w:basedOn w:val="Normln"/>
    <w:uiPriority w:val="99"/>
    <w:rsid w:val="00A7480F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character" w:styleId="slostrnky">
    <w:name w:val="page number"/>
    <w:basedOn w:val="Standardnpsmoodstavce"/>
    <w:uiPriority w:val="99"/>
    <w:rsid w:val="006062C2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526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CA8537-42C2-4706-BFC4-A0DBC70533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785</Words>
  <Characters>4634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Korcianova</dc:creator>
  <cp:lastModifiedBy>uživatel</cp:lastModifiedBy>
  <cp:revision>4</cp:revision>
  <cp:lastPrinted>2015-12-04T11:21:00Z</cp:lastPrinted>
  <dcterms:created xsi:type="dcterms:W3CDTF">2018-01-12T06:58:00Z</dcterms:created>
  <dcterms:modified xsi:type="dcterms:W3CDTF">2018-01-13T18:01:00Z</dcterms:modified>
</cp:coreProperties>
</file>