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05493">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17415" w:rsidRPr="007945C7">
        <w:rPr>
          <w:rFonts w:asciiTheme="majorHAnsi" w:hAnsiTheme="majorHAnsi" w:cs="MyriadPro-Black"/>
          <w:caps/>
          <w:sz w:val="40"/>
          <w:szCs w:val="40"/>
        </w:rPr>
        <w:t>8</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48690E">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F05493">
        <w:rPr>
          <w:rFonts w:asciiTheme="majorHAnsi" w:eastAsia="MS Mincho" w:hAnsiTheme="majorHAnsi" w:cs="MyriadPro-Black"/>
          <w:caps/>
          <w:color w:val="000000"/>
          <w:sz w:val="32"/>
          <w:szCs w:val="40"/>
          <w:lang w:eastAsia="ja-JP"/>
        </w:rPr>
        <w:t>12. 1. 2018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5E0B1B">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2866CE">
        <w:tc>
          <w:tcPr>
            <w:tcW w:w="817" w:type="dxa"/>
          </w:tcPr>
          <w:p w:rsidR="005406A8" w:rsidRPr="00D920CA" w:rsidRDefault="005406A8" w:rsidP="00AF3B54">
            <w:pPr>
              <w:spacing w:after="120"/>
              <w:rPr>
                <w:b/>
              </w:rPr>
            </w:pPr>
          </w:p>
        </w:tc>
        <w:tc>
          <w:tcPr>
            <w:tcW w:w="3827" w:type="dxa"/>
            <w:vAlign w:val="center"/>
          </w:tcPr>
          <w:p w:rsidR="005406A8" w:rsidRPr="00811919" w:rsidRDefault="005406A8" w:rsidP="00462133">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vAlign w:val="center"/>
          </w:tcPr>
          <w:p w:rsidR="005406A8" w:rsidRPr="00811919" w:rsidRDefault="00462133" w:rsidP="00462133">
            <w:pPr>
              <w:spacing w:after="120"/>
              <w:rPr>
                <w:rFonts w:asciiTheme="minorHAnsi" w:hAnsiTheme="minorHAnsi"/>
                <w:b/>
                <w:sz w:val="22"/>
                <w:szCs w:val="22"/>
              </w:rPr>
            </w:pPr>
            <w:r>
              <w:rPr>
                <w:rFonts w:asciiTheme="minorHAnsi" w:hAnsiTheme="minorHAnsi" w:cstheme="minorHAnsi"/>
                <w:b/>
                <w:sz w:val="22"/>
                <w:szCs w:val="22"/>
                <w:lang w:eastAsia="ar-SA"/>
              </w:rPr>
              <w:t>Opatření k </w:t>
            </w:r>
            <w:r w:rsidR="005406A8">
              <w:rPr>
                <w:rFonts w:asciiTheme="minorHAnsi" w:hAnsiTheme="minorHAnsi" w:cstheme="minorHAnsi"/>
                <w:b/>
                <w:sz w:val="22"/>
                <w:szCs w:val="22"/>
                <w:lang w:eastAsia="ar-SA"/>
              </w:rPr>
              <w:t>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2866C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74346B"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5242E">
              <w:rPr>
                <w:rFonts w:asciiTheme="minorHAnsi" w:hAnsiTheme="minorHAnsi" w:cstheme="minorHAnsi"/>
                <w:snapToGrid w:val="0"/>
                <w:sz w:val="22"/>
                <w:szCs w:val="22"/>
              </w:rPr>
              <w:t xml:space="preserve">do 30. </w:t>
            </w:r>
            <w:r w:rsidR="0030216A">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w:t>
            </w:r>
            <w:r>
              <w:rPr>
                <w:rFonts w:asciiTheme="minorHAnsi" w:hAnsiTheme="minorHAnsi" w:cstheme="minorHAnsi"/>
                <w:snapToGrid w:val="0"/>
                <w:sz w:val="22"/>
                <w:szCs w:val="22"/>
              </w:rPr>
              <w:lastRenderedPageBreak/>
              <w:t xml:space="preserve">jen </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w:t>
            </w:r>
            <w:r w:rsidR="0030216A">
              <w:rPr>
                <w:rFonts w:asciiTheme="minorHAnsi" w:hAnsiTheme="minorHAnsi" w:cstheme="minorHAnsi"/>
                <w:snapToGrid w:val="0"/>
                <w:sz w:val="22"/>
                <w:szCs w:val="22"/>
              </w:rPr>
              <w:t xml:space="preserve">, nebo zákonem č. 134/2016 Sb., o </w:t>
            </w:r>
            <w:r w:rsidR="00E5242E">
              <w:rPr>
                <w:rFonts w:asciiTheme="minorHAnsi" w:hAnsiTheme="minorHAnsi" w:cstheme="minorHAnsi"/>
                <w:snapToGrid w:val="0"/>
                <w:sz w:val="22"/>
                <w:szCs w:val="22"/>
              </w:rPr>
              <w:t xml:space="preserve">zadávání veřejných zakázek (od </w:t>
            </w:r>
            <w:r w:rsidR="0030216A">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0216A">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5E0B1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6D2022">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30216A">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74346B">
              <w:rPr>
                <w:rFonts w:asciiTheme="minorHAnsi" w:hAnsiTheme="minorHAnsi"/>
                <w:snapToGrid w:val="0"/>
                <w:sz w:val="22"/>
                <w:szCs w:val="22"/>
              </w:rPr>
              <w:t>19 </w:t>
            </w:r>
            <w:r>
              <w:rPr>
                <w:rFonts w:asciiTheme="minorHAnsi" w:hAnsiTheme="minorHAnsi"/>
                <w:snapToGrid w:val="0"/>
                <w:sz w:val="22"/>
                <w:szCs w:val="22"/>
              </w:rPr>
              <w:t xml:space="preserve">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2866C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která je součástí O</w:t>
            </w:r>
            <w:r w:rsidR="002866CE">
              <w:rPr>
                <w:rFonts w:asciiTheme="minorHAnsi" w:hAnsiTheme="minorHAnsi"/>
                <w:snapToGrid w:val="0"/>
                <w:sz w:val="22"/>
                <w:szCs w:val="22"/>
              </w:rPr>
              <w:t xml:space="preserve">becných </w:t>
            </w:r>
            <w:r w:rsidR="006D2022">
              <w:rPr>
                <w:rFonts w:asciiTheme="minorHAnsi" w:hAnsiTheme="minorHAnsi"/>
                <w:snapToGrid w:val="0"/>
                <w:sz w:val="22"/>
                <w:szCs w:val="22"/>
              </w:rPr>
              <w:t>p</w:t>
            </w:r>
            <w:r w:rsidR="002866C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2866C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5E0B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0216A">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2866C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0773DE">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2866C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2866CE">
        <w:trPr>
          <w:trHeight w:val="1408"/>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5E6185">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866C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Pr="00FE6F34"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573CB0">
              <w:rPr>
                <w:rFonts w:asciiTheme="minorHAnsi" w:hAnsiTheme="minorHAnsi"/>
                <w:snapToGrid w:val="0"/>
                <w:sz w:val="22"/>
                <w:szCs w:val="22"/>
              </w:rPr>
              <w:t>1 </w:t>
            </w:r>
            <w:r w:rsidRPr="00B821CC">
              <w:rPr>
                <w:rFonts w:asciiTheme="minorHAnsi" w:hAnsiTheme="minorHAnsi"/>
                <w:snapToGrid w:val="0"/>
                <w:sz w:val="22"/>
                <w:szCs w:val="22"/>
              </w:rPr>
              <w:t xml:space="preserve">% </w:t>
            </w:r>
            <w:r w:rsidR="0074346B">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2866C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866C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2866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74346B">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002866CE">
              <w:rPr>
                <w:rFonts w:asciiTheme="minorHAnsi" w:hAnsiTheme="minorHAnsi"/>
                <w:snapToGrid w:val="0"/>
                <w:sz w:val="22"/>
                <w:szCs w:val="22"/>
              </w:rPr>
              <w:t>0,2 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0773DE">
        <w:trPr>
          <w:trHeight w:val="182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D0E35">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0D0E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0D0E3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0D0E3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D0E35">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BA3E6E" w:rsidRDefault="00BA3E6E" w:rsidP="00BA3E6E">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BA3E6E" w:rsidRPr="00AF7352" w:rsidRDefault="00BA3E6E" w:rsidP="00BA3E6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BA3E6E" w:rsidRPr="00AF7352" w:rsidRDefault="00BA3E6E" w:rsidP="00BA3E6E">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BA3E6E"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7945C7"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7945C7">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2866C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573CB0">
        <w:trPr>
          <w:trHeight w:val="41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lastRenderedPageBreak/>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2"/>
              </w:numPr>
              <w:ind w:left="512" w:hanging="284"/>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462133" w:rsidRDefault="008B3BEA" w:rsidP="005844FD">
            <w:pPr>
              <w:pStyle w:val="Odstavecseseznamem"/>
              <w:numPr>
                <w:ilvl w:val="0"/>
                <w:numId w:val="32"/>
              </w:numPr>
              <w:ind w:left="512" w:hanging="284"/>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F05493">
            <w:pPr>
              <w:spacing w:before="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DF7A60" w:rsidRDefault="00DF7A60" w:rsidP="00DF7A6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8B3BEA">
              <w:rPr>
                <w:rFonts w:asciiTheme="minorHAnsi" w:hAnsiTheme="minorHAnsi"/>
                <w:snapToGrid w:val="0"/>
                <w:sz w:val="22"/>
                <w:szCs w:val="22"/>
              </w:rPr>
              <w:t xml:space="preserve">peněžní </w:t>
            </w:r>
            <w:r w:rsidR="008B3BEA">
              <w:rPr>
                <w:rFonts w:asciiTheme="minorHAnsi" w:hAnsiTheme="minorHAnsi"/>
                <w:snapToGrid w:val="0"/>
                <w:sz w:val="22"/>
                <w:szCs w:val="22"/>
              </w:rPr>
              <w:lastRenderedPageBreak/>
              <w:t>prostředky</w:t>
            </w:r>
            <w:r w:rsidR="008B3BEA" w:rsidRPr="00811919">
              <w:rPr>
                <w:rFonts w:asciiTheme="minorHAnsi" w:hAnsiTheme="minorHAnsi"/>
                <w:snapToGrid w:val="0"/>
                <w:sz w:val="22"/>
                <w:szCs w:val="22"/>
              </w:rPr>
              <w:t xml:space="preserve"> </w:t>
            </w:r>
            <w:r w:rsidRPr="00811919">
              <w:rPr>
                <w:rFonts w:asciiTheme="minorHAnsi" w:hAnsiTheme="minorHAnsi"/>
                <w:snapToGrid w:val="0"/>
                <w:sz w:val="22"/>
                <w:szCs w:val="22"/>
              </w:rPr>
              <w:t>nebud</w:t>
            </w:r>
            <w:r w:rsidR="008B3BEA">
              <w:rPr>
                <w:rFonts w:asciiTheme="minorHAnsi" w:hAnsiTheme="minorHAnsi"/>
                <w:snapToGrid w:val="0"/>
                <w:sz w:val="22"/>
                <w:szCs w:val="22"/>
              </w:rPr>
              <w:t>ou</w:t>
            </w:r>
            <w:r w:rsidRPr="00811919">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DF7A60" w:rsidRDefault="00DF7A60" w:rsidP="00DF7A60">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p>
          <w:p w:rsidR="00DF7A60" w:rsidRDefault="00DF7A60" w:rsidP="00DF7A60">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DF7A60" w:rsidRDefault="008B3BEA" w:rsidP="00DF7A60">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DF7A60">
              <w:rPr>
                <w:rFonts w:asciiTheme="minorHAnsi" w:hAnsiTheme="minorHAnsi"/>
                <w:snapToGrid w:val="0"/>
                <w:sz w:val="22"/>
                <w:szCs w:val="22"/>
              </w:rPr>
              <w:t>V. v rozmezí 90 % - 110</w:t>
            </w:r>
            <w:r>
              <w:rPr>
                <w:rFonts w:asciiTheme="minorHAnsi" w:hAnsiTheme="minorHAnsi"/>
                <w:snapToGrid w:val="0"/>
                <w:sz w:val="22"/>
                <w:szCs w:val="22"/>
              </w:rPr>
              <w:t> </w:t>
            </w:r>
            <w:r w:rsidR="00DF7A60">
              <w:rPr>
                <w:rFonts w:asciiTheme="minorHAnsi" w:hAnsiTheme="minorHAnsi"/>
                <w:snapToGrid w:val="0"/>
                <w:sz w:val="22"/>
                <w:szCs w:val="22"/>
              </w:rPr>
              <w:t>%</w:t>
            </w:r>
          </w:p>
          <w:p w:rsidR="00AF3B54" w:rsidRDefault="00DF7A60" w:rsidP="00E43CE0">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w:t>
            </w:r>
            <w:r w:rsidR="008B3BEA">
              <w:rPr>
                <w:rFonts w:asciiTheme="minorHAnsi" w:hAnsiTheme="minorHAnsi"/>
                <w:snapToGrid w:val="0"/>
                <w:sz w:val="22"/>
                <w:szCs w:val="22"/>
              </w:rPr>
              <w:t>ou</w:t>
            </w:r>
            <w:r>
              <w:rPr>
                <w:rFonts w:asciiTheme="minorHAnsi" w:hAnsiTheme="minorHAnsi"/>
                <w:snapToGrid w:val="0"/>
                <w:sz w:val="22"/>
                <w:szCs w:val="22"/>
              </w:rPr>
              <w:t xml:space="preserve"> </w:t>
            </w:r>
            <w:r w:rsidR="008B3BEA">
              <w:rPr>
                <w:rFonts w:asciiTheme="minorHAnsi" w:hAnsiTheme="minorHAnsi"/>
                <w:snapToGrid w:val="0"/>
                <w:sz w:val="22"/>
                <w:szCs w:val="22"/>
              </w:rPr>
              <w:t>peněžní prostředky</w:t>
            </w:r>
            <w:r>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8B3BEA" w:rsidRPr="00725B14" w:rsidRDefault="008B3BEA" w:rsidP="0044092F">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nebudou peněžní prostředky vyplaceny.</w:t>
            </w:r>
          </w:p>
        </w:tc>
      </w:tr>
      <w:tr w:rsidR="00417415" w:rsidTr="000773DE">
        <w:trPr>
          <w:trHeight w:val="1119"/>
        </w:trPr>
        <w:tc>
          <w:tcPr>
            <w:tcW w:w="817" w:type="dxa"/>
          </w:tcPr>
          <w:p w:rsidR="00417415" w:rsidRDefault="00417415" w:rsidP="00AF3B54">
            <w:pPr>
              <w:spacing w:after="120"/>
              <w:jc w:val="both"/>
              <w:rPr>
                <w:rFonts w:asciiTheme="minorHAnsi" w:hAnsiTheme="minorHAnsi"/>
                <w:sz w:val="22"/>
                <w:szCs w:val="22"/>
              </w:rPr>
            </w:pPr>
            <w:r>
              <w:rPr>
                <w:rFonts w:asciiTheme="minorHAnsi" w:hAnsiTheme="minorHAnsi"/>
                <w:sz w:val="22"/>
                <w:szCs w:val="22"/>
              </w:rPr>
              <w:lastRenderedPageBreak/>
              <w:t>9.</w:t>
            </w:r>
          </w:p>
        </w:tc>
        <w:tc>
          <w:tcPr>
            <w:tcW w:w="3827" w:type="dxa"/>
          </w:tcPr>
          <w:p w:rsidR="00417415" w:rsidRPr="00811919" w:rsidRDefault="0041741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17415" w:rsidRDefault="0041741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17415" w:rsidRPr="009E574D" w:rsidRDefault="00417415" w:rsidP="005844FD">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563"/>
        </w:trPr>
        <w:tc>
          <w:tcPr>
            <w:tcW w:w="817" w:type="dxa"/>
          </w:tcPr>
          <w:p w:rsidR="00E63F7F" w:rsidRDefault="0041741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8E0FFA" w:rsidRPr="0002383F">
              <w:rPr>
                <w:rFonts w:asciiTheme="minorHAnsi" w:hAnsiTheme="minorHAnsi" w:cs="Arial"/>
                <w:snapToGrid w:val="0"/>
                <w:sz w:val="22"/>
                <w:szCs w:val="22"/>
              </w:rPr>
              <w:t>tj. po</w:t>
            </w:r>
            <w:r w:rsidR="008E0FFA" w:rsidRPr="003B34B0">
              <w:rPr>
                <w:rFonts w:asciiTheme="minorHAnsi" w:hAnsiTheme="minorHAnsi" w:cs="Arial"/>
                <w:snapToGrid w:val="0"/>
                <w:sz w:val="22"/>
                <w:szCs w:val="22"/>
              </w:rPr>
              <w:t xml:space="preserve"> schválení závěrečné </w:t>
            </w:r>
            <w:proofErr w:type="spellStart"/>
            <w:r w:rsidR="008E0FFA" w:rsidRPr="003B34B0">
              <w:rPr>
                <w:rFonts w:asciiTheme="minorHAnsi" w:hAnsiTheme="minorHAnsi" w:cs="Arial"/>
                <w:snapToGrid w:val="0"/>
                <w:sz w:val="22"/>
                <w:szCs w:val="22"/>
              </w:rPr>
              <w:t>ŽoP</w:t>
            </w:r>
            <w:proofErr w:type="spellEnd"/>
            <w:r w:rsidR="008E0FFA" w:rsidRPr="003B34B0">
              <w:rPr>
                <w:rFonts w:asciiTheme="minorHAnsi" w:hAnsiTheme="minorHAnsi" w:cs="Arial"/>
                <w:snapToGrid w:val="0"/>
                <w:sz w:val="22"/>
                <w:szCs w:val="22"/>
              </w:rPr>
              <w:t xml:space="preserve"> ve 2. </w:t>
            </w:r>
            <w:r w:rsidR="008E0FFA">
              <w:rPr>
                <w:rFonts w:asciiTheme="minorHAnsi" w:hAnsiTheme="minorHAnsi" w:cs="Arial"/>
                <w:snapToGrid w:val="0"/>
                <w:sz w:val="22"/>
                <w:szCs w:val="22"/>
              </w:rPr>
              <w:t>s</w:t>
            </w:r>
            <w:r w:rsidR="008E0FFA" w:rsidRPr="0002383F">
              <w:rPr>
                <w:rFonts w:asciiTheme="minorHAnsi" w:hAnsiTheme="minorHAnsi" w:cs="Arial"/>
                <w:snapToGrid w:val="0"/>
                <w:sz w:val="22"/>
                <w:szCs w:val="22"/>
              </w:rPr>
              <w:t>tupni</w:t>
            </w:r>
            <w:r w:rsidR="008E0FFA">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3"/>
              </w:numPr>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0773DE">
            <w:pPr>
              <w:pStyle w:val="Odstavecseseznamem"/>
              <w:numPr>
                <w:ilvl w:val="0"/>
                <w:numId w:val="33"/>
              </w:numPr>
              <w:spacing w:after="120"/>
              <w:ind w:left="714" w:hanging="357"/>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E63F7F" w:rsidRDefault="008B3BEA" w:rsidP="000773DE">
            <w:pPr>
              <w:pStyle w:val="Odstavecseseznamem"/>
              <w:numPr>
                <w:ilvl w:val="0"/>
                <w:numId w:val="33"/>
              </w:numPr>
              <w:spacing w:after="120"/>
              <w:ind w:left="714" w:hanging="357"/>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E5242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DF7A60" w:rsidRDefault="00DF7A60" w:rsidP="00DF7A60">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p>
          <w:p w:rsidR="00DF7A60" w:rsidRDefault="00DF7A60" w:rsidP="00DF7A60">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DF7A60" w:rsidRDefault="008B3BEA" w:rsidP="00DF7A60">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DF7A60">
              <w:rPr>
                <w:rFonts w:asciiTheme="minorHAnsi" w:hAnsiTheme="minorHAnsi"/>
                <w:snapToGrid w:val="0"/>
                <w:sz w:val="22"/>
                <w:szCs w:val="22"/>
              </w:rPr>
              <w:t>V. v rozmezí 90 % - 110</w:t>
            </w:r>
            <w:r>
              <w:rPr>
                <w:rFonts w:asciiTheme="minorHAnsi" w:hAnsiTheme="minorHAnsi"/>
                <w:snapToGrid w:val="0"/>
                <w:sz w:val="22"/>
                <w:szCs w:val="22"/>
              </w:rPr>
              <w:t> </w:t>
            </w:r>
            <w:r w:rsidR="00DF7A60">
              <w:rPr>
                <w:rFonts w:asciiTheme="minorHAnsi" w:hAnsiTheme="minorHAnsi"/>
                <w:snapToGrid w:val="0"/>
                <w:sz w:val="22"/>
                <w:szCs w:val="22"/>
              </w:rPr>
              <w:t>%</w:t>
            </w:r>
          </w:p>
          <w:p w:rsidR="00E63F7F" w:rsidRDefault="00DF7A60" w:rsidP="001C1F9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bude vrácena celková částka vyplacen</w:t>
            </w:r>
            <w:r w:rsidR="008B3BEA">
              <w:rPr>
                <w:rFonts w:asciiTheme="minorHAnsi" w:hAnsiTheme="minorHAnsi"/>
                <w:snapToGrid w:val="0"/>
                <w:sz w:val="22"/>
                <w:szCs w:val="22"/>
              </w:rPr>
              <w:t>ých</w:t>
            </w:r>
            <w:r>
              <w:rPr>
                <w:rFonts w:asciiTheme="minorHAnsi" w:hAnsiTheme="minorHAnsi"/>
                <w:snapToGrid w:val="0"/>
                <w:sz w:val="22"/>
                <w:szCs w:val="22"/>
              </w:rPr>
              <w:t xml:space="preserve"> </w:t>
            </w:r>
            <w:r w:rsidR="008B3BEA">
              <w:rPr>
                <w:rFonts w:asciiTheme="minorHAnsi" w:hAnsiTheme="minorHAnsi"/>
                <w:snapToGrid w:val="0"/>
                <w:sz w:val="22"/>
                <w:szCs w:val="22"/>
              </w:rPr>
              <w:t>peněžních prostředků</w:t>
            </w:r>
            <w:r>
              <w:rPr>
                <w:rFonts w:asciiTheme="minorHAnsi" w:hAnsiTheme="minorHAnsi"/>
                <w:snapToGrid w:val="0"/>
                <w:sz w:val="22"/>
                <w:szCs w:val="22"/>
              </w:rPr>
              <w:t>.</w:t>
            </w:r>
          </w:p>
          <w:p w:rsidR="008B3BEA" w:rsidRPr="0044092F" w:rsidRDefault="008B3BEA" w:rsidP="008B3BE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V. na více než 95 % bude vrácena celková částka vyplacených peněžních prostředků.</w:t>
            </w:r>
          </w:p>
        </w:tc>
      </w:tr>
      <w:tr w:rsidR="00417415" w:rsidTr="002866CE">
        <w:trPr>
          <w:trHeight w:val="720"/>
        </w:trPr>
        <w:tc>
          <w:tcPr>
            <w:tcW w:w="817" w:type="dxa"/>
          </w:tcPr>
          <w:p w:rsidR="00417415" w:rsidRDefault="00417415" w:rsidP="00AF3B54">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827" w:type="dxa"/>
          </w:tcPr>
          <w:p w:rsidR="00417415" w:rsidRPr="00117CEC" w:rsidRDefault="0041741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17415" w:rsidRPr="00117CEC" w:rsidRDefault="00417415" w:rsidP="0074346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74346B">
              <w:rPr>
                <w:rFonts w:asciiTheme="minorHAnsi" w:hAnsiTheme="minorHAnsi"/>
                <w:sz w:val="22"/>
                <w:szCs w:val="22"/>
              </w:rPr>
              <w:t>ákona č</w:t>
            </w:r>
            <w:r w:rsidR="00573CB0">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17415" w:rsidRPr="001B112F" w:rsidRDefault="0041741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2866C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1741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5E0B1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2866CE">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5E0B1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2866C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5E6185">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1741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006D62">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462133" w:rsidRDefault="00E63F7F" w:rsidP="00462133">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2866C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2866CE">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4174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74346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74346B">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74346B">
              <w:rPr>
                <w:rFonts w:asciiTheme="minorHAnsi" w:hAnsiTheme="minorHAnsi"/>
                <w:snapToGrid w:val="0"/>
                <w:sz w:val="22"/>
                <w:szCs w:val="22"/>
              </w:rPr>
              <w:t> </w:t>
            </w:r>
            <w:r w:rsidRPr="00811919">
              <w:rPr>
                <w:rFonts w:asciiTheme="minorHAnsi" w:hAnsiTheme="minorHAnsi"/>
                <w:snapToGrid w:val="0"/>
                <w:sz w:val="22"/>
                <w:szCs w:val="22"/>
              </w:rPr>
              <w:t>proplacení</w:t>
            </w:r>
            <w:r w:rsidR="0074346B">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Pr>
          <w:p w:rsidR="009B287B" w:rsidRPr="00811919" w:rsidRDefault="009B287B"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„AO“), Platebního a</w:t>
            </w:r>
            <w:r w:rsidR="002866CE">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2866C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 auditech provedených v souvislosti s projektem; dále též povinnost na žádost poskytovatele peněžních prostředků, Ř</w:t>
            </w:r>
            <w:r w:rsidR="005E0B1B">
              <w:rPr>
                <w:rFonts w:asciiTheme="minorHAnsi" w:hAnsiTheme="minorHAnsi"/>
                <w:snapToGrid w:val="0"/>
                <w:sz w:val="22"/>
                <w:szCs w:val="22"/>
              </w:rPr>
              <w:t>O</w:t>
            </w:r>
            <w:r w:rsidR="0074346B">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2866CE">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EC52FC">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103784">
              <w:rPr>
                <w:rFonts w:asciiTheme="minorHAnsi" w:hAnsiTheme="minorHAnsi"/>
                <w:snapToGrid w:val="0"/>
                <w:sz w:val="22"/>
                <w:szCs w:val="22"/>
              </w:rPr>
              <w:t> </w:t>
            </w:r>
            <w:r w:rsidRPr="00811919">
              <w:rPr>
                <w:rFonts w:asciiTheme="minorHAnsi" w:hAnsiTheme="minorHAnsi"/>
                <w:snapToGrid w:val="0"/>
                <w:sz w:val="22"/>
                <w:szCs w:val="22"/>
              </w:rPr>
              <w:t>proplacení</w:t>
            </w:r>
            <w:r w:rsidR="00103784">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462133">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103784">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03784">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EC52FC"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w:t>
            </w:r>
            <w:r w:rsidR="009B287B" w:rsidRPr="00811919">
              <w:rPr>
                <w:rFonts w:asciiTheme="minorHAnsi" w:hAnsiTheme="minorHAnsi"/>
                <w:snapToGrid w:val="0"/>
                <w:sz w:val="22"/>
                <w:szCs w:val="22"/>
              </w:rPr>
              <w:lastRenderedPageBreak/>
              <w:t>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2866CE">
        <w:tc>
          <w:tcPr>
            <w:tcW w:w="817" w:type="dxa"/>
          </w:tcPr>
          <w:p w:rsidR="009B287B" w:rsidRPr="00794895" w:rsidRDefault="009B287B" w:rsidP="002C0AB9">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103784"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2866CE">
        <w:trPr>
          <w:trHeight w:val="757"/>
        </w:trPr>
        <w:tc>
          <w:tcPr>
            <w:tcW w:w="817" w:type="dxa"/>
            <w:vMerge w:val="restart"/>
          </w:tcPr>
          <w:p w:rsidR="009B287B"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2866C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propagačních opatření, která jsou </w:t>
            </w:r>
            <w:r w:rsidRPr="004A6337">
              <w:rPr>
                <w:rFonts w:asciiTheme="minorHAnsi" w:hAnsiTheme="minorHAnsi"/>
                <w:snapToGrid w:val="0"/>
                <w:sz w:val="22"/>
                <w:szCs w:val="22"/>
              </w:rPr>
              <w:lastRenderedPageBreak/>
              <w:t>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2866C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573CB0" w:rsidDel="00717CC7" w:rsidRDefault="00103784" w:rsidP="00573CB0">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EC52FC"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2C0AB9">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0216A">
        <w:rPr>
          <w:rFonts w:asciiTheme="minorHAnsi" w:hAnsiTheme="minorHAnsi"/>
          <w:sz w:val="24"/>
        </w:rPr>
        <w:t>nebo ZZVZ nebo</w:t>
      </w:r>
      <w:r w:rsidR="003021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021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006D62">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0216A">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4092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4092F">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8"/>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7"/>
  </w:num>
  <w:num w:numId="23">
    <w:abstractNumId w:val="4"/>
  </w:num>
  <w:num w:numId="24">
    <w:abstractNumId w:val="16"/>
  </w:num>
  <w:num w:numId="25">
    <w:abstractNumId w:val="2"/>
  </w:num>
  <w:num w:numId="26">
    <w:abstractNumId w:val="28"/>
  </w:num>
  <w:num w:numId="27">
    <w:abstractNumId w:val="22"/>
  </w:num>
  <w:num w:numId="28">
    <w:abstractNumId w:val="27"/>
  </w:num>
  <w:num w:numId="29">
    <w:abstractNumId w:val="29"/>
  </w:num>
  <w:num w:numId="30">
    <w:abstractNumId w:val="10"/>
  </w:num>
  <w:num w:numId="31">
    <w:abstractNumId w:val="5"/>
  </w:num>
  <w:num w:numId="32">
    <w:abstractNumId w:val="26"/>
  </w:num>
  <w:num w:numId="33">
    <w:abstractNumId w:val="15"/>
  </w:num>
  <w:num w:numId="34">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2A2A"/>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F74"/>
    <w:rsid w:val="001925D3"/>
    <w:rsid w:val="00192DA5"/>
    <w:rsid w:val="001938DF"/>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706"/>
    <w:rsid w:val="001B5F59"/>
    <w:rsid w:val="001B6A52"/>
    <w:rsid w:val="001B7B7C"/>
    <w:rsid w:val="001C1F9B"/>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3A0C"/>
    <w:rsid w:val="001E44CD"/>
    <w:rsid w:val="001E4910"/>
    <w:rsid w:val="001E4DCD"/>
    <w:rsid w:val="001E57EE"/>
    <w:rsid w:val="001E6636"/>
    <w:rsid w:val="001E7BF9"/>
    <w:rsid w:val="001F0652"/>
    <w:rsid w:val="001F0C3A"/>
    <w:rsid w:val="001F0F4B"/>
    <w:rsid w:val="001F1840"/>
    <w:rsid w:val="001F1C70"/>
    <w:rsid w:val="001F39C3"/>
    <w:rsid w:val="001F3C21"/>
    <w:rsid w:val="001F44D3"/>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955"/>
    <w:rsid w:val="002E68EF"/>
    <w:rsid w:val="002E6B3D"/>
    <w:rsid w:val="002E736F"/>
    <w:rsid w:val="002F1F24"/>
    <w:rsid w:val="002F2C52"/>
    <w:rsid w:val="002F3050"/>
    <w:rsid w:val="002F3650"/>
    <w:rsid w:val="002F420F"/>
    <w:rsid w:val="002F4740"/>
    <w:rsid w:val="002F6A0A"/>
    <w:rsid w:val="003018C5"/>
    <w:rsid w:val="0030216A"/>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48A8"/>
    <w:rsid w:val="00427A9C"/>
    <w:rsid w:val="00431112"/>
    <w:rsid w:val="00431B7C"/>
    <w:rsid w:val="00432705"/>
    <w:rsid w:val="00433847"/>
    <w:rsid w:val="00433DEB"/>
    <w:rsid w:val="004366CA"/>
    <w:rsid w:val="004379DB"/>
    <w:rsid w:val="00437E94"/>
    <w:rsid w:val="004404E2"/>
    <w:rsid w:val="004408C4"/>
    <w:rsid w:val="0044092F"/>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269"/>
    <w:rsid w:val="00560B8E"/>
    <w:rsid w:val="00565D2D"/>
    <w:rsid w:val="00565D43"/>
    <w:rsid w:val="00566E0F"/>
    <w:rsid w:val="00573AF1"/>
    <w:rsid w:val="00573CB0"/>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7B4"/>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AFD"/>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253"/>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EA"/>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C5FB3"/>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5397"/>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E5D19"/>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122"/>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A60"/>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3F25"/>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242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97CA3"/>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5493"/>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80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5:docId w15:val="{0B59729F-41F4-4ACA-8A4F-119C0582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217B6-D55D-4483-A499-BD406F3FC8B6}">
  <ds:schemaRefs>
    <ds:schemaRef ds:uri="http://schemas.openxmlformats.org/officeDocument/2006/bibliography"/>
  </ds:schemaRefs>
</ds:datastoreItem>
</file>

<file path=customXml/itemProps10.xml><?xml version="1.0" encoding="utf-8"?>
<ds:datastoreItem xmlns:ds="http://schemas.openxmlformats.org/officeDocument/2006/customXml" ds:itemID="{024CD66A-C2AD-4A88-9959-C18CB2BF2DAE}">
  <ds:schemaRefs>
    <ds:schemaRef ds:uri="http://schemas.openxmlformats.org/officeDocument/2006/bibliography"/>
  </ds:schemaRefs>
</ds:datastoreItem>
</file>

<file path=customXml/itemProps11.xml><?xml version="1.0" encoding="utf-8"?>
<ds:datastoreItem xmlns:ds="http://schemas.openxmlformats.org/officeDocument/2006/customXml" ds:itemID="{DF33BE78-5DC5-496E-B920-786834F7B19F}">
  <ds:schemaRefs>
    <ds:schemaRef ds:uri="http://schemas.openxmlformats.org/officeDocument/2006/bibliography"/>
  </ds:schemaRefs>
</ds:datastoreItem>
</file>

<file path=customXml/itemProps12.xml><?xml version="1.0" encoding="utf-8"?>
<ds:datastoreItem xmlns:ds="http://schemas.openxmlformats.org/officeDocument/2006/customXml" ds:itemID="{9FA5BCCA-227C-4504-BFE3-DCE36301DA82}">
  <ds:schemaRefs>
    <ds:schemaRef ds:uri="http://schemas.openxmlformats.org/officeDocument/2006/bibliography"/>
  </ds:schemaRefs>
</ds:datastoreItem>
</file>

<file path=customXml/itemProps13.xml><?xml version="1.0" encoding="utf-8"?>
<ds:datastoreItem xmlns:ds="http://schemas.openxmlformats.org/officeDocument/2006/customXml" ds:itemID="{6ADE5BBD-186E-42EE-911A-93180D2031A1}">
  <ds:schemaRefs>
    <ds:schemaRef ds:uri="http://schemas.openxmlformats.org/officeDocument/2006/bibliography"/>
  </ds:schemaRefs>
</ds:datastoreItem>
</file>

<file path=customXml/itemProps14.xml><?xml version="1.0" encoding="utf-8"?>
<ds:datastoreItem xmlns:ds="http://schemas.openxmlformats.org/officeDocument/2006/customXml" ds:itemID="{D73E9933-C0C9-41C8-B4D5-3AF96485F7D5}">
  <ds:schemaRefs>
    <ds:schemaRef ds:uri="http://schemas.openxmlformats.org/officeDocument/2006/bibliography"/>
  </ds:schemaRefs>
</ds:datastoreItem>
</file>

<file path=customXml/itemProps15.xml><?xml version="1.0" encoding="utf-8"?>
<ds:datastoreItem xmlns:ds="http://schemas.openxmlformats.org/officeDocument/2006/customXml" ds:itemID="{D7297BC2-4683-413D-A59F-BCF330FA6BCE}">
  <ds:schemaRefs>
    <ds:schemaRef ds:uri="http://schemas.openxmlformats.org/officeDocument/2006/bibliography"/>
  </ds:schemaRefs>
</ds:datastoreItem>
</file>

<file path=customXml/itemProps16.xml><?xml version="1.0" encoding="utf-8"?>
<ds:datastoreItem xmlns:ds="http://schemas.openxmlformats.org/officeDocument/2006/customXml" ds:itemID="{876E9982-0876-4BAE-8097-2D793B182C36}">
  <ds:schemaRefs>
    <ds:schemaRef ds:uri="http://schemas.openxmlformats.org/officeDocument/2006/bibliography"/>
  </ds:schemaRefs>
</ds:datastoreItem>
</file>

<file path=customXml/itemProps17.xml><?xml version="1.0" encoding="utf-8"?>
<ds:datastoreItem xmlns:ds="http://schemas.openxmlformats.org/officeDocument/2006/customXml" ds:itemID="{EF92DC96-1303-4BCE-81DF-EB9B14A830DB}">
  <ds:schemaRefs>
    <ds:schemaRef ds:uri="http://schemas.openxmlformats.org/officeDocument/2006/bibliography"/>
  </ds:schemaRefs>
</ds:datastoreItem>
</file>

<file path=customXml/itemProps18.xml><?xml version="1.0" encoding="utf-8"?>
<ds:datastoreItem xmlns:ds="http://schemas.openxmlformats.org/officeDocument/2006/customXml" ds:itemID="{362F73DA-30CF-47EA-BF1F-4C15E90BFA4D}">
  <ds:schemaRefs>
    <ds:schemaRef ds:uri="http://schemas.openxmlformats.org/officeDocument/2006/bibliography"/>
  </ds:schemaRefs>
</ds:datastoreItem>
</file>

<file path=customXml/itemProps19.xml><?xml version="1.0" encoding="utf-8"?>
<ds:datastoreItem xmlns:ds="http://schemas.openxmlformats.org/officeDocument/2006/customXml" ds:itemID="{F0C06E77-2E06-4B05-AD9C-6B50B0EB71A1}">
  <ds:schemaRefs>
    <ds:schemaRef ds:uri="http://schemas.openxmlformats.org/officeDocument/2006/bibliography"/>
  </ds:schemaRefs>
</ds:datastoreItem>
</file>

<file path=customXml/itemProps2.xml><?xml version="1.0" encoding="utf-8"?>
<ds:datastoreItem xmlns:ds="http://schemas.openxmlformats.org/officeDocument/2006/customXml" ds:itemID="{4AF96D83-1E95-4400-B386-C28BA4DEF7B1}">
  <ds:schemaRefs>
    <ds:schemaRef ds:uri="http://schemas.openxmlformats.org/officeDocument/2006/bibliography"/>
  </ds:schemaRefs>
</ds:datastoreItem>
</file>

<file path=customXml/itemProps20.xml><?xml version="1.0" encoding="utf-8"?>
<ds:datastoreItem xmlns:ds="http://schemas.openxmlformats.org/officeDocument/2006/customXml" ds:itemID="{3DAEAC99-3A31-4C4C-B278-1EDDA9B43EC6}">
  <ds:schemaRefs>
    <ds:schemaRef ds:uri="http://schemas.openxmlformats.org/officeDocument/2006/bibliography"/>
  </ds:schemaRefs>
</ds:datastoreItem>
</file>

<file path=customXml/itemProps21.xml><?xml version="1.0" encoding="utf-8"?>
<ds:datastoreItem xmlns:ds="http://schemas.openxmlformats.org/officeDocument/2006/customXml" ds:itemID="{ACD7750C-CC07-4C22-A8E2-89EA18F42DAC}">
  <ds:schemaRefs>
    <ds:schemaRef ds:uri="http://schemas.openxmlformats.org/officeDocument/2006/bibliography"/>
  </ds:schemaRefs>
</ds:datastoreItem>
</file>

<file path=customXml/itemProps22.xml><?xml version="1.0" encoding="utf-8"?>
<ds:datastoreItem xmlns:ds="http://schemas.openxmlformats.org/officeDocument/2006/customXml" ds:itemID="{FDFC4C5A-18AA-4517-945A-75E57856BC02}">
  <ds:schemaRefs>
    <ds:schemaRef ds:uri="http://schemas.openxmlformats.org/officeDocument/2006/bibliography"/>
  </ds:schemaRefs>
</ds:datastoreItem>
</file>

<file path=customXml/itemProps3.xml><?xml version="1.0" encoding="utf-8"?>
<ds:datastoreItem xmlns:ds="http://schemas.openxmlformats.org/officeDocument/2006/customXml" ds:itemID="{3075E53A-C3FC-4A73-AEEB-92E33A1E0F45}">
  <ds:schemaRefs>
    <ds:schemaRef ds:uri="http://schemas.openxmlformats.org/officeDocument/2006/bibliography"/>
  </ds:schemaRefs>
</ds:datastoreItem>
</file>

<file path=customXml/itemProps4.xml><?xml version="1.0" encoding="utf-8"?>
<ds:datastoreItem xmlns:ds="http://schemas.openxmlformats.org/officeDocument/2006/customXml" ds:itemID="{E7557CF2-A4F8-45BA-909A-DC36C6D70C97}">
  <ds:schemaRefs>
    <ds:schemaRef ds:uri="http://schemas.openxmlformats.org/officeDocument/2006/bibliography"/>
  </ds:schemaRefs>
</ds:datastoreItem>
</file>

<file path=customXml/itemProps5.xml><?xml version="1.0" encoding="utf-8"?>
<ds:datastoreItem xmlns:ds="http://schemas.openxmlformats.org/officeDocument/2006/customXml" ds:itemID="{F05C41A1-B1FC-4F9A-ABFB-2C99F678B9FB}">
  <ds:schemaRefs>
    <ds:schemaRef ds:uri="http://schemas.openxmlformats.org/officeDocument/2006/bibliography"/>
  </ds:schemaRefs>
</ds:datastoreItem>
</file>

<file path=customXml/itemProps6.xml><?xml version="1.0" encoding="utf-8"?>
<ds:datastoreItem xmlns:ds="http://schemas.openxmlformats.org/officeDocument/2006/customXml" ds:itemID="{CF84AB73-6670-43EB-84A6-F4292EE55B80}">
  <ds:schemaRefs>
    <ds:schemaRef ds:uri="http://schemas.openxmlformats.org/officeDocument/2006/bibliography"/>
  </ds:schemaRefs>
</ds:datastoreItem>
</file>

<file path=customXml/itemProps7.xml><?xml version="1.0" encoding="utf-8"?>
<ds:datastoreItem xmlns:ds="http://schemas.openxmlformats.org/officeDocument/2006/customXml" ds:itemID="{D28BA497-7532-471F-85C8-2966D7827F29}">
  <ds:schemaRefs>
    <ds:schemaRef ds:uri="http://schemas.openxmlformats.org/officeDocument/2006/bibliography"/>
  </ds:schemaRefs>
</ds:datastoreItem>
</file>

<file path=customXml/itemProps8.xml><?xml version="1.0" encoding="utf-8"?>
<ds:datastoreItem xmlns:ds="http://schemas.openxmlformats.org/officeDocument/2006/customXml" ds:itemID="{4C8E69E3-8325-403A-96D5-CCB826FA51C3}">
  <ds:schemaRefs>
    <ds:schemaRef ds:uri="http://schemas.openxmlformats.org/officeDocument/2006/bibliography"/>
  </ds:schemaRefs>
</ds:datastoreItem>
</file>

<file path=customXml/itemProps9.xml><?xml version="1.0" encoding="utf-8"?>
<ds:datastoreItem xmlns:ds="http://schemas.openxmlformats.org/officeDocument/2006/customXml" ds:itemID="{6EECE593-C2CA-4C7B-9F90-E87B4456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2859</Words>
  <Characters>16604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3</cp:revision>
  <cp:lastPrinted>2015-09-16T08:02:00Z</cp:lastPrinted>
  <dcterms:created xsi:type="dcterms:W3CDTF">2018-01-12T07:01:00Z</dcterms:created>
  <dcterms:modified xsi:type="dcterms:W3CDTF">2018-01-12T07:01:00Z</dcterms:modified>
</cp:coreProperties>
</file>