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1FE309"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proofErr w:type="gramStart"/>
      <w:r w:rsidR="000F6082" w:rsidRPr="00ED6875">
        <w:rPr>
          <w:rFonts w:ascii="Arial" w:hAnsi="Arial" w:cs="Arial"/>
          <w:b/>
          <w:bCs/>
          <w:caps/>
          <w:color w:val="214F87"/>
          <w:sz w:val="44"/>
          <w:szCs w:val="44"/>
        </w:rPr>
        <w:t>3</w:t>
      </w:r>
      <w:r w:rsidR="00ED6875" w:rsidRPr="00ED6875">
        <w:rPr>
          <w:rFonts w:ascii="Arial" w:hAnsi="Arial" w:cs="Arial"/>
          <w:b/>
          <w:bCs/>
          <w:caps/>
          <w:color w:val="214F87"/>
          <w:sz w:val="44"/>
          <w:szCs w:val="44"/>
        </w:rPr>
        <w:t>A</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3F2E686" w14:textId="77777777" w:rsidR="005B29B9" w:rsidRDefault="005B29B9" w:rsidP="005B29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1882618C" w14:textId="77777777" w:rsidR="005B29B9" w:rsidRDefault="005B29B9" w:rsidP="005B29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3C39F0F6" w14:textId="77777777" w:rsidR="009D3ECD" w:rsidRPr="008C2C98" w:rsidRDefault="009D3ECD" w:rsidP="00ED6875">
      <w:pPr>
        <w:pStyle w:val="Zkladnodstavec"/>
        <w:spacing w:before="360" w:after="120"/>
        <w:contextualSpacing/>
        <w:jc w:val="center"/>
        <w:rPr>
          <w:rFonts w:ascii="Arial" w:hAnsi="Arial" w:cs="Arial"/>
          <w:caps/>
          <w:color w:val="auto"/>
          <w:sz w:val="36"/>
          <w:szCs w:val="36"/>
        </w:rPr>
      </w:pPr>
    </w:p>
    <w:p w14:paraId="04AF1384" w14:textId="4267CAB9" w:rsidR="00ED6875" w:rsidRDefault="00ED6875" w:rsidP="00ED6875">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D016F7">
        <w:rPr>
          <w:rFonts w:ascii="Arial" w:hAnsi="Arial" w:cs="Arial"/>
          <w:caps/>
          <w:color w:val="A6A6A6" w:themeColor="background1" w:themeShade="A6"/>
          <w:sz w:val="32"/>
          <w:szCs w:val="40"/>
        </w:rPr>
        <w:t>2</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F4DD30F" w:rsidR="0068431B" w:rsidRPr="0068431B" w:rsidRDefault="009C759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DAE347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62631E7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B29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6C7F21A"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7447850B"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FA4F55" w:rsidRPr="00821D5C">
              <w:rPr>
                <w:rFonts w:ascii="Arial" w:hAnsi="Arial" w:cs="Arial"/>
                <w:i/>
                <w:iCs/>
                <w:snapToGrid w:val="0"/>
                <w:sz w:val="22"/>
                <w:szCs w:val="22"/>
              </w:rPr>
              <w:t>II</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6944EDE" w:rsidR="000C678D" w:rsidRPr="00821D5C" w:rsidRDefault="00A67B07"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7E3AABD" w14:textId="77777777" w:rsidR="00FA4F55" w:rsidRPr="00821D5C" w:rsidRDefault="00FA4F55"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0AD93F"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C7083C">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6C121D3F" w:rsidR="00EB7FDB" w:rsidRPr="00821D5C"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29937ECB" w14:textId="2B831C4C" w:rsidR="00EB7FDB" w:rsidRPr="00821D5C"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eastAsiaTheme="minorEastAsia" w:hAnsi="Arial" w:cs="Arial"/>
                <w:i/>
                <w:iCs/>
                <w:snapToGrid w:val="0"/>
                <w:sz w:val="22"/>
                <w:szCs w:val="22"/>
                <w:lang w:eastAsia="zh-CN" w:bidi="ar"/>
              </w:rPr>
              <w:t xml:space="preserve">. </w:t>
            </w:r>
            <w:r w:rsidRPr="00821D5C">
              <w:rPr>
                <w:rFonts w:ascii="Arial" w:eastAsiaTheme="minorEastAsia" w:hAnsi="Arial" w:cs="Arial"/>
                <w:snapToGrid w:val="0"/>
                <w:sz w:val="22"/>
                <w:szCs w:val="22"/>
                <w:lang w:eastAsia="zh-CN" w:bidi="ar"/>
              </w:rPr>
              <w:t xml:space="preserve">za období </w:t>
            </w:r>
            <w:r w:rsidRPr="00821D5C">
              <w:rPr>
                <w:rFonts w:ascii="Arial" w:eastAsiaTheme="minorEastAsia" w:hAnsi="Arial" w:cs="Arial"/>
                <w:sz w:val="22"/>
                <w:szCs w:val="22"/>
              </w:rPr>
              <w:t>prvního roku udržitelnosti</w:t>
            </w:r>
            <w:r w:rsidRPr="00821D5C">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lastRenderedPageBreak/>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Indikátory:</w:t>
            </w:r>
          </w:p>
          <w:p w14:paraId="62BA4F8F"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lastRenderedPageBreak/>
              <w:t xml:space="preserve">908 021 - Počet revitalizovaných památkových objektů </w:t>
            </w:r>
          </w:p>
          <w:p w14:paraId="208AFA1E"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EAA0A39"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5868C14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III.</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1AC5CB26"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w:t>
            </w:r>
            <w:r w:rsidR="004F5AE9">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p>
          <w:p w14:paraId="1FBA0524" w14:textId="45CCEA29"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E640979" w14:textId="005EBCC2"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hAnsi="Arial" w:cs="Arial"/>
                <w:i/>
                <w:iCs/>
                <w:snapToGrid w:val="0"/>
                <w:sz w:val="22"/>
                <w:szCs w:val="22"/>
                <w:lang w:eastAsia="zh-CN" w:bidi="ar"/>
              </w:rPr>
              <w:t>.</w:t>
            </w:r>
            <w:r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2394D641"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III</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6BD59D71"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B29B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A800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proofErr w:type="gramStart"/>
            <w:r w:rsidR="0095464E">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E0AB56"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7083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4EAC6972" w:rsidR="00296B4A" w:rsidRPr="00296B4A" w:rsidRDefault="00296B4A" w:rsidP="00296B4A">
      <w:pPr>
        <w:pStyle w:val="Odstavecseseznamem"/>
        <w:numPr>
          <w:ilvl w:val="0"/>
          <w:numId w:val="36"/>
        </w:numPr>
        <w:spacing w:after="120"/>
        <w:contextualSpacing/>
        <w:jc w:val="both"/>
        <w:rPr>
          <w:rFonts w:ascii="Arial" w:hAnsi="Arial" w:cs="Arial"/>
          <w:snapToGrid w:val="0"/>
          <w:sz w:val="22"/>
          <w:szCs w:val="22"/>
        </w:rPr>
      </w:pPr>
      <w:r w:rsidRPr="00296B4A">
        <w:rPr>
          <w:rFonts w:ascii="Arial" w:hAnsi="Arial" w:cs="Arial"/>
          <w:snapToGrid w:val="0"/>
          <w:sz w:val="22"/>
          <w:szCs w:val="22"/>
        </w:rPr>
        <w:t>Dotace je udělena v souladu s nařízením Komise (EU) č. 651/2014</w:t>
      </w:r>
      <w:r w:rsidR="002D358B">
        <w:rPr>
          <w:rStyle w:val="Znakapoznpodarou"/>
          <w:rFonts w:ascii="Arial" w:hAnsi="Arial" w:cs="Arial"/>
          <w:snapToGrid w:val="0"/>
          <w:sz w:val="22"/>
          <w:szCs w:val="22"/>
        </w:rPr>
        <w:footnoteReference w:id="19"/>
      </w:r>
      <w:r w:rsidRPr="00296B4A">
        <w:rPr>
          <w:rFonts w:ascii="Arial" w:hAnsi="Arial" w:cs="Arial"/>
          <w:snapToGrid w:val="0"/>
          <w:sz w:val="22"/>
          <w:szCs w:val="22"/>
        </w:rPr>
        <w:t xml:space="preserve"> ze dne 17. června 2014, kterým se v souladu s články 107 a 108 Smlouvy prohlašují určité kategorie podpory za slučitelné s vnitřním trhem.</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6131A113"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71790C">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29498EE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w:t>
      </w:r>
      <w:r w:rsidRPr="00C7083C">
        <w:rPr>
          <w:rFonts w:ascii="Arial" w:hAnsi="Arial" w:cs="Arial"/>
          <w:snapToGrid w:val="0"/>
          <w:sz w:val="22"/>
          <w:szCs w:val="22"/>
        </w:rPr>
        <w:t>na</w:t>
      </w:r>
      <w:r w:rsidR="00C7083C" w:rsidRPr="00C7083C">
        <w:rPr>
          <w:rFonts w:ascii="Arial" w:hAnsi="Arial" w:cs="Arial"/>
          <w:snapToGrid w:val="0"/>
          <w:sz w:val="22"/>
          <w:szCs w:val="22"/>
        </w:rPr>
        <w:t> </w:t>
      </w:r>
      <w:r w:rsidRPr="00C7083C">
        <w:rPr>
          <w:rFonts w:ascii="Arial" w:hAnsi="Arial" w:cs="Arial"/>
          <w:snapToGrid w:val="0"/>
          <w:sz w:val="22"/>
          <w:szCs w:val="22"/>
        </w:rPr>
        <w:t>zveřejněném</w:t>
      </w:r>
      <w:r w:rsidRPr="00BF657C">
        <w:rPr>
          <w:rFonts w:ascii="Arial" w:hAnsi="Arial" w:cs="Arial"/>
          <w:snapToGrid w:val="0"/>
          <w:sz w:val="22"/>
          <w:szCs w:val="22"/>
        </w:rPr>
        <w:t> seznamu příjemců v příslušných informačních systémech, a to včetně názvu projektu a výše dotace z veřejných zdrojů.</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5EFA" w14:textId="77777777" w:rsidR="00C06193" w:rsidRDefault="00C061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47561753" w14:textId="7C7E0836" w:rsidR="002D358B" w:rsidRDefault="002D358B" w:rsidP="002D358B">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860C" w14:textId="77777777"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0BD8" w14:textId="77777777"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AF09" w14:textId="77777777"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21412631">
    <w:abstractNumId w:val="21"/>
  </w:num>
  <w:num w:numId="2" w16cid:durableId="2064795325">
    <w:abstractNumId w:val="30"/>
  </w:num>
  <w:num w:numId="3" w16cid:durableId="1457674878">
    <w:abstractNumId w:val="2"/>
  </w:num>
  <w:num w:numId="4" w16cid:durableId="722677570">
    <w:abstractNumId w:val="7"/>
  </w:num>
  <w:num w:numId="5" w16cid:durableId="929583214">
    <w:abstractNumId w:val="12"/>
  </w:num>
  <w:num w:numId="6" w16cid:durableId="516114048">
    <w:abstractNumId w:val="20"/>
  </w:num>
  <w:num w:numId="7" w16cid:durableId="1644770575">
    <w:abstractNumId w:val="6"/>
  </w:num>
  <w:num w:numId="8" w16cid:durableId="460346247">
    <w:abstractNumId w:val="26"/>
  </w:num>
  <w:num w:numId="9" w16cid:durableId="1843277179">
    <w:abstractNumId w:val="33"/>
  </w:num>
  <w:num w:numId="10" w16cid:durableId="295722484">
    <w:abstractNumId w:val="29"/>
  </w:num>
  <w:num w:numId="11" w16cid:durableId="1430201951">
    <w:abstractNumId w:val="8"/>
  </w:num>
  <w:num w:numId="12" w16cid:durableId="1991052234">
    <w:abstractNumId w:val="10"/>
  </w:num>
  <w:num w:numId="13" w16cid:durableId="1498154158">
    <w:abstractNumId w:val="35"/>
  </w:num>
  <w:num w:numId="14" w16cid:durableId="1131750319">
    <w:abstractNumId w:val="31"/>
  </w:num>
  <w:num w:numId="15" w16cid:durableId="1600680662">
    <w:abstractNumId w:val="13"/>
  </w:num>
  <w:num w:numId="16" w16cid:durableId="760953123">
    <w:abstractNumId w:val="22"/>
  </w:num>
  <w:num w:numId="17" w16cid:durableId="116414112">
    <w:abstractNumId w:val="4"/>
  </w:num>
  <w:num w:numId="18" w16cid:durableId="1137723973">
    <w:abstractNumId w:val="17"/>
  </w:num>
  <w:num w:numId="19" w16cid:durableId="2065592347">
    <w:abstractNumId w:val="5"/>
  </w:num>
  <w:num w:numId="20" w16cid:durableId="966547270">
    <w:abstractNumId w:val="18"/>
  </w:num>
  <w:num w:numId="21" w16cid:durableId="1017729992">
    <w:abstractNumId w:val="19"/>
  </w:num>
  <w:num w:numId="22" w16cid:durableId="1385178608">
    <w:abstractNumId w:val="16"/>
  </w:num>
  <w:num w:numId="23" w16cid:durableId="164129180">
    <w:abstractNumId w:val="25"/>
  </w:num>
  <w:num w:numId="24" w16cid:durableId="1928684455">
    <w:abstractNumId w:val="3"/>
  </w:num>
  <w:num w:numId="25" w16cid:durableId="1891306095">
    <w:abstractNumId w:val="1"/>
  </w:num>
  <w:num w:numId="26" w16cid:durableId="84038933">
    <w:abstractNumId w:val="28"/>
  </w:num>
  <w:num w:numId="27" w16cid:durableId="1194612407">
    <w:abstractNumId w:val="23"/>
  </w:num>
  <w:num w:numId="28" w16cid:durableId="562957472">
    <w:abstractNumId w:val="9"/>
  </w:num>
  <w:num w:numId="29" w16cid:durableId="1955355966">
    <w:abstractNumId w:val="27"/>
  </w:num>
  <w:num w:numId="30" w16cid:durableId="1928072591">
    <w:abstractNumId w:val="34"/>
  </w:num>
  <w:num w:numId="31" w16cid:durableId="665867472">
    <w:abstractNumId w:val="24"/>
  </w:num>
  <w:num w:numId="32" w16cid:durableId="606547887">
    <w:abstractNumId w:val="0"/>
  </w:num>
  <w:num w:numId="33" w16cid:durableId="1781139987">
    <w:abstractNumId w:val="11"/>
  </w:num>
  <w:num w:numId="34" w16cid:durableId="1243566547">
    <w:abstractNumId w:val="32"/>
  </w:num>
  <w:num w:numId="35" w16cid:durableId="822312864">
    <w:abstractNumId w:val="15"/>
  </w:num>
  <w:num w:numId="36" w16cid:durableId="2034455428">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99E"/>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58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AE9"/>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9B9"/>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90C"/>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448"/>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64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595"/>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3ECD"/>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83C"/>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16F7"/>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72020245">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1.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14.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1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0.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2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5.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customXml/itemProps2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3.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8.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9.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3685</Words>
  <Characters>21147</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21</cp:revision>
  <cp:lastPrinted>2022-07-27T10:25:00Z</cp:lastPrinted>
  <dcterms:created xsi:type="dcterms:W3CDTF">2022-09-22T10:26:00Z</dcterms:created>
  <dcterms:modified xsi:type="dcterms:W3CDTF">2023-11-15T09:43:00Z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