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43D27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1AAC2CF" w14:textId="77777777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F00372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365160C3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AF9E125" w14:textId="77777777" w:rsidR="00DA7E29" w:rsidRPr="00E21DAE" w:rsidRDefault="00DA7E29" w:rsidP="00DA7E29">
      <w:pPr>
        <w:jc w:val="left"/>
        <w:rPr>
          <w:szCs w:val="24"/>
        </w:rPr>
      </w:pPr>
    </w:p>
    <w:p w14:paraId="0F3F2D26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5B3C314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C4F998D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74C29468" w14:textId="77777777" w:rsidR="00DA7E29" w:rsidRPr="00E21DAE" w:rsidRDefault="00DA7E29" w:rsidP="00DA7E29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7C43FFB" w14:textId="225E955B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6ED77718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5B00B7A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45932750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3957FC22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462E5726" w14:textId="77777777" w:rsidR="00DA7E29" w:rsidRDefault="00DA7E29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C400499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1449BDC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46639E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BBF1703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363897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7F70768B" w14:textId="5CCDEF55" w:rsidR="00DA7E29" w:rsidRPr="00056E05" w:rsidRDefault="00DA7E29" w:rsidP="00DA7E29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bookmarkStart w:id="0" w:name="_GoBack"/>
      <w:bookmarkEnd w:id="0"/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95A68">
        <w:rPr>
          <w:rFonts w:asciiTheme="majorHAnsi" w:hAnsiTheme="majorHAnsi" w:cs="MyriadPro-Black"/>
          <w:caps/>
          <w:sz w:val="32"/>
          <w:szCs w:val="40"/>
        </w:rPr>
        <w:t>5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95A68">
        <w:rPr>
          <w:rFonts w:asciiTheme="majorHAnsi" w:hAnsiTheme="majorHAnsi" w:cs="MyriadPro-Black"/>
          <w:caps/>
          <w:sz w:val="32"/>
          <w:szCs w:val="40"/>
        </w:rPr>
        <w:t>4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1880BCAB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DD29D8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3F105E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07B3C11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2BC1BE9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5879B47" w14:textId="77777777" w:rsidR="00DA7E29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E5CC046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748E9DD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B54439B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AB29C39" w14:textId="075A363B" w:rsidR="00DA7E29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ADF1D86" w14:textId="77777777" w:rsidR="00DA7E29" w:rsidRPr="00056E05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BFA3BF1" w14:textId="7777777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249044FD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4DB35EDF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54B7D5B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lastRenderedPageBreak/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lastRenderedPageBreak/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44C8A2A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74609E">
        <w:rPr>
          <w:rFonts w:ascii="Arial" w:hAnsi="Arial"/>
          <w:sz w:val="20"/>
        </w:rPr>
        <w:t xml:space="preserve"> a zároveň nejsou uspokojeni všichni žadatelé z cílov</w:t>
      </w:r>
      <w:r w:rsidR="003F688E">
        <w:rPr>
          <w:rFonts w:ascii="Arial" w:hAnsi="Arial"/>
          <w:sz w:val="20"/>
        </w:rPr>
        <w:t>ých</w:t>
      </w:r>
      <w:r w:rsidR="0074609E">
        <w:rPr>
          <w:rFonts w:ascii="Arial" w:hAnsi="Arial"/>
          <w:sz w:val="20"/>
        </w:rPr>
        <w:t xml:space="preserve"> skupin</w:t>
      </w:r>
      <w:r w:rsidR="003F688E">
        <w:rPr>
          <w:rFonts w:ascii="Arial" w:hAnsi="Arial"/>
          <w:sz w:val="20"/>
        </w:rPr>
        <w:t xml:space="preserve"> daných výzvou</w:t>
      </w:r>
      <w:r w:rsidR="0074609E">
        <w:rPr>
          <w:rFonts w:ascii="Arial" w:hAnsi="Arial"/>
          <w:sz w:val="20"/>
        </w:rPr>
        <w:t xml:space="preserve">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6C14FEEC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lastRenderedPageBreak/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AE34B00" w14:textId="0D2D4E03" w:rsidR="00DA78FE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6F05B88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042EE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042EE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77777777" w:rsidR="00C26A17" w:rsidRDefault="00C26A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5B6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3F688E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A68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609E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2251F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360B"/>
    <w:rsid w:val="00CF5FA5"/>
    <w:rsid w:val="00D01112"/>
    <w:rsid w:val="00D03426"/>
    <w:rsid w:val="00D042EE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4F0A"/>
    <w:rsid w:val="00D85897"/>
    <w:rsid w:val="00D96503"/>
    <w:rsid w:val="00DA719A"/>
    <w:rsid w:val="00DA78FE"/>
    <w:rsid w:val="00DA7E29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14F22-4B17-4FA0-B088-758EBFB325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AE23B-BE03-4F8D-A938-D8D52E1BF2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798B85-291B-464E-8D40-11EB8073F2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70B31-DAF0-4327-9CDC-C4236CF4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1989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Kaštovská Zina</cp:lastModifiedBy>
  <cp:revision>17</cp:revision>
  <cp:lastPrinted>2018-01-25T06:45:00Z</cp:lastPrinted>
  <dcterms:created xsi:type="dcterms:W3CDTF">2018-02-06T12:44:00Z</dcterms:created>
  <dcterms:modified xsi:type="dcterms:W3CDTF">2018-04-05T08:24:00Z</dcterms:modified>
</cp:coreProperties>
</file>