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8F99" w14:textId="77777777" w:rsidR="00FA0D2A" w:rsidRPr="00160E58" w:rsidRDefault="00FA0D2A" w:rsidP="00FA0D2A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44D17FAF" wp14:editId="341C3687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234CDC2" w14:textId="77777777" w:rsidR="00FA0D2A" w:rsidRPr="00160E58" w:rsidRDefault="00FA0D2A" w:rsidP="00FA0D2A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3EC6318A" w14:textId="77777777" w:rsidR="00FA0D2A" w:rsidRPr="00A13B54" w:rsidRDefault="00FA0D2A" w:rsidP="00FA0D2A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675F77" w14:textId="77777777" w:rsidR="00FA0D2A" w:rsidRPr="00160E58" w:rsidRDefault="00FA0D2A" w:rsidP="00FA0D2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DF9E88A" w14:textId="77777777" w:rsidR="006140ED" w:rsidRPr="00BD1413" w:rsidRDefault="006140ED" w:rsidP="006140ED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1CC62B07" w14:textId="705B8FF2" w:rsidR="00FA0D2A" w:rsidRDefault="00FA0D2A" w:rsidP="00BD1413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75D6D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7</w:t>
      </w:r>
    </w:p>
    <w:p w14:paraId="796D7A5D" w14:textId="0388204C" w:rsidR="00FA0D2A" w:rsidRPr="003465E1" w:rsidRDefault="00FA0D2A" w:rsidP="00FA0D2A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MOTIVAČNÍ ÚČINEK PROJEKTU</w:t>
      </w:r>
    </w:p>
    <w:p w14:paraId="77FC4548" w14:textId="41ACBE0D" w:rsidR="00FA0D2A" w:rsidRDefault="00FA0D2A" w:rsidP="00BD1413">
      <w:pPr>
        <w:pStyle w:val="Zkladnodstavec"/>
        <w:rPr>
          <w:rFonts w:ascii="Arial" w:hAnsi="Arial" w:cs="Arial"/>
          <w:b/>
          <w:bCs/>
          <w:color w:val="2F5496" w:themeColor="accent1" w:themeShade="BF"/>
          <w:sz w:val="40"/>
          <w:szCs w:val="40"/>
        </w:rPr>
      </w:pPr>
    </w:p>
    <w:p w14:paraId="1B03DB7B" w14:textId="77777777" w:rsidR="004C27C9" w:rsidRPr="003B1634" w:rsidRDefault="004C27C9" w:rsidP="00BD1413">
      <w:pPr>
        <w:pStyle w:val="Zkladnodstavec"/>
        <w:rPr>
          <w:rFonts w:ascii="Arial" w:hAnsi="Arial" w:cs="Arial"/>
          <w:b/>
          <w:bCs/>
          <w:color w:val="2F5496" w:themeColor="accent1" w:themeShade="BF"/>
          <w:sz w:val="40"/>
          <w:szCs w:val="40"/>
        </w:rPr>
      </w:pPr>
    </w:p>
    <w:p w14:paraId="23FAD2F8" w14:textId="65D89A85" w:rsidR="00FA0D2A" w:rsidRPr="00537569" w:rsidRDefault="00675D6D" w:rsidP="00BD1413">
      <w:pPr>
        <w:spacing w:after="0" w:line="288" w:lineRule="auto"/>
        <w:jc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10</w:t>
      </w:r>
      <w:r w:rsidR="004C27C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8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. VÝZVA </w:t>
      </w:r>
      <w:proofErr w:type="gramStart"/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IROP </w:t>
      </w: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-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</w:t>
      </w: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Plnicí</w:t>
      </w:r>
      <w:proofErr w:type="gramEnd"/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a dobíjecí stanice pro veřejnou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DOPRAV</w:t>
      </w: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u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- SC 6.1 (</w:t>
      </w:r>
      <w:r w:rsidR="004C27C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ITI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)</w:t>
      </w:r>
    </w:p>
    <w:p w14:paraId="0096403B" w14:textId="77777777" w:rsidR="00FA0D2A" w:rsidRDefault="00FA0D2A" w:rsidP="00FA0D2A">
      <w:pPr>
        <w:spacing w:after="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1F2AB795" w14:textId="77777777" w:rsidR="00FA0D2A" w:rsidRDefault="00FA0D2A" w:rsidP="00FA0D2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FA0D2A" w:rsidSect="00216924">
          <w:head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3C2DD7CD" w14:textId="77777777" w:rsidR="006A53D8" w:rsidRDefault="006A53D8" w:rsidP="00FA0D2A">
      <w:pPr>
        <w:spacing w:after="120"/>
        <w:jc w:val="center"/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</w:pPr>
    </w:p>
    <w:p w14:paraId="2E8AD371" w14:textId="2DCD687A" w:rsidR="00FA0D2A" w:rsidRPr="00FA0D2A" w:rsidRDefault="00FA0D2A" w:rsidP="00FA0D2A">
      <w:pPr>
        <w:spacing w:after="120"/>
        <w:jc w:val="center"/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</w:pPr>
      <w:r w:rsidRPr="00FA0D2A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>Motivační účinek projekt</w:t>
      </w:r>
      <w:r w:rsidR="00FD14F9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>U</w:t>
      </w:r>
      <w:r w:rsidRPr="00FA0D2A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 xml:space="preserve"> v souladu s </w:t>
      </w:r>
      <w:bookmarkStart w:id="0" w:name="_Hlk141871320"/>
      <w:r w:rsidRPr="00FA0D2A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>Nařízením Komise (EU) č. 651/2014</w:t>
      </w:r>
    </w:p>
    <w:p w14:paraId="1EDE6BEC" w14:textId="67CA33EE" w:rsidR="00FA0D2A" w:rsidRPr="00FA0D2A" w:rsidRDefault="00FA0D2A" w:rsidP="00FA0D2A">
      <w:pPr>
        <w:spacing w:after="0" w:line="240" w:lineRule="auto"/>
        <w:jc w:val="center"/>
        <w:rPr>
          <w:rFonts w:ascii="Arial" w:hAnsi="Arial" w:cs="Arial"/>
        </w:rPr>
      </w:pPr>
      <w:r w:rsidRPr="00FA0D2A">
        <w:rPr>
          <w:rFonts w:ascii="Arial" w:hAnsi="Arial" w:cs="Arial"/>
        </w:rPr>
        <w:t>ze dne 17. června 2014, kterým se v souladu s články 107 a 108 Smlouvy prohlašují určité kategorie podpory za slučitelné s vnitřním trhem</w:t>
      </w:r>
      <w:bookmarkEnd w:id="0"/>
      <w:r w:rsidR="00952C80">
        <w:rPr>
          <w:rFonts w:ascii="Arial" w:hAnsi="Arial" w:cs="Arial"/>
        </w:rPr>
        <w:t>, ve znění</w:t>
      </w:r>
      <w:r w:rsidR="00952C80" w:rsidRPr="00952C80">
        <w:t xml:space="preserve"> </w:t>
      </w:r>
      <w:r w:rsidR="00952C80" w:rsidRPr="00952C80">
        <w:rPr>
          <w:rFonts w:ascii="Arial" w:hAnsi="Arial" w:cs="Arial"/>
        </w:rPr>
        <w:t>nařízení Komise (EU) 2023/1315 ze dne 23. června 2023</w:t>
      </w:r>
      <w:r w:rsidR="00324333">
        <w:rPr>
          <w:rStyle w:val="Znakapoznpodarou"/>
          <w:rFonts w:ascii="Arial" w:hAnsi="Arial" w:cs="Arial"/>
        </w:rPr>
        <w:footnoteReference w:id="1"/>
      </w:r>
      <w:r w:rsidR="006A53D8">
        <w:rPr>
          <w:rFonts w:ascii="Arial" w:hAnsi="Arial" w:cs="Arial"/>
        </w:rPr>
        <w:t xml:space="preserve"> (dále jen „nařízení Komise (EU)</w:t>
      </w:r>
      <w:r w:rsidR="00664B38">
        <w:rPr>
          <w:rFonts w:ascii="Arial" w:hAnsi="Arial" w:cs="Arial"/>
        </w:rPr>
        <w:br/>
      </w:r>
      <w:r w:rsidR="006A53D8">
        <w:rPr>
          <w:rFonts w:ascii="Arial" w:hAnsi="Arial" w:cs="Arial"/>
        </w:rPr>
        <w:t xml:space="preserve">č. 651/2014“) </w:t>
      </w:r>
      <w:r w:rsidRPr="00FA0D2A">
        <w:rPr>
          <w:rFonts w:ascii="Arial" w:hAnsi="Arial" w:cs="Arial"/>
        </w:rPr>
        <w:t xml:space="preserve"> </w:t>
      </w:r>
    </w:p>
    <w:p w14:paraId="55DEF65A" w14:textId="77777777" w:rsidR="00FA0D2A" w:rsidRPr="002A460B" w:rsidRDefault="00FA0D2A" w:rsidP="00FA0D2A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14:paraId="4225CD48" w14:textId="20E46B71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Motivační účinek je jedním z rozhodujících faktorů pro přidělení požadované podpory. V případě nepřítomnosti motivačního účinku je podpora neslučitelná s vnitřním trhem</w:t>
      </w:r>
      <w:r w:rsidR="004D14E4">
        <w:rPr>
          <w:rFonts w:ascii="Arial" w:hAnsi="Arial" w:cs="Arial"/>
        </w:rPr>
        <w:t>,</w:t>
      </w:r>
      <w:r w:rsidRPr="00FA0D2A">
        <w:rPr>
          <w:rFonts w:ascii="Arial" w:hAnsi="Arial" w:cs="Arial"/>
        </w:rPr>
        <w:t xml:space="preserve"> a</w:t>
      </w:r>
      <w:r w:rsidR="00221116">
        <w:rPr>
          <w:rFonts w:ascii="Arial" w:hAnsi="Arial" w:cs="Arial"/>
        </w:rPr>
        <w:t> </w:t>
      </w:r>
      <w:r w:rsidRPr="00FA0D2A">
        <w:rPr>
          <w:rFonts w:ascii="Arial" w:hAnsi="Arial" w:cs="Arial"/>
        </w:rPr>
        <w:t xml:space="preserve">nemůže </w:t>
      </w:r>
      <w:proofErr w:type="gramStart"/>
      <w:r w:rsidRPr="00FA0D2A">
        <w:rPr>
          <w:rFonts w:ascii="Arial" w:hAnsi="Arial" w:cs="Arial"/>
        </w:rPr>
        <w:t>být</w:t>
      </w:r>
      <w:proofErr w:type="gramEnd"/>
      <w:r w:rsidRPr="00FA0D2A">
        <w:rPr>
          <w:rFonts w:ascii="Arial" w:hAnsi="Arial" w:cs="Arial"/>
        </w:rPr>
        <w:t xml:space="preserve"> proto </w:t>
      </w:r>
      <w:r w:rsidR="009E3317">
        <w:rPr>
          <w:rFonts w:ascii="Arial" w:hAnsi="Arial" w:cs="Arial"/>
        </w:rPr>
        <w:t>poskytnuta</w:t>
      </w:r>
      <w:r w:rsidRPr="00FA0D2A">
        <w:rPr>
          <w:rFonts w:ascii="Arial" w:hAnsi="Arial" w:cs="Arial"/>
        </w:rPr>
        <w:t xml:space="preserve">. </w:t>
      </w:r>
    </w:p>
    <w:p w14:paraId="3F41213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40A32D1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Podpora vykazuje motivační účinek, jestliže příjemce zahájí další činnosti, které přispívají k rozvoji dané oblasti a které by bez poskytnutí podpory nezahájil či nevykonával nebo by ji zahájil či vykonával omezeným nebo jiným způsobem nebo v jiném umístění. Podpora nesmí subvencovat náklady na činnost, které by příjemci vznikly v každém případě, a nesmí vyrovnávat běžná rizika činnosti. </w:t>
      </w:r>
    </w:p>
    <w:p w14:paraId="4F04BDF7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03F88FF1" w14:textId="52DFB1A0" w:rsidR="00FA0D2A" w:rsidRPr="00FA0D2A" w:rsidRDefault="006A53D8" w:rsidP="00FA0D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Podle čl. 6 nařízení Komise (EU) č. 651/2014 má p</w:t>
      </w:r>
      <w:r w:rsidR="00FA0D2A" w:rsidRPr="00FA0D2A">
        <w:rPr>
          <w:rFonts w:ascii="Arial" w:hAnsi="Arial" w:cs="Arial"/>
        </w:rPr>
        <w:t xml:space="preserve">odpora motivační účinek, pokud příjemce předložil žádost o podporu před zahájením prací na projektu nebo činnosti. </w:t>
      </w:r>
    </w:p>
    <w:p w14:paraId="71B6B08B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089FB3D8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UPOZORNĚNÍ</w:t>
      </w:r>
    </w:p>
    <w:p w14:paraId="71C315F2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V případě neprokázání motivačního účinku podpory během hodnocení formálních náležitostí a přijatelnosti je žádost o podporu vyřazena z dalšího procesu hodnocení. </w:t>
      </w:r>
    </w:p>
    <w:p w14:paraId="642DD2C2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Při zjištění nedodržení podmínek motivačního účinku projektu v průběhu realizace projektu je s příjemcem podpory zahájeno řízení o odejmutí celé dotace v souladu s § 15 odst. 1 písm. b) zákona č. 218/2000 Sb., o rozpočtových pravidlech. </w:t>
      </w:r>
    </w:p>
    <w:p w14:paraId="4CFB416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5E08FFF5" w14:textId="75FAA09E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Při volbě postupu zadání </w:t>
      </w:r>
      <w:r w:rsidR="009E3317">
        <w:rPr>
          <w:rFonts w:ascii="Arial" w:hAnsi="Arial" w:cs="Arial"/>
        </w:rPr>
        <w:t xml:space="preserve">veřejné </w:t>
      </w:r>
      <w:r w:rsidRPr="00FA0D2A">
        <w:rPr>
          <w:rFonts w:ascii="Arial" w:hAnsi="Arial" w:cs="Arial"/>
        </w:rPr>
        <w:t xml:space="preserve">zakázky </w:t>
      </w:r>
      <w:r w:rsidR="009E3317">
        <w:rPr>
          <w:rFonts w:ascii="Arial" w:hAnsi="Arial" w:cs="Arial"/>
        </w:rPr>
        <w:t xml:space="preserve">musí </w:t>
      </w:r>
      <w:r w:rsidRPr="00FA0D2A">
        <w:rPr>
          <w:rFonts w:ascii="Arial" w:hAnsi="Arial" w:cs="Arial"/>
        </w:rPr>
        <w:t xml:space="preserve">zadavatel zohlednit nejen pravidla pro zadávání </w:t>
      </w:r>
      <w:r w:rsidR="009E3317">
        <w:rPr>
          <w:rFonts w:ascii="Arial" w:hAnsi="Arial" w:cs="Arial"/>
        </w:rPr>
        <w:t xml:space="preserve">veřejných </w:t>
      </w:r>
      <w:r w:rsidRPr="00FA0D2A">
        <w:rPr>
          <w:rFonts w:ascii="Arial" w:hAnsi="Arial" w:cs="Arial"/>
        </w:rPr>
        <w:t>zakázek IROP (zákon č. 134/2016 Sb., o zadávání veřejných zakázek, ve znění pozdějších předpisů), ale i podmínku dodržení motivačního účinku.</w:t>
      </w:r>
    </w:p>
    <w:p w14:paraId="1A50374B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1265F132" w14:textId="77777777" w:rsidR="00FA0D2A" w:rsidRPr="00221116" w:rsidRDefault="00FA0D2A" w:rsidP="006A53D8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Zahájení zadávacího/výběrového řízení před podáním žádosti o podporu</w:t>
      </w:r>
    </w:p>
    <w:p w14:paraId="6BE2C070" w14:textId="74039391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V případě zahájení zadávacího/výběrového řízení </w:t>
      </w:r>
      <w:r w:rsidR="00851CBC">
        <w:rPr>
          <w:rFonts w:ascii="Arial" w:hAnsi="Arial" w:cs="Arial"/>
        </w:rPr>
        <w:t>na</w:t>
      </w:r>
      <w:r w:rsidR="0002243A">
        <w:rPr>
          <w:rFonts w:ascii="Arial" w:hAnsi="Arial" w:cs="Arial"/>
        </w:rPr>
        <w:t xml:space="preserve"> činnost</w:t>
      </w:r>
      <w:r w:rsidR="00851CBC">
        <w:rPr>
          <w:rFonts w:ascii="Arial" w:hAnsi="Arial" w:cs="Arial"/>
        </w:rPr>
        <w:t>i</w:t>
      </w:r>
      <w:r w:rsidR="0002243A">
        <w:rPr>
          <w:rFonts w:ascii="Arial" w:hAnsi="Arial" w:cs="Arial"/>
        </w:rPr>
        <w:t xml:space="preserve">, </w:t>
      </w:r>
      <w:r w:rsidR="00851CBC">
        <w:rPr>
          <w:rFonts w:ascii="Arial" w:hAnsi="Arial" w:cs="Arial"/>
        </w:rPr>
        <w:t>k</w:t>
      </w:r>
      <w:r w:rsidR="0002243A">
        <w:rPr>
          <w:rFonts w:ascii="Arial" w:hAnsi="Arial" w:cs="Arial"/>
        </w:rPr>
        <w:t xml:space="preserve">teré </w:t>
      </w:r>
      <w:r w:rsidR="00851CBC">
        <w:rPr>
          <w:rFonts w:ascii="Arial" w:hAnsi="Arial" w:cs="Arial"/>
        </w:rPr>
        <w:t>by mohly p</w:t>
      </w:r>
      <w:r w:rsidR="0002243A">
        <w:rPr>
          <w:rFonts w:ascii="Arial" w:hAnsi="Arial" w:cs="Arial"/>
        </w:rPr>
        <w:t>ředstav</w:t>
      </w:r>
      <w:r w:rsidR="00851CBC">
        <w:rPr>
          <w:rFonts w:ascii="Arial" w:hAnsi="Arial" w:cs="Arial"/>
        </w:rPr>
        <w:t>ovat</w:t>
      </w:r>
      <w:r w:rsidR="0002243A">
        <w:rPr>
          <w:rFonts w:ascii="Arial" w:hAnsi="Arial" w:cs="Arial"/>
        </w:rPr>
        <w:t xml:space="preserve"> zahájení prací dle čl. 2 odst. 23 nařízení </w:t>
      </w:r>
      <w:r w:rsidR="00796404">
        <w:rPr>
          <w:rFonts w:ascii="Arial" w:hAnsi="Arial" w:cs="Arial"/>
        </w:rPr>
        <w:t xml:space="preserve">Komise (EU) </w:t>
      </w:r>
      <w:r w:rsidR="0002243A">
        <w:rPr>
          <w:rFonts w:ascii="Arial" w:hAnsi="Arial" w:cs="Arial"/>
        </w:rPr>
        <w:t>č. 651/2014</w:t>
      </w:r>
      <w:r w:rsidR="0002243A">
        <w:rPr>
          <w:rStyle w:val="Znakapoznpodarou"/>
          <w:rFonts w:ascii="Arial" w:hAnsi="Arial" w:cs="Arial"/>
        </w:rPr>
        <w:footnoteReference w:id="2"/>
      </w:r>
      <w:r w:rsidR="003E34DF">
        <w:rPr>
          <w:rFonts w:ascii="Arial" w:hAnsi="Arial" w:cs="Arial"/>
        </w:rPr>
        <w:t>,</w:t>
      </w:r>
      <w:r w:rsidR="0002243A">
        <w:rPr>
          <w:rFonts w:ascii="Arial" w:hAnsi="Arial" w:cs="Arial"/>
        </w:rPr>
        <w:t xml:space="preserve"> </w:t>
      </w:r>
      <w:r w:rsidRPr="00FA0D2A">
        <w:rPr>
          <w:rFonts w:ascii="Arial" w:hAnsi="Arial" w:cs="Arial"/>
        </w:rPr>
        <w:t xml:space="preserve">před podáním žádosti o podporu </w:t>
      </w:r>
      <w:r w:rsidR="009E3317">
        <w:rPr>
          <w:rFonts w:ascii="Arial" w:hAnsi="Arial" w:cs="Arial"/>
        </w:rPr>
        <w:t xml:space="preserve">závisí </w:t>
      </w:r>
      <w:r w:rsidRPr="00FA0D2A">
        <w:rPr>
          <w:rFonts w:ascii="Arial" w:hAnsi="Arial" w:cs="Arial"/>
        </w:rPr>
        <w:t xml:space="preserve">splnění podmínky motivačního účinku na posouzení, zda zahájení zadávacího řízení má či nemá charakter závazku, v jehož důsledku se investice stává nezvratnou. Pokud </w:t>
      </w:r>
      <w:r w:rsidR="00E17C32">
        <w:rPr>
          <w:rFonts w:ascii="Arial" w:hAnsi="Arial" w:cs="Arial"/>
        </w:rPr>
        <w:t xml:space="preserve">je </w:t>
      </w:r>
      <w:r w:rsidRPr="00FA0D2A">
        <w:rPr>
          <w:rFonts w:ascii="Arial" w:hAnsi="Arial" w:cs="Arial"/>
        </w:rPr>
        <w:t xml:space="preserve">zadavatel oprávněn zadávací/výběrové řízení (např. z důvodu neobdržení podpory) zrušit, nepředstavuje zahájení zadávacího/výběrového řízení závazek, v jehož důsledku se investice </w:t>
      </w:r>
      <w:r w:rsidRPr="00FA0D2A">
        <w:rPr>
          <w:rFonts w:ascii="Arial" w:hAnsi="Arial" w:cs="Arial"/>
        </w:rPr>
        <w:lastRenderedPageBreak/>
        <w:t xml:space="preserve">stává nezvratnou. Zahájením zadávacího/výběrového řízení před podáním žádosti o podporu by v takovém případě nedošlo k porušení podmínky motivačního účinku. </w:t>
      </w:r>
    </w:p>
    <w:p w14:paraId="74FD6825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38913D2A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Uzavření smlouvy na plnění zakázky před podáním žádosti o podporu</w:t>
      </w:r>
    </w:p>
    <w:p w14:paraId="36E4597D" w14:textId="60A03FA4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Pokud uzavření smlouvy nepředstavuje závazek, v jehož důsledku se investice stává nezvratnou, pak zahájením prací, a tedy uzavřením smlouvy před podáním žádosti o podporu</w:t>
      </w:r>
      <w:r w:rsidR="002433DA">
        <w:rPr>
          <w:rFonts w:ascii="Arial" w:hAnsi="Arial" w:cs="Arial"/>
        </w:rPr>
        <w:t>,</w:t>
      </w:r>
      <w:r w:rsidRPr="00FA0D2A">
        <w:rPr>
          <w:rFonts w:ascii="Arial" w:hAnsi="Arial" w:cs="Arial"/>
        </w:rPr>
        <w:t xml:space="preserve"> nedojde k porušení podmínky motivačního účinku. </w:t>
      </w:r>
    </w:p>
    <w:p w14:paraId="7149D31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K zahájení prací</w:t>
      </w:r>
      <w:r w:rsidRPr="00FA0D2A" w:rsidDel="00D748DB">
        <w:rPr>
          <w:rFonts w:ascii="Arial" w:hAnsi="Arial" w:cs="Arial"/>
        </w:rPr>
        <w:t xml:space="preserve"> </w:t>
      </w:r>
      <w:r w:rsidRPr="00FA0D2A">
        <w:rPr>
          <w:rFonts w:ascii="Arial" w:hAnsi="Arial" w:cs="Arial"/>
        </w:rPr>
        <w:t xml:space="preserve">nedojde, pokud smlouva umožňuje zadavateli bez sankce před realizací projektu od ní jednostranně odstoupit, případně je-li účinnost smlouvy podmíněna tím, že zadavatel </w:t>
      </w:r>
      <w:proofErr w:type="gramStart"/>
      <w:r w:rsidRPr="00FA0D2A">
        <w:rPr>
          <w:rFonts w:ascii="Arial" w:hAnsi="Arial" w:cs="Arial"/>
        </w:rPr>
        <w:t>obdrží</w:t>
      </w:r>
      <w:proofErr w:type="gramEnd"/>
      <w:r w:rsidRPr="00FA0D2A">
        <w:rPr>
          <w:rFonts w:ascii="Arial" w:hAnsi="Arial" w:cs="Arial"/>
        </w:rPr>
        <w:t xml:space="preserve"> na předmět plnění smlouvy podporu. </w:t>
      </w:r>
    </w:p>
    <w:p w14:paraId="383432E2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4590E8FC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Uzavření smlouvy na plnění zakázky a provedení přípravných prací podle takové smlouvy před podáním žádosti o podporu</w:t>
      </w:r>
    </w:p>
    <w:p w14:paraId="6346E010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Pokud předmětem plnění jedné smlouvy je realizace samotného projektu (investice) a zároveň přípravné práce, pak její uzavření před podáním žádosti o podporu je možné, pokud zadavatel je oprávněn před realizací projektu jednostranně od smlouvy bez sankcí odstoupit nebo účinnost části smlouvy, která upravuje realizaci projektu, je podmíněna obdržením podpory. </w:t>
      </w:r>
    </w:p>
    <w:p w14:paraId="310EC1D2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1E2E605F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Realizace přípravných prací</w:t>
      </w:r>
    </w:p>
    <w:p w14:paraId="7433D022" w14:textId="325061D0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Část plnění smlouvy na realizaci přípravných prací </w:t>
      </w:r>
      <w:r w:rsidR="00E01A52">
        <w:rPr>
          <w:rFonts w:ascii="Arial" w:hAnsi="Arial" w:cs="Arial"/>
        </w:rPr>
        <w:t xml:space="preserve">nebo plnění samostatné smlouvy na realizaci přípravných prací </w:t>
      </w:r>
      <w:r w:rsidRPr="00FA0D2A">
        <w:rPr>
          <w:rFonts w:ascii="Arial" w:hAnsi="Arial" w:cs="Arial"/>
        </w:rPr>
        <w:t>je možno realizovat ještě před podáním žádosti o podporu, nicméně aby byla dodržena podmínka motivačního účinku, nemohou být dle výkladů Evropské komise náklady na přípravné práce vynaložené před podáním žádosti předmětem podpory poskytnuté dle</w:t>
      </w:r>
      <w:r w:rsidR="00AE46F6" w:rsidRPr="00AE46F6">
        <w:rPr>
          <w:rFonts w:ascii="Arial" w:hAnsi="Arial" w:cs="Arial"/>
        </w:rPr>
        <w:t xml:space="preserve"> </w:t>
      </w:r>
      <w:r w:rsidR="00AE46F6">
        <w:rPr>
          <w:rFonts w:ascii="Arial" w:hAnsi="Arial" w:cs="Arial"/>
        </w:rPr>
        <w:t xml:space="preserve">nařízení </w:t>
      </w:r>
      <w:r w:rsidR="00FE7B51">
        <w:rPr>
          <w:rFonts w:ascii="Arial" w:hAnsi="Arial" w:cs="Arial"/>
        </w:rPr>
        <w:t xml:space="preserve">Komise (EU) </w:t>
      </w:r>
      <w:r w:rsidR="00AE46F6">
        <w:rPr>
          <w:rFonts w:ascii="Arial" w:hAnsi="Arial" w:cs="Arial"/>
        </w:rPr>
        <w:t>č. 651/2014</w:t>
      </w:r>
      <w:r w:rsidRPr="00FA0D2A">
        <w:rPr>
          <w:rFonts w:ascii="Arial" w:hAnsi="Arial" w:cs="Arial"/>
        </w:rPr>
        <w:t xml:space="preserve">. Přípravné práce a práce na realizaci samotného projektu by měly být ve smlouvě jasně odděleny. </w:t>
      </w:r>
    </w:p>
    <w:p w14:paraId="62348533" w14:textId="77777777" w:rsidR="00021E04" w:rsidRDefault="00021E04" w:rsidP="00FA0D2A">
      <w:pPr>
        <w:spacing w:after="0" w:line="240" w:lineRule="auto"/>
        <w:jc w:val="both"/>
        <w:rPr>
          <w:rFonts w:ascii="Arial" w:hAnsi="Arial" w:cs="Arial"/>
        </w:rPr>
      </w:pPr>
    </w:p>
    <w:p w14:paraId="02C4AE54" w14:textId="6BD19456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Činnosti, které je možné zahájit před podáním žádosti o podporu, ale výdaje na jejich úhradu nesmí být zahrnuty do způsobilých výdajů:</w:t>
      </w:r>
    </w:p>
    <w:p w14:paraId="4E60774D" w14:textId="48411F41" w:rsidR="00FA0D2A" w:rsidRPr="00FA0D2A" w:rsidRDefault="00FA0D2A" w:rsidP="00FA0D2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projektová dokumentace</w:t>
      </w:r>
      <w:r w:rsidR="001F50FF">
        <w:rPr>
          <w:rFonts w:ascii="Arial" w:hAnsi="Arial" w:cs="Arial"/>
        </w:rPr>
        <w:t xml:space="preserve"> před podáním žádosti o podporu</w:t>
      </w:r>
      <w:r w:rsidR="00D55332">
        <w:rPr>
          <w:rFonts w:ascii="Arial" w:hAnsi="Arial" w:cs="Arial"/>
        </w:rPr>
        <w:t>;</w:t>
      </w:r>
    </w:p>
    <w:p w14:paraId="74D24A8F" w14:textId="77777777" w:rsidR="00D55332" w:rsidRDefault="00FA0D2A" w:rsidP="00FA0D2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nákup nemovitostí</w:t>
      </w:r>
      <w:r w:rsidR="00D55332">
        <w:rPr>
          <w:rFonts w:ascii="Arial" w:hAnsi="Arial" w:cs="Arial"/>
        </w:rPr>
        <w:t>;</w:t>
      </w:r>
    </w:p>
    <w:p w14:paraId="65CD93F3" w14:textId="3D811F89" w:rsidR="00FA0D2A" w:rsidRPr="00FA0D2A" w:rsidRDefault="00D55332" w:rsidP="00FA0D2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příprava a zpracování žádosti o podporu</w:t>
      </w:r>
      <w:r w:rsidR="00FA0D2A" w:rsidRPr="00FA0D2A">
        <w:rPr>
          <w:rFonts w:ascii="Arial" w:hAnsi="Arial" w:cs="Arial"/>
        </w:rPr>
        <w:t xml:space="preserve">. </w:t>
      </w:r>
    </w:p>
    <w:p w14:paraId="2D464C57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7CEB64B1" w14:textId="2010C79C" w:rsid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Při posouzení konkrétních činností, které je možné zahájit před podáním žádosti o podporu, je relevantní hledisko, zda žadatel může před podáním žádosti o podporu ustoupit od realizace projektu, aniž by mu tím vznikly nepřiměřené ztráty nebo náklady (např. vysoké smluvní pokuty nebo vysoké náklady na zpracování dokumentace, která nemusí být využita). V případech pochybností bude povinností žadatele prokázat, že činnosti, zahájené před podáním žádosti o podporu, splňuji podmínku motivačního účinku. </w:t>
      </w:r>
    </w:p>
    <w:p w14:paraId="6D82D84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6658E793" w14:textId="0E7622C7" w:rsidR="00F961B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Žadatel nemůže před podáním žádosti o podporu realizovat</w:t>
      </w:r>
      <w:r w:rsidR="00F961BA">
        <w:rPr>
          <w:rFonts w:ascii="Arial" w:hAnsi="Arial" w:cs="Arial"/>
        </w:rPr>
        <w:t xml:space="preserve"> následující činnosti:</w:t>
      </w:r>
    </w:p>
    <w:p w14:paraId="3BA51E2D" w14:textId="2D271839" w:rsidR="00F961BA" w:rsidRPr="00FA0D2A" w:rsidRDefault="00F961BA" w:rsidP="00F961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961BA">
        <w:rPr>
          <w:rFonts w:ascii="Arial" w:hAnsi="Arial" w:cs="Arial"/>
        </w:rPr>
        <w:t>pořízení stavby formou výstavby a stavební úpravy</w:t>
      </w:r>
      <w:r w:rsidRPr="00FA0D2A">
        <w:rPr>
          <w:rFonts w:ascii="Arial" w:hAnsi="Arial" w:cs="Arial"/>
        </w:rPr>
        <w:t>;</w:t>
      </w:r>
    </w:p>
    <w:p w14:paraId="6792E555" w14:textId="77777777" w:rsidR="006C3A3E" w:rsidRPr="005C42F6" w:rsidRDefault="00F961BA" w:rsidP="00F961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C42F6">
        <w:rPr>
          <w:rFonts w:ascii="Arial" w:hAnsi="Arial" w:cs="Arial"/>
        </w:rPr>
        <w:t>pořízení majetku</w:t>
      </w:r>
      <w:r w:rsidR="006C3A3E" w:rsidRPr="005C42F6">
        <w:rPr>
          <w:rFonts w:ascii="Arial" w:hAnsi="Arial" w:cs="Arial"/>
        </w:rPr>
        <w:t>;</w:t>
      </w:r>
    </w:p>
    <w:p w14:paraId="204E995D" w14:textId="483B6118" w:rsidR="006C3A3E" w:rsidRPr="005C42F6" w:rsidRDefault="006C3A3E" w:rsidP="00F961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C42F6">
        <w:rPr>
          <w:rFonts w:ascii="Arial" w:hAnsi="Arial" w:cs="Arial"/>
        </w:rPr>
        <w:t>zabezpečení výstavby;</w:t>
      </w:r>
    </w:p>
    <w:p w14:paraId="488371D3" w14:textId="119F8777" w:rsidR="00F961BA" w:rsidRPr="006178B2" w:rsidRDefault="006C3A3E" w:rsidP="006178B2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6178B2">
        <w:rPr>
          <w:rFonts w:ascii="Arial" w:hAnsi="Arial" w:cs="Arial"/>
        </w:rPr>
        <w:t>povinná publicita.</w:t>
      </w:r>
    </w:p>
    <w:p w14:paraId="24EC486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71927CE7" w14:textId="77777777" w:rsidR="00C63CFC" w:rsidRPr="00FA0D2A" w:rsidRDefault="00C63CFC">
      <w:pPr>
        <w:rPr>
          <w:rFonts w:ascii="Arial" w:hAnsi="Arial" w:cs="Arial"/>
        </w:rPr>
      </w:pPr>
    </w:p>
    <w:sectPr w:rsidR="00C63CFC" w:rsidRPr="00FA0D2A" w:rsidSect="00B63EC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E2B80" w14:textId="77777777" w:rsidR="00C14299" w:rsidRDefault="00C14299">
      <w:pPr>
        <w:spacing w:after="0" w:line="240" w:lineRule="auto"/>
      </w:pPr>
      <w:r>
        <w:separator/>
      </w:r>
    </w:p>
  </w:endnote>
  <w:endnote w:type="continuationSeparator" w:id="0">
    <w:p w14:paraId="541BE7B3" w14:textId="77777777" w:rsidR="00C14299" w:rsidRDefault="00C1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015374"/>
      <w:docPartObj>
        <w:docPartGallery w:val="Page Numbers (Bottom of Page)"/>
        <w:docPartUnique/>
      </w:docPartObj>
    </w:sdtPr>
    <w:sdtEndPr/>
    <w:sdtContent>
      <w:p w14:paraId="48AEBA48" w14:textId="77777777" w:rsidR="00F818EC" w:rsidRDefault="006A5DE3">
        <w:pPr>
          <w:pStyle w:val="Zpat"/>
          <w:jc w:val="right"/>
        </w:pPr>
        <w:r w:rsidRPr="003B1634">
          <w:rPr>
            <w:rFonts w:ascii="Arial" w:hAnsi="Arial" w:cs="Arial"/>
            <w:sz w:val="20"/>
            <w:szCs w:val="20"/>
          </w:rPr>
          <w:fldChar w:fldCharType="begin"/>
        </w:r>
        <w:r w:rsidRPr="003B1634">
          <w:rPr>
            <w:rFonts w:ascii="Arial" w:hAnsi="Arial" w:cs="Arial"/>
            <w:sz w:val="20"/>
            <w:szCs w:val="20"/>
          </w:rPr>
          <w:instrText>PAGE   \* MERGEFORMAT</w:instrText>
        </w:r>
        <w:r w:rsidRPr="003B1634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3</w:t>
        </w:r>
        <w:r w:rsidRPr="003B163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22D3D8F" w14:textId="77777777" w:rsidR="00F818EC" w:rsidRDefault="004C27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09992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355A60A" w14:textId="63EAE837" w:rsidR="0029363E" w:rsidRPr="00BD1413" w:rsidRDefault="0029363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BD1413">
          <w:rPr>
            <w:rFonts w:ascii="Arial" w:hAnsi="Arial" w:cs="Arial"/>
            <w:sz w:val="20"/>
            <w:szCs w:val="20"/>
          </w:rPr>
          <w:fldChar w:fldCharType="begin"/>
        </w:r>
        <w:r w:rsidRPr="00BD1413">
          <w:rPr>
            <w:rFonts w:ascii="Arial" w:hAnsi="Arial" w:cs="Arial"/>
            <w:sz w:val="20"/>
            <w:szCs w:val="20"/>
          </w:rPr>
          <w:instrText>PAGE   \* MERGEFORMAT</w:instrText>
        </w:r>
        <w:r w:rsidRPr="00BD1413">
          <w:rPr>
            <w:rFonts w:ascii="Arial" w:hAnsi="Arial" w:cs="Arial"/>
            <w:sz w:val="20"/>
            <w:szCs w:val="20"/>
          </w:rPr>
          <w:fldChar w:fldCharType="separate"/>
        </w:r>
        <w:r w:rsidRPr="00BD1413">
          <w:rPr>
            <w:rFonts w:ascii="Arial" w:hAnsi="Arial" w:cs="Arial"/>
            <w:sz w:val="20"/>
            <w:szCs w:val="20"/>
          </w:rPr>
          <w:t>2</w:t>
        </w:r>
        <w:r w:rsidRPr="00BD14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8359C4C" w14:textId="77777777" w:rsidR="00236227" w:rsidRPr="00764C07" w:rsidRDefault="004C27C9" w:rsidP="006062C2">
    <w:pPr>
      <w:pStyle w:val="Zpat"/>
      <w:rPr>
        <w:rFonts w:asciiTheme="majorHAnsi" w:hAnsiTheme="maj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58109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A1C9284" w14:textId="4292F04E" w:rsidR="0029363E" w:rsidRPr="00BD1413" w:rsidRDefault="0029363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BD1413">
          <w:rPr>
            <w:rFonts w:ascii="Arial" w:hAnsi="Arial" w:cs="Arial"/>
            <w:sz w:val="20"/>
            <w:szCs w:val="20"/>
          </w:rPr>
          <w:fldChar w:fldCharType="begin"/>
        </w:r>
        <w:r w:rsidRPr="00BD1413">
          <w:rPr>
            <w:rFonts w:ascii="Arial" w:hAnsi="Arial" w:cs="Arial"/>
            <w:sz w:val="20"/>
            <w:szCs w:val="20"/>
          </w:rPr>
          <w:instrText>PAGE   \* MERGEFORMAT</w:instrText>
        </w:r>
        <w:r w:rsidRPr="00BD1413">
          <w:rPr>
            <w:rFonts w:ascii="Arial" w:hAnsi="Arial" w:cs="Arial"/>
            <w:sz w:val="20"/>
            <w:szCs w:val="20"/>
          </w:rPr>
          <w:fldChar w:fldCharType="separate"/>
        </w:r>
        <w:r w:rsidRPr="00BD1413">
          <w:rPr>
            <w:rFonts w:ascii="Arial" w:hAnsi="Arial" w:cs="Arial"/>
            <w:sz w:val="20"/>
            <w:szCs w:val="20"/>
          </w:rPr>
          <w:t>2</w:t>
        </w:r>
        <w:r w:rsidRPr="00BD14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FDA829D" w14:textId="77777777" w:rsidR="006062C2" w:rsidRDefault="004C27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F40D5" w14:textId="77777777" w:rsidR="00C14299" w:rsidRDefault="00C14299">
      <w:pPr>
        <w:spacing w:after="0" w:line="240" w:lineRule="auto"/>
      </w:pPr>
      <w:r>
        <w:separator/>
      </w:r>
    </w:p>
  </w:footnote>
  <w:footnote w:type="continuationSeparator" w:id="0">
    <w:p w14:paraId="24270C22" w14:textId="77777777" w:rsidR="00C14299" w:rsidRDefault="00C14299">
      <w:pPr>
        <w:spacing w:after="0" w:line="240" w:lineRule="auto"/>
      </w:pPr>
      <w:r>
        <w:continuationSeparator/>
      </w:r>
    </w:p>
  </w:footnote>
  <w:footnote w:id="1">
    <w:p w14:paraId="2A2E44FF" w14:textId="71EB6F45" w:rsidR="00324333" w:rsidRPr="00BF1A1C" w:rsidRDefault="00324333" w:rsidP="00BF1A1C">
      <w:pPr>
        <w:pStyle w:val="Textpoznpodarou"/>
        <w:spacing w:after="60"/>
        <w:jc w:val="both"/>
        <w:rPr>
          <w:rFonts w:ascii="Arial" w:hAnsi="Arial" w:cs="Arial"/>
          <w:sz w:val="18"/>
          <w:szCs w:val="18"/>
        </w:rPr>
      </w:pPr>
      <w:r w:rsidRPr="00BF1A1C">
        <w:rPr>
          <w:rStyle w:val="Znakapoznpodarou"/>
          <w:rFonts w:ascii="Arial" w:hAnsi="Arial" w:cs="Arial"/>
          <w:sz w:val="18"/>
          <w:szCs w:val="18"/>
        </w:rPr>
        <w:footnoteRef/>
      </w:r>
      <w:r w:rsidRPr="00BF1A1C">
        <w:rPr>
          <w:rFonts w:ascii="Arial" w:hAnsi="Arial" w:cs="Arial"/>
          <w:sz w:val="18"/>
          <w:szCs w:val="18"/>
        </w:rPr>
        <w:t xml:space="preserve"> </w:t>
      </w:r>
      <w:r w:rsidR="00BF1A1C" w:rsidRPr="00BF1A1C">
        <w:rPr>
          <w:rFonts w:ascii="Arial" w:hAnsi="Arial" w:cs="Arial"/>
          <w:sz w:val="18"/>
          <w:szCs w:val="18"/>
        </w:rPr>
        <w:t>N</w:t>
      </w:r>
      <w:r w:rsidR="00BF1A1C">
        <w:rPr>
          <w:rFonts w:ascii="Arial" w:hAnsi="Arial" w:cs="Arial"/>
          <w:sz w:val="18"/>
          <w:szCs w:val="18"/>
        </w:rPr>
        <w:t xml:space="preserve">ařízení Komise </w:t>
      </w:r>
      <w:r w:rsidR="00BF1A1C" w:rsidRPr="00BF1A1C">
        <w:rPr>
          <w:rFonts w:ascii="Arial" w:hAnsi="Arial" w:cs="Arial"/>
          <w:sz w:val="18"/>
          <w:szCs w:val="18"/>
        </w:rPr>
        <w:t>(EU) Č. 651/2014</w:t>
      </w:r>
      <w:r w:rsidR="00BF1A1C">
        <w:rPr>
          <w:rFonts w:ascii="Arial" w:hAnsi="Arial" w:cs="Arial"/>
          <w:sz w:val="18"/>
          <w:szCs w:val="18"/>
        </w:rPr>
        <w:t xml:space="preserve"> </w:t>
      </w:r>
      <w:r w:rsidR="00BF1A1C" w:rsidRPr="00BF1A1C">
        <w:rPr>
          <w:rFonts w:ascii="Arial" w:hAnsi="Arial" w:cs="Arial"/>
          <w:sz w:val="18"/>
          <w:szCs w:val="18"/>
        </w:rPr>
        <w:t>ze dne 17. června 2014, kterým se v souladu s články 107 a 108 Smlouvy prohlašují určité kategorie podpory za slučitelné s vnitřním trhem</w:t>
      </w:r>
      <w:r w:rsidR="00BF1A1C">
        <w:rPr>
          <w:rFonts w:ascii="Arial" w:hAnsi="Arial" w:cs="Arial"/>
          <w:sz w:val="18"/>
          <w:szCs w:val="18"/>
        </w:rPr>
        <w:t xml:space="preserve">, ve znění </w:t>
      </w:r>
      <w:r w:rsidR="00BF1A1C" w:rsidRPr="00BF1A1C">
        <w:rPr>
          <w:rFonts w:ascii="Arial" w:hAnsi="Arial" w:cs="Arial"/>
          <w:sz w:val="18"/>
          <w:szCs w:val="18"/>
        </w:rPr>
        <w:t>Nařízení Komise (EU) 2023/1315 ze dne 23. června 2023, o změně nařízení (EU) č. 651/2014, kterým se v souladu s články 107 a 108 Smlouvy prohlašují určité kategorie podpory za slučitelné s vnitřním trhem, a nařízení (EU) 2022/2473, kterým se určité kategorie podpory pro podniky působící v oblasti produkce, zpracování a uvádění produktů rybolovu a akvakultury na trh prohlašují za slučitelné s vnitřním trhem podle článků 107 a 108 Smlouvy</w:t>
      </w:r>
    </w:p>
  </w:footnote>
  <w:footnote w:id="2">
    <w:p w14:paraId="6D62205B" w14:textId="77777777" w:rsidR="0002243A" w:rsidRPr="00BF1A1C" w:rsidRDefault="0002243A" w:rsidP="00BF1A1C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F1A1C">
        <w:rPr>
          <w:rStyle w:val="Znakapoznpodarou"/>
          <w:rFonts w:ascii="Arial" w:hAnsi="Arial" w:cs="Arial"/>
          <w:sz w:val="18"/>
          <w:szCs w:val="18"/>
        </w:rPr>
        <w:footnoteRef/>
      </w:r>
      <w:r w:rsidRPr="00BF1A1C">
        <w:rPr>
          <w:rFonts w:ascii="Arial" w:hAnsi="Arial" w:cs="Arial"/>
          <w:sz w:val="18"/>
          <w:szCs w:val="18"/>
        </w:rPr>
        <w:t xml:space="preserve"> „Zahájením prací“ se rozumí buď zahájení stavebních prací v rámci investice, nebo první právně vymahatelný závazek objednat zařízení či jiný závazek, v jehož důsledku se investice stává nezvratnou, podle toho, která událost nastane dříve.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A206" w14:textId="77777777" w:rsidR="00566C1A" w:rsidRDefault="004C27C9" w:rsidP="008A17FD">
    <w:pPr>
      <w:pStyle w:val="Zhlav"/>
      <w:jc w:val="center"/>
    </w:pPr>
  </w:p>
  <w:p w14:paraId="64A896DF" w14:textId="77777777" w:rsidR="00566C1A" w:rsidRDefault="004C27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CC64" w14:textId="77777777" w:rsidR="00566C1A" w:rsidRDefault="006A5DE3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2239FC1F" wp14:editId="258A05EF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8305" w14:textId="683781C8" w:rsidR="00014DAD" w:rsidRPr="00BD1413" w:rsidRDefault="004C27C9" w:rsidP="00447180">
    <w:pPr>
      <w:pStyle w:val="Zhlav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6D04" w14:textId="0C0D0BCA" w:rsidR="00A7480F" w:rsidRDefault="00200497" w:rsidP="00A7480F">
    <w:pPr>
      <w:pStyle w:val="Zhlav"/>
      <w:jc w:val="center"/>
    </w:pPr>
    <w:r>
      <w:rPr>
        <w:noProof/>
        <w:lang w:eastAsia="cs-CZ"/>
      </w:rPr>
      <w:drawing>
        <wp:inline distT="0" distB="0" distL="0" distR="0" wp14:anchorId="6B89FE00" wp14:editId="27E239FE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D3DD3"/>
    <w:multiLevelType w:val="hybridMultilevel"/>
    <w:tmpl w:val="0CCC659A"/>
    <w:lvl w:ilvl="0" w:tplc="EDF67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5F459E"/>
    <w:multiLevelType w:val="hybridMultilevel"/>
    <w:tmpl w:val="9E769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47433"/>
    <w:multiLevelType w:val="hybridMultilevel"/>
    <w:tmpl w:val="2E00FB24"/>
    <w:lvl w:ilvl="0" w:tplc="EB301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829876">
    <w:abstractNumId w:val="1"/>
  </w:num>
  <w:num w:numId="2" w16cid:durableId="1771313016">
    <w:abstractNumId w:val="2"/>
  </w:num>
  <w:num w:numId="3" w16cid:durableId="1514146829">
    <w:abstractNumId w:val="3"/>
  </w:num>
  <w:num w:numId="4" w16cid:durableId="55956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D2A"/>
    <w:rsid w:val="00021E04"/>
    <w:rsid w:val="0002243A"/>
    <w:rsid w:val="000A2B72"/>
    <w:rsid w:val="000A3649"/>
    <w:rsid w:val="000A422D"/>
    <w:rsid w:val="00113CB7"/>
    <w:rsid w:val="00166AAC"/>
    <w:rsid w:val="001D2865"/>
    <w:rsid w:val="001F4EDA"/>
    <w:rsid w:val="001F50FF"/>
    <w:rsid w:val="00200497"/>
    <w:rsid w:val="00221116"/>
    <w:rsid w:val="002433DA"/>
    <w:rsid w:val="00257EE4"/>
    <w:rsid w:val="00260E45"/>
    <w:rsid w:val="00273353"/>
    <w:rsid w:val="00281B6F"/>
    <w:rsid w:val="0029363E"/>
    <w:rsid w:val="002A1898"/>
    <w:rsid w:val="00302765"/>
    <w:rsid w:val="00324333"/>
    <w:rsid w:val="0037296F"/>
    <w:rsid w:val="003E34DF"/>
    <w:rsid w:val="00414E6F"/>
    <w:rsid w:val="00447180"/>
    <w:rsid w:val="004C27C9"/>
    <w:rsid w:val="004D14E4"/>
    <w:rsid w:val="00552D8B"/>
    <w:rsid w:val="005A3637"/>
    <w:rsid w:val="005C42F6"/>
    <w:rsid w:val="006140ED"/>
    <w:rsid w:val="00614F0A"/>
    <w:rsid w:val="00617382"/>
    <w:rsid w:val="006178B2"/>
    <w:rsid w:val="00664B38"/>
    <w:rsid w:val="00675D6D"/>
    <w:rsid w:val="006A53D8"/>
    <w:rsid w:val="006A5DE3"/>
    <w:rsid w:val="006C3A3E"/>
    <w:rsid w:val="00796404"/>
    <w:rsid w:val="0081626D"/>
    <w:rsid w:val="008427FE"/>
    <w:rsid w:val="00851CBC"/>
    <w:rsid w:val="008956ED"/>
    <w:rsid w:val="008E3451"/>
    <w:rsid w:val="00952C80"/>
    <w:rsid w:val="009E1532"/>
    <w:rsid w:val="009E1560"/>
    <w:rsid w:val="009E3317"/>
    <w:rsid w:val="00A329C0"/>
    <w:rsid w:val="00A526D5"/>
    <w:rsid w:val="00A56607"/>
    <w:rsid w:val="00A7394A"/>
    <w:rsid w:val="00A87882"/>
    <w:rsid w:val="00AB448B"/>
    <w:rsid w:val="00AE46F6"/>
    <w:rsid w:val="00B45EF4"/>
    <w:rsid w:val="00B535F3"/>
    <w:rsid w:val="00BC514B"/>
    <w:rsid w:val="00BD1413"/>
    <w:rsid w:val="00BE0CF4"/>
    <w:rsid w:val="00BE37F8"/>
    <w:rsid w:val="00BF1A1C"/>
    <w:rsid w:val="00C14299"/>
    <w:rsid w:val="00C63CFC"/>
    <w:rsid w:val="00D15FDA"/>
    <w:rsid w:val="00D52FEB"/>
    <w:rsid w:val="00D55332"/>
    <w:rsid w:val="00D716C8"/>
    <w:rsid w:val="00DC7658"/>
    <w:rsid w:val="00E01A52"/>
    <w:rsid w:val="00E17C32"/>
    <w:rsid w:val="00E2383C"/>
    <w:rsid w:val="00E322E5"/>
    <w:rsid w:val="00E85AD9"/>
    <w:rsid w:val="00E96352"/>
    <w:rsid w:val="00EB4E95"/>
    <w:rsid w:val="00ED7A0B"/>
    <w:rsid w:val="00EE5487"/>
    <w:rsid w:val="00EE69C9"/>
    <w:rsid w:val="00F22E73"/>
    <w:rsid w:val="00F6485F"/>
    <w:rsid w:val="00F961BA"/>
    <w:rsid w:val="00FA0D2A"/>
    <w:rsid w:val="00FA6015"/>
    <w:rsid w:val="00FC1515"/>
    <w:rsid w:val="00FD14F9"/>
    <w:rsid w:val="00FE7B51"/>
    <w:rsid w:val="00FF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7C1AB"/>
  <w15:chartTrackingRefBased/>
  <w15:docId w15:val="{22E95E2F-0318-443F-8A04-E5BC98A6B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D2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0D2A"/>
  </w:style>
  <w:style w:type="paragraph" w:styleId="Zpat">
    <w:name w:val="footer"/>
    <w:basedOn w:val="Normln"/>
    <w:link w:val="ZpatChar"/>
    <w:uiPriority w:val="99"/>
    <w:unhideWhenUsed/>
    <w:rsid w:val="00FA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0D2A"/>
  </w:style>
  <w:style w:type="paragraph" w:customStyle="1" w:styleId="Zkladnodstavec">
    <w:name w:val="[Základní odstavec]"/>
    <w:basedOn w:val="Normln"/>
    <w:uiPriority w:val="99"/>
    <w:rsid w:val="00FA0D2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FA0D2A"/>
    <w:pPr>
      <w:ind w:left="720"/>
      <w:contextualSpacing/>
    </w:pPr>
  </w:style>
  <w:style w:type="character" w:styleId="slostrnky">
    <w:name w:val="page number"/>
    <w:basedOn w:val="Standardnpsmoodstavce"/>
    <w:uiPriority w:val="99"/>
    <w:rsid w:val="00FA0D2A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1F4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4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4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4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4EDA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2243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2243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2243A"/>
    <w:rPr>
      <w:vertAlign w:val="superscript"/>
    </w:rPr>
  </w:style>
  <w:style w:type="paragraph" w:styleId="Revize">
    <w:name w:val="Revision"/>
    <w:hidden/>
    <w:uiPriority w:val="99"/>
    <w:semiHidden/>
    <w:rsid w:val="006140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4829D-B331-49C5-9CC8-CC7B8DB5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753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74</cp:revision>
  <dcterms:created xsi:type="dcterms:W3CDTF">2022-11-28T08:11:00Z</dcterms:created>
  <dcterms:modified xsi:type="dcterms:W3CDTF">2023-12-04T12:18:00Z</dcterms:modified>
</cp:coreProperties>
</file>