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B04B" w14:textId="05152268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39752A9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METODICKÉ LISTY INDIKÁTORŮ</w:t>
      </w:r>
    </w:p>
    <w:p w14:paraId="5EF01D80" w14:textId="77777777" w:rsidR="00E71619" w:rsidRPr="007C4086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40"/>
          <w:szCs w:val="40"/>
          <w:lang w:eastAsia="ja-JP"/>
        </w:rPr>
      </w:pPr>
    </w:p>
    <w:p w14:paraId="6316E824" w14:textId="2280B82F" w:rsidR="00B3530B" w:rsidRPr="00B3530B" w:rsidRDefault="000233A8" w:rsidP="00B3530B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10</w:t>
      </w:r>
      <w:r w:rsidR="00AA376C">
        <w:rPr>
          <w:rFonts w:ascii="Arial" w:hAnsi="Arial" w:cs="Arial"/>
          <w:caps/>
          <w:sz w:val="36"/>
          <w:szCs w:val="36"/>
        </w:rPr>
        <w:t>8</w:t>
      </w:r>
      <w:r w:rsidR="00B3530B" w:rsidRPr="00B3530B"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 w:rsidR="00B3530B" w:rsidRPr="00B3530B">
        <w:rPr>
          <w:rFonts w:ascii="Arial" w:hAnsi="Arial" w:cs="Arial"/>
          <w:caps/>
          <w:sz w:val="36"/>
          <w:szCs w:val="36"/>
        </w:rPr>
        <w:t xml:space="preserve">IROP </w:t>
      </w:r>
      <w:r>
        <w:rPr>
          <w:rFonts w:ascii="Arial" w:hAnsi="Arial" w:cs="Arial"/>
          <w:caps/>
          <w:sz w:val="36"/>
          <w:szCs w:val="36"/>
        </w:rPr>
        <w:t>-</w:t>
      </w:r>
      <w:r w:rsidR="00B3530B" w:rsidRPr="00B3530B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PLNICÍ</w:t>
      </w:r>
      <w:proofErr w:type="gramEnd"/>
      <w:r>
        <w:rPr>
          <w:rFonts w:ascii="Arial" w:hAnsi="Arial" w:cs="Arial"/>
          <w:caps/>
          <w:sz w:val="36"/>
          <w:szCs w:val="36"/>
        </w:rPr>
        <w:t xml:space="preserve"> </w:t>
      </w:r>
      <w:r w:rsidRPr="000233A8">
        <w:rPr>
          <w:rFonts w:ascii="Arial" w:hAnsi="Arial" w:cs="Arial"/>
          <w:caps/>
          <w:sz w:val="36"/>
          <w:szCs w:val="36"/>
        </w:rPr>
        <w:t>A DOBÍJECÍ STANICE PRO VEŘEJNOU</w:t>
      </w:r>
      <w:r w:rsidRPr="000233A8" w:rsidDel="000233A8">
        <w:rPr>
          <w:rFonts w:ascii="Arial" w:hAnsi="Arial" w:cs="Arial"/>
          <w:caps/>
          <w:sz w:val="36"/>
          <w:szCs w:val="36"/>
        </w:rPr>
        <w:t xml:space="preserve"> </w:t>
      </w:r>
      <w:r w:rsidR="00B3530B" w:rsidRPr="00B3530B">
        <w:rPr>
          <w:rFonts w:ascii="Arial" w:hAnsi="Arial" w:cs="Arial"/>
          <w:caps/>
          <w:sz w:val="36"/>
          <w:szCs w:val="36"/>
        </w:rPr>
        <w:t>DOPRAV</w:t>
      </w:r>
      <w:r>
        <w:rPr>
          <w:rFonts w:ascii="Arial" w:hAnsi="Arial" w:cs="Arial"/>
          <w:caps/>
          <w:sz w:val="36"/>
          <w:szCs w:val="36"/>
        </w:rPr>
        <w:t>u</w:t>
      </w:r>
      <w:r w:rsidR="00B3530B" w:rsidRPr="00B3530B">
        <w:rPr>
          <w:rFonts w:ascii="Arial" w:hAnsi="Arial" w:cs="Arial"/>
          <w:caps/>
          <w:sz w:val="36"/>
          <w:szCs w:val="36"/>
        </w:rPr>
        <w:t xml:space="preserve"> - SC 6.1 (</w:t>
      </w:r>
      <w:r w:rsidR="00AA376C">
        <w:rPr>
          <w:rFonts w:ascii="Arial" w:hAnsi="Arial" w:cs="Arial"/>
          <w:caps/>
          <w:sz w:val="36"/>
          <w:szCs w:val="36"/>
        </w:rPr>
        <w:t>ITI</w:t>
      </w:r>
      <w:r w:rsidR="00B3530B" w:rsidRPr="00B3530B">
        <w:rPr>
          <w:rFonts w:ascii="Arial" w:hAnsi="Arial" w:cs="Arial"/>
          <w:caps/>
          <w:sz w:val="36"/>
          <w:szCs w:val="36"/>
        </w:rPr>
        <w:t>)</w:t>
      </w:r>
    </w:p>
    <w:p w14:paraId="129F01FD" w14:textId="77777777" w:rsidR="0062354C" w:rsidRPr="001E1A0D" w:rsidRDefault="0062354C" w:rsidP="00B3530B">
      <w:pPr>
        <w:pStyle w:val="Zkladnodstavec"/>
        <w:jc w:val="center"/>
        <w:rPr>
          <w:rFonts w:ascii="Arial" w:eastAsia="Calibri" w:hAnsi="Arial" w:cs="Arial"/>
          <w:b/>
          <w:color w:val="7F7F7F"/>
          <w:sz w:val="36"/>
          <w:szCs w:val="36"/>
          <w:lang w:eastAsia="en-US"/>
        </w:rPr>
      </w:pPr>
    </w:p>
    <w:p w14:paraId="29F7EAC3" w14:textId="289D750F" w:rsidR="00E71619" w:rsidRPr="001E1A0D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sectPr w:rsidR="00E71619" w:rsidRPr="001E1A0D" w:rsidSect="007C4086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0E4DEC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1</w:t>
      </w:r>
    </w:p>
    <w:tbl>
      <w:tblPr>
        <w:tblpPr w:leftFromText="141" w:rightFromText="141" w:vertAnchor="text" w:horzAnchor="margin" w:tblpY="28"/>
        <w:tblW w:w="906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2977"/>
        <w:gridCol w:w="3827"/>
      </w:tblGrid>
      <w:tr w:rsidR="00E67ABA" w:rsidRPr="00E67ABA" w14:paraId="634AFF9C" w14:textId="77777777" w:rsidTr="00E67ABA">
        <w:trPr>
          <w:trHeight w:val="32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bottom"/>
            <w:hideMark/>
          </w:tcPr>
          <w:bookmarkEnd w:id="0"/>
          <w:p w14:paraId="580F7010" w14:textId="77777777" w:rsidR="00E67ABA" w:rsidRPr="00E67ABA" w:rsidRDefault="00E67ABA" w:rsidP="00E67ABA">
            <w:pPr>
              <w:spacing w:line="276" w:lineRule="auto"/>
              <w:ind w:left="170" w:right="17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E67AB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lastRenderedPageBreak/>
              <w:t>METODICKÝ LIST INDIKÁTORU</w:t>
            </w:r>
          </w:p>
        </w:tc>
      </w:tr>
      <w:tr w:rsidR="00E67ABA" w:rsidRPr="00E67ABA" w14:paraId="6B021D0C" w14:textId="77777777" w:rsidTr="00E67ABA">
        <w:trPr>
          <w:trHeight w:val="8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EFCB" w14:textId="77777777" w:rsidR="00E67ABA" w:rsidRPr="00E67ABA" w:rsidRDefault="00E67ABA" w:rsidP="00E67ABA">
            <w:pPr>
              <w:spacing w:before="80" w:after="80" w:line="276" w:lineRule="auto"/>
              <w:ind w:left="57" w:right="57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7ABA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Kód a název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81CB4" w14:textId="0AE2CA20" w:rsidR="00E67ABA" w:rsidRPr="00E67ABA" w:rsidRDefault="003D290D" w:rsidP="00E67ABA">
            <w:pPr>
              <w:spacing w:before="80" w:after="80" w:line="276" w:lineRule="auto"/>
              <w:ind w:left="57" w:right="57"/>
              <w:jc w:val="center"/>
              <w:rPr>
                <w:rFonts w:eastAsiaTheme="minorHAnsi"/>
                <w:b/>
                <w:bCs/>
              </w:rPr>
            </w:pPr>
            <w:r w:rsidRPr="00E67AB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7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53</w:t>
            </w:r>
            <w:r w:rsidRPr="00E67AB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="00E67ABA" w:rsidRPr="00E67AB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0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1</w:t>
            </w:r>
            <w:r w:rsidR="00E67ABA" w:rsidRPr="00E67AB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1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-</w:t>
            </w:r>
            <w:r w:rsidR="00E67ABA" w:rsidRPr="00E67ABA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Infrastruktura pro alternativní paliva (plnicí/dobíjecí stanice)</w:t>
            </w:r>
          </w:p>
        </w:tc>
      </w:tr>
      <w:tr w:rsidR="00E67ABA" w:rsidRPr="00E67ABA" w14:paraId="1727F9D3" w14:textId="77777777" w:rsidTr="00E67ABA">
        <w:trPr>
          <w:trHeight w:val="537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B2158B5" w14:textId="77777777" w:rsidR="00E67ABA" w:rsidRPr="00E67ABA" w:rsidRDefault="00E67ABA" w:rsidP="00E67ABA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aps/>
                <w:color w:val="000000"/>
                <w:lang w:eastAsia="en-US"/>
              </w:rPr>
            </w:pPr>
            <w:r w:rsidRPr="00E67ABA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Specifický cíl programu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595501A0" w14:textId="77777777" w:rsidR="00E67ABA" w:rsidRPr="00E67ABA" w:rsidRDefault="00E67ABA" w:rsidP="00E67ABA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7ABA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Měrná jednotka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14:paraId="2D2C4A37" w14:textId="77777777" w:rsidR="00E67ABA" w:rsidRPr="00E67ABA" w:rsidRDefault="00E67ABA" w:rsidP="00E67ABA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7ABA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Typ indikátoru</w:t>
            </w:r>
          </w:p>
        </w:tc>
      </w:tr>
      <w:tr w:rsidR="00E67ABA" w:rsidRPr="00E67ABA" w14:paraId="70BDA103" w14:textId="77777777" w:rsidTr="00E67ABA">
        <w:trPr>
          <w:trHeight w:val="546"/>
        </w:trPr>
        <w:tc>
          <w:tcPr>
            <w:tcW w:w="226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7BEF5" w14:textId="77777777" w:rsidR="00E67ABA" w:rsidRPr="00E67ABA" w:rsidRDefault="00E67ABA" w:rsidP="00E67ABA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7ABA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IROP 6.1</w:t>
            </w:r>
          </w:p>
        </w:tc>
        <w:tc>
          <w:tcPr>
            <w:tcW w:w="29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5BCC3" w14:textId="3970EA18" w:rsidR="00E67ABA" w:rsidRPr="00E67ABA" w:rsidRDefault="003D290D" w:rsidP="00E67ABA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>plnicí/dobíjecí body</w:t>
            </w:r>
          </w:p>
        </w:tc>
        <w:tc>
          <w:tcPr>
            <w:tcW w:w="382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72CC7" w14:textId="77777777" w:rsidR="00E67ABA" w:rsidRPr="00E67ABA" w:rsidRDefault="00E67ABA" w:rsidP="00E67ABA">
            <w:pPr>
              <w:spacing w:line="276" w:lineRule="auto"/>
              <w:ind w:left="57" w:right="57"/>
              <w:jc w:val="center"/>
              <w:outlineLvl w:val="0"/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67ABA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výstup</w:t>
            </w:r>
          </w:p>
        </w:tc>
      </w:tr>
    </w:tbl>
    <w:p w14:paraId="192B551F" w14:textId="77777777" w:rsidR="00E67ABA" w:rsidRPr="00E67ABA" w:rsidRDefault="00E67ABA" w:rsidP="00E67ABA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E67ABA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Definice indikátoru </w:t>
      </w:r>
    </w:p>
    <w:p w14:paraId="4343FE97" w14:textId="6B0D1F2A" w:rsidR="00294378" w:rsidRPr="00294378" w:rsidRDefault="00294378" w:rsidP="00294378">
      <w:pPr>
        <w:spacing w:before="240" w:line="276" w:lineRule="auto"/>
        <w:jc w:val="both"/>
        <w:rPr>
          <w:rFonts w:ascii="Arial" w:hAnsi="Arial" w:cs="Arial"/>
          <w:sz w:val="22"/>
          <w:szCs w:val="22"/>
        </w:rPr>
      </w:pPr>
      <w:r w:rsidRPr="00294378">
        <w:rPr>
          <w:rFonts w:ascii="Arial" w:hAnsi="Arial" w:cs="Arial"/>
          <w:sz w:val="22"/>
          <w:szCs w:val="22"/>
        </w:rPr>
        <w:t>Počet čerpacích stanic</w:t>
      </w:r>
      <w:r w:rsidR="00490D26">
        <w:rPr>
          <w:rFonts w:ascii="Arial" w:hAnsi="Arial" w:cs="Arial"/>
          <w:sz w:val="22"/>
          <w:szCs w:val="22"/>
        </w:rPr>
        <w:t xml:space="preserve"> </w:t>
      </w:r>
      <w:r w:rsidRPr="00294378">
        <w:rPr>
          <w:rFonts w:ascii="Arial" w:hAnsi="Arial" w:cs="Arial"/>
          <w:sz w:val="22"/>
          <w:szCs w:val="22"/>
        </w:rPr>
        <w:t>/</w:t>
      </w:r>
      <w:r w:rsidR="00490D26">
        <w:rPr>
          <w:rFonts w:ascii="Arial" w:hAnsi="Arial" w:cs="Arial"/>
          <w:sz w:val="22"/>
          <w:szCs w:val="22"/>
        </w:rPr>
        <w:t xml:space="preserve"> </w:t>
      </w:r>
      <w:r w:rsidRPr="00294378">
        <w:rPr>
          <w:rFonts w:ascii="Arial" w:hAnsi="Arial" w:cs="Arial"/>
          <w:sz w:val="22"/>
          <w:szCs w:val="22"/>
        </w:rPr>
        <w:t>dobíjecích stanic (nových nebo modernizovaných) pro čistá vozidla financovaných prostřednictvím podporovaných projektů.</w:t>
      </w:r>
      <w:r>
        <w:rPr>
          <w:rFonts w:ascii="Arial" w:hAnsi="Arial" w:cs="Arial"/>
          <w:sz w:val="22"/>
          <w:szCs w:val="22"/>
        </w:rPr>
        <w:t xml:space="preserve"> </w:t>
      </w:r>
      <w:r w:rsidRPr="00294378">
        <w:rPr>
          <w:rFonts w:ascii="Arial" w:hAnsi="Arial" w:cs="Arial"/>
          <w:sz w:val="22"/>
          <w:szCs w:val="22"/>
        </w:rPr>
        <w:t xml:space="preserve">Dobíjecí stanicí se rozumí rozhraní, které je schopné nabíjet jedno elektrické vozidlo </w:t>
      </w:r>
      <w:r w:rsidRPr="00961DC3">
        <w:rPr>
          <w:rFonts w:ascii="Arial" w:hAnsi="Arial" w:cs="Arial"/>
          <w:sz w:val="22"/>
          <w:szCs w:val="22"/>
        </w:rPr>
        <w:t>najednou</w:t>
      </w:r>
      <w:r w:rsidRPr="00294378">
        <w:rPr>
          <w:rFonts w:ascii="Arial" w:hAnsi="Arial" w:cs="Arial"/>
          <w:sz w:val="22"/>
          <w:szCs w:val="22"/>
        </w:rPr>
        <w:t xml:space="preserve"> nebo vyměňovat baterii jednoho elektrického vozidla </w:t>
      </w:r>
      <w:r w:rsidRPr="00961DC3">
        <w:rPr>
          <w:rFonts w:ascii="Arial" w:hAnsi="Arial" w:cs="Arial"/>
          <w:sz w:val="22"/>
          <w:szCs w:val="22"/>
        </w:rPr>
        <w:t>najednou</w:t>
      </w:r>
      <w:r w:rsidRPr="00294378">
        <w:rPr>
          <w:rFonts w:ascii="Arial" w:hAnsi="Arial" w:cs="Arial"/>
          <w:sz w:val="22"/>
          <w:szCs w:val="22"/>
        </w:rPr>
        <w:t>. Tankovacím místem se rozumí tankovací zařízení pro poskytování alternativního paliva prostřednictvím pevného nebo mobilního zařízení.</w:t>
      </w:r>
      <w:r>
        <w:rPr>
          <w:rFonts w:ascii="Arial" w:hAnsi="Arial" w:cs="Arial"/>
          <w:sz w:val="22"/>
          <w:szCs w:val="22"/>
        </w:rPr>
        <w:t xml:space="preserve"> </w:t>
      </w:r>
      <w:r w:rsidRPr="00294378">
        <w:rPr>
          <w:rFonts w:ascii="Arial" w:hAnsi="Arial" w:cs="Arial"/>
          <w:sz w:val="22"/>
          <w:szCs w:val="22"/>
        </w:rPr>
        <w:t xml:space="preserve">Alternativní palivo znamená paliva nebo zdroje energie, které </w:t>
      </w:r>
      <w:proofErr w:type="gramStart"/>
      <w:r w:rsidRPr="00294378">
        <w:rPr>
          <w:rFonts w:ascii="Arial" w:hAnsi="Arial" w:cs="Arial"/>
          <w:sz w:val="22"/>
          <w:szCs w:val="22"/>
        </w:rPr>
        <w:t>slouží</w:t>
      </w:r>
      <w:proofErr w:type="gramEnd"/>
      <w:r w:rsidRPr="00294378">
        <w:rPr>
          <w:rFonts w:ascii="Arial" w:hAnsi="Arial" w:cs="Arial"/>
          <w:sz w:val="22"/>
          <w:szCs w:val="22"/>
        </w:rPr>
        <w:t xml:space="preserve"> alespoň částečně jako náhrada za fosilní zdroje při dodávkách energie do dopravy a které mají potenciál přispívat k</w:t>
      </w:r>
      <w:r w:rsidR="00490D26">
        <w:rPr>
          <w:rFonts w:ascii="Arial" w:hAnsi="Arial" w:cs="Arial"/>
          <w:sz w:val="22"/>
          <w:szCs w:val="22"/>
        </w:rPr>
        <w:t> </w:t>
      </w:r>
      <w:r w:rsidRPr="00294378">
        <w:rPr>
          <w:rFonts w:ascii="Arial" w:hAnsi="Arial" w:cs="Arial"/>
          <w:sz w:val="22"/>
          <w:szCs w:val="22"/>
        </w:rPr>
        <w:t>její dekarbonizaci a zvyšovat environmentální výkonnost odvětví dopravy.</w:t>
      </w:r>
    </w:p>
    <w:p w14:paraId="2E6D4068" w14:textId="5AFD1630" w:rsidR="00E67ABA" w:rsidRPr="00E67ABA" w:rsidRDefault="00294378" w:rsidP="00294378">
      <w:pPr>
        <w:spacing w:line="276" w:lineRule="auto"/>
        <w:jc w:val="both"/>
        <w:rPr>
          <w:rFonts w:ascii="Arial" w:hAnsi="Arial" w:cs="Arial"/>
          <w:color w:val="4F81BD" w:themeColor="accent1"/>
          <w:sz w:val="22"/>
          <w:szCs w:val="22"/>
        </w:rPr>
      </w:pPr>
      <w:r w:rsidRPr="00294378">
        <w:rPr>
          <w:rFonts w:ascii="Arial" w:hAnsi="Arial" w:cs="Arial"/>
          <w:sz w:val="22"/>
          <w:szCs w:val="22"/>
        </w:rPr>
        <w:t>(viz směrnice 2014/94 v referencích).</w:t>
      </w:r>
      <w:r w:rsidRPr="00294378" w:rsidDel="00294378">
        <w:rPr>
          <w:rFonts w:ascii="Arial" w:hAnsi="Arial" w:cs="Arial"/>
          <w:sz w:val="22"/>
          <w:szCs w:val="22"/>
        </w:rPr>
        <w:t xml:space="preserve"> </w:t>
      </w:r>
    </w:p>
    <w:p w14:paraId="304CADD3" w14:textId="77777777" w:rsidR="00E67ABA" w:rsidRPr="00E67ABA" w:rsidRDefault="00E67ABA" w:rsidP="00E67ABA">
      <w:pPr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E67ABA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Upřesňující informace</w:t>
      </w:r>
    </w:p>
    <w:p w14:paraId="08B53B8B" w14:textId="3BB73292" w:rsidR="00E67ABA" w:rsidRDefault="00E67ABA" w:rsidP="00E67ABA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C11726">
        <w:rPr>
          <w:rFonts w:ascii="Arial" w:hAnsi="Arial" w:cs="Arial"/>
          <w:sz w:val="22"/>
          <w:szCs w:val="22"/>
        </w:rPr>
        <w:t>Indikátor je povinný k výběru a naplnění pro všechny projekty výzvy</w:t>
      </w:r>
      <w:r w:rsidR="00B3530B" w:rsidRPr="00C11726">
        <w:rPr>
          <w:rFonts w:ascii="Arial" w:hAnsi="Arial" w:cs="Arial"/>
          <w:sz w:val="22"/>
          <w:szCs w:val="22"/>
        </w:rPr>
        <w:t>.</w:t>
      </w:r>
    </w:p>
    <w:p w14:paraId="32639497" w14:textId="7101D127" w:rsidR="003013F4" w:rsidRDefault="00301E88" w:rsidP="007144B8">
      <w:pPr>
        <w:pStyle w:val="Odstavecseseznamem"/>
        <w:numPr>
          <w:ilvl w:val="0"/>
          <w:numId w:val="68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C11726">
        <w:rPr>
          <w:rFonts w:ascii="Arial" w:hAnsi="Arial" w:cs="Arial"/>
          <w:sz w:val="22"/>
          <w:szCs w:val="22"/>
        </w:rPr>
        <w:t xml:space="preserve">V projektech zahrnujících výstavbu </w:t>
      </w:r>
      <w:r w:rsidR="004773E4">
        <w:rPr>
          <w:rFonts w:ascii="Arial" w:hAnsi="Arial" w:cs="Arial"/>
          <w:sz w:val="22"/>
          <w:szCs w:val="22"/>
        </w:rPr>
        <w:t>dobíjecí stanice</w:t>
      </w:r>
      <w:r w:rsidRPr="00C11726">
        <w:rPr>
          <w:rFonts w:ascii="Arial" w:hAnsi="Arial" w:cs="Arial"/>
          <w:sz w:val="22"/>
          <w:szCs w:val="22"/>
        </w:rPr>
        <w:t xml:space="preserve"> pro veřejnou dopravu </w:t>
      </w:r>
      <w:r w:rsidRPr="0084207C">
        <w:rPr>
          <w:rFonts w:ascii="Arial" w:hAnsi="Arial" w:cs="Arial"/>
          <w:sz w:val="22"/>
          <w:szCs w:val="22"/>
        </w:rPr>
        <w:t>se</w:t>
      </w:r>
      <w:r w:rsidR="00DF4E5B" w:rsidRPr="0084207C">
        <w:rPr>
          <w:rFonts w:ascii="Arial" w:hAnsi="Arial" w:cs="Arial"/>
          <w:sz w:val="22"/>
          <w:szCs w:val="22"/>
        </w:rPr>
        <w:t xml:space="preserve"> </w:t>
      </w:r>
      <w:r w:rsidRPr="0084207C">
        <w:rPr>
          <w:rFonts w:ascii="Arial" w:hAnsi="Arial" w:cs="Arial"/>
          <w:sz w:val="22"/>
          <w:szCs w:val="22"/>
        </w:rPr>
        <w:t xml:space="preserve">započítá každý </w:t>
      </w:r>
      <w:r w:rsidR="004773E4">
        <w:rPr>
          <w:rFonts w:ascii="Arial" w:hAnsi="Arial" w:cs="Arial"/>
          <w:sz w:val="22"/>
          <w:szCs w:val="22"/>
        </w:rPr>
        <w:t>dobíjecí bod</w:t>
      </w:r>
      <w:r w:rsidR="003013F4">
        <w:rPr>
          <w:rFonts w:ascii="Arial" w:hAnsi="Arial" w:cs="Arial"/>
          <w:sz w:val="22"/>
          <w:szCs w:val="22"/>
        </w:rPr>
        <w:t xml:space="preserve">, který </w:t>
      </w:r>
      <w:proofErr w:type="gramStart"/>
      <w:r w:rsidR="003013F4">
        <w:rPr>
          <w:rFonts w:ascii="Arial" w:hAnsi="Arial" w:cs="Arial"/>
          <w:sz w:val="22"/>
          <w:szCs w:val="22"/>
        </w:rPr>
        <w:t>slouží</w:t>
      </w:r>
      <w:proofErr w:type="gramEnd"/>
      <w:r w:rsidR="003013F4">
        <w:rPr>
          <w:rFonts w:ascii="Arial" w:hAnsi="Arial" w:cs="Arial"/>
          <w:sz w:val="22"/>
          <w:szCs w:val="22"/>
        </w:rPr>
        <w:t xml:space="preserve"> ke </w:t>
      </w:r>
      <w:r w:rsidR="007B0DB9">
        <w:rPr>
          <w:rFonts w:ascii="Arial" w:hAnsi="Arial" w:cs="Arial"/>
          <w:sz w:val="22"/>
          <w:szCs w:val="22"/>
        </w:rPr>
        <w:t>statickému</w:t>
      </w:r>
      <w:r w:rsidR="00F3045B" w:rsidRPr="00961DC3">
        <w:rPr>
          <w:rFonts w:ascii="Arial" w:hAnsi="Arial" w:cs="Arial"/>
          <w:sz w:val="22"/>
          <w:szCs w:val="22"/>
        </w:rPr>
        <w:t>, případně dynamickému</w:t>
      </w:r>
      <w:r w:rsidR="003013F4">
        <w:rPr>
          <w:rFonts w:ascii="Arial" w:hAnsi="Arial" w:cs="Arial"/>
          <w:sz w:val="22"/>
          <w:szCs w:val="22"/>
        </w:rPr>
        <w:t xml:space="preserve"> dobíjení vždy maximálně jednoho </w:t>
      </w:r>
      <w:r w:rsidR="008143A4">
        <w:rPr>
          <w:rFonts w:ascii="Arial" w:hAnsi="Arial" w:cs="Arial"/>
          <w:sz w:val="22"/>
          <w:szCs w:val="22"/>
        </w:rPr>
        <w:t xml:space="preserve">silničního bezemisního </w:t>
      </w:r>
      <w:r w:rsidR="003013F4">
        <w:rPr>
          <w:rFonts w:ascii="Arial" w:hAnsi="Arial" w:cs="Arial"/>
          <w:sz w:val="22"/>
          <w:szCs w:val="22"/>
        </w:rPr>
        <w:t>vozidla</w:t>
      </w:r>
      <w:r w:rsidR="003013F4" w:rsidRPr="003013F4">
        <w:t xml:space="preserve"> </w:t>
      </w:r>
      <w:r w:rsidR="003013F4" w:rsidRPr="003013F4">
        <w:rPr>
          <w:rFonts w:ascii="Arial" w:hAnsi="Arial" w:cs="Arial"/>
          <w:sz w:val="22"/>
          <w:szCs w:val="22"/>
        </w:rPr>
        <w:t>poskytující</w:t>
      </w:r>
      <w:r w:rsidR="003013F4">
        <w:rPr>
          <w:rFonts w:ascii="Arial" w:hAnsi="Arial" w:cs="Arial"/>
          <w:sz w:val="22"/>
          <w:szCs w:val="22"/>
        </w:rPr>
        <w:t>ho</w:t>
      </w:r>
      <w:r w:rsidR="003013F4" w:rsidRPr="003013F4">
        <w:rPr>
          <w:rFonts w:ascii="Arial" w:hAnsi="Arial" w:cs="Arial"/>
          <w:sz w:val="22"/>
          <w:szCs w:val="22"/>
        </w:rPr>
        <w:t xml:space="preserve"> veřejné služby v</w:t>
      </w:r>
      <w:r w:rsidR="003013F4">
        <w:rPr>
          <w:rFonts w:ascii="Arial" w:hAnsi="Arial" w:cs="Arial"/>
          <w:sz w:val="22"/>
          <w:szCs w:val="22"/>
        </w:rPr>
        <w:t> </w:t>
      </w:r>
      <w:r w:rsidR="003013F4" w:rsidRPr="003013F4">
        <w:rPr>
          <w:rFonts w:ascii="Arial" w:hAnsi="Arial" w:cs="Arial"/>
          <w:sz w:val="22"/>
          <w:szCs w:val="22"/>
        </w:rPr>
        <w:t>přepravě cestujících</w:t>
      </w:r>
      <w:r w:rsidR="003013F4">
        <w:rPr>
          <w:rFonts w:ascii="Arial" w:hAnsi="Arial" w:cs="Arial"/>
          <w:sz w:val="22"/>
          <w:szCs w:val="22"/>
        </w:rPr>
        <w:t xml:space="preserve">. Za dobíjecí bod se považuje také </w:t>
      </w:r>
      <w:r w:rsidR="003013F4" w:rsidRPr="003013F4">
        <w:rPr>
          <w:rFonts w:ascii="Arial" w:hAnsi="Arial" w:cs="Arial"/>
          <w:sz w:val="22"/>
          <w:szCs w:val="22"/>
        </w:rPr>
        <w:t xml:space="preserve">příslušná část trolejové infrastruktury určená výhradně pro </w:t>
      </w:r>
      <w:r w:rsidR="006A1F4C">
        <w:rPr>
          <w:rFonts w:ascii="Arial" w:hAnsi="Arial" w:cs="Arial"/>
          <w:sz w:val="22"/>
          <w:szCs w:val="22"/>
        </w:rPr>
        <w:t>statické</w:t>
      </w:r>
      <w:r w:rsidR="003013F4" w:rsidRPr="003013F4">
        <w:rPr>
          <w:rFonts w:ascii="Arial" w:hAnsi="Arial" w:cs="Arial"/>
          <w:sz w:val="22"/>
          <w:szCs w:val="22"/>
        </w:rPr>
        <w:t xml:space="preserve"> dobíjení bateriového trolejbusu nebo bateriové tramvaje</w:t>
      </w:r>
      <w:r w:rsidR="003013F4">
        <w:rPr>
          <w:rFonts w:ascii="Arial" w:hAnsi="Arial" w:cs="Arial"/>
          <w:sz w:val="22"/>
          <w:szCs w:val="22"/>
        </w:rPr>
        <w:t>.</w:t>
      </w:r>
    </w:p>
    <w:p w14:paraId="102BB286" w14:textId="1D46090D" w:rsidR="004773E4" w:rsidRDefault="004773E4" w:rsidP="007144B8">
      <w:pPr>
        <w:pStyle w:val="Odstavecseseznamem"/>
        <w:numPr>
          <w:ilvl w:val="0"/>
          <w:numId w:val="68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projektech zahrnujících </w:t>
      </w:r>
      <w:r w:rsidRPr="004773E4">
        <w:rPr>
          <w:rFonts w:ascii="Arial" w:hAnsi="Arial" w:cs="Arial"/>
          <w:sz w:val="22"/>
          <w:szCs w:val="22"/>
        </w:rPr>
        <w:t xml:space="preserve">výstavbu </w:t>
      </w:r>
      <w:r>
        <w:rPr>
          <w:rFonts w:ascii="Arial" w:hAnsi="Arial" w:cs="Arial"/>
          <w:sz w:val="22"/>
          <w:szCs w:val="22"/>
        </w:rPr>
        <w:t>plnicí</w:t>
      </w:r>
      <w:r w:rsidRPr="004773E4">
        <w:rPr>
          <w:rFonts w:ascii="Arial" w:hAnsi="Arial" w:cs="Arial"/>
          <w:sz w:val="22"/>
          <w:szCs w:val="22"/>
        </w:rPr>
        <w:t xml:space="preserve"> stanice pro veřejnou dopravu</w:t>
      </w:r>
      <w:r>
        <w:rPr>
          <w:rFonts w:ascii="Arial" w:hAnsi="Arial" w:cs="Arial"/>
          <w:sz w:val="22"/>
          <w:szCs w:val="22"/>
        </w:rPr>
        <w:t xml:space="preserve"> se započítá každý plnicí</w:t>
      </w:r>
      <w:r w:rsidR="00CB7861">
        <w:rPr>
          <w:rFonts w:ascii="Arial" w:hAnsi="Arial" w:cs="Arial"/>
          <w:sz w:val="22"/>
          <w:szCs w:val="22"/>
        </w:rPr>
        <w:t xml:space="preserve"> (</w:t>
      </w:r>
      <w:r w:rsidR="003013F4">
        <w:rPr>
          <w:rFonts w:ascii="Arial" w:hAnsi="Arial" w:cs="Arial"/>
          <w:sz w:val="22"/>
          <w:szCs w:val="22"/>
        </w:rPr>
        <w:t>čerpací</w:t>
      </w:r>
      <w:r w:rsidR="00CB786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bod</w:t>
      </w:r>
      <w:r w:rsidR="003013F4">
        <w:rPr>
          <w:rFonts w:ascii="Arial" w:hAnsi="Arial" w:cs="Arial"/>
          <w:sz w:val="22"/>
          <w:szCs w:val="22"/>
        </w:rPr>
        <w:t xml:space="preserve">, </w:t>
      </w:r>
      <w:r w:rsidR="003013F4" w:rsidRPr="003013F4">
        <w:rPr>
          <w:rFonts w:ascii="Arial" w:hAnsi="Arial" w:cs="Arial"/>
          <w:sz w:val="22"/>
          <w:szCs w:val="22"/>
        </w:rPr>
        <w:t xml:space="preserve">který </w:t>
      </w:r>
      <w:proofErr w:type="gramStart"/>
      <w:r w:rsidR="003013F4" w:rsidRPr="003013F4">
        <w:rPr>
          <w:rFonts w:ascii="Arial" w:hAnsi="Arial" w:cs="Arial"/>
          <w:sz w:val="22"/>
          <w:szCs w:val="22"/>
        </w:rPr>
        <w:t>slouží</w:t>
      </w:r>
      <w:proofErr w:type="gramEnd"/>
      <w:r w:rsidR="003013F4" w:rsidRPr="003013F4">
        <w:rPr>
          <w:rFonts w:ascii="Arial" w:hAnsi="Arial" w:cs="Arial"/>
          <w:sz w:val="22"/>
          <w:szCs w:val="22"/>
        </w:rPr>
        <w:t xml:space="preserve"> ke </w:t>
      </w:r>
      <w:r w:rsidR="00122FC4">
        <w:rPr>
          <w:rFonts w:ascii="Arial" w:hAnsi="Arial" w:cs="Arial"/>
          <w:sz w:val="22"/>
          <w:szCs w:val="22"/>
        </w:rPr>
        <w:t>statickému</w:t>
      </w:r>
      <w:r w:rsidR="003013F4" w:rsidRPr="003013F4">
        <w:rPr>
          <w:rFonts w:ascii="Arial" w:hAnsi="Arial" w:cs="Arial"/>
          <w:sz w:val="22"/>
          <w:szCs w:val="22"/>
        </w:rPr>
        <w:t xml:space="preserve"> </w:t>
      </w:r>
      <w:r w:rsidR="003013F4">
        <w:rPr>
          <w:rFonts w:ascii="Arial" w:hAnsi="Arial" w:cs="Arial"/>
          <w:sz w:val="22"/>
          <w:szCs w:val="22"/>
        </w:rPr>
        <w:t>plnění</w:t>
      </w:r>
      <w:r w:rsidR="003013F4" w:rsidRPr="003013F4">
        <w:rPr>
          <w:rFonts w:ascii="Arial" w:hAnsi="Arial" w:cs="Arial"/>
          <w:sz w:val="22"/>
          <w:szCs w:val="22"/>
        </w:rPr>
        <w:t xml:space="preserve"> vždy maximálně jednoho vozidla poskytujícího veřejné služby v přepravě cestujících</w:t>
      </w:r>
      <w:r w:rsidR="003013F4">
        <w:rPr>
          <w:rFonts w:ascii="Arial" w:hAnsi="Arial" w:cs="Arial"/>
          <w:sz w:val="22"/>
          <w:szCs w:val="22"/>
        </w:rPr>
        <w:t xml:space="preserve"> vodíkem</w:t>
      </w:r>
      <w:r w:rsidR="003013F4" w:rsidRPr="003013F4">
        <w:rPr>
          <w:rFonts w:ascii="Arial" w:hAnsi="Arial" w:cs="Arial"/>
          <w:sz w:val="22"/>
          <w:szCs w:val="22"/>
        </w:rPr>
        <w:t>.</w:t>
      </w:r>
    </w:p>
    <w:p w14:paraId="5F343D05" w14:textId="5CB7BADE" w:rsidR="00957C4A" w:rsidRPr="002318A5" w:rsidRDefault="00957C4A" w:rsidP="00957C4A">
      <w:pPr>
        <w:pStyle w:val="Odstavecseseznamem"/>
        <w:numPr>
          <w:ilvl w:val="0"/>
          <w:numId w:val="67"/>
        </w:numPr>
        <w:spacing w:after="24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318A5">
        <w:rPr>
          <w:rFonts w:ascii="Arial" w:hAnsi="Arial" w:cs="Arial"/>
          <w:sz w:val="22"/>
          <w:szCs w:val="22"/>
        </w:rPr>
        <w:t>Do hodnoty indikátoru se nezapočítáv</w:t>
      </w:r>
      <w:r w:rsidR="006D2182">
        <w:rPr>
          <w:rFonts w:ascii="Arial" w:hAnsi="Arial" w:cs="Arial"/>
          <w:sz w:val="22"/>
          <w:szCs w:val="22"/>
        </w:rPr>
        <w:t>á související technické vybavení a součástky, výrobny elektrické energie nebo vodíku, skladovací jednotky</w:t>
      </w:r>
      <w:r w:rsidR="00CB7861">
        <w:rPr>
          <w:rFonts w:ascii="Arial" w:hAnsi="Arial" w:cs="Arial"/>
          <w:sz w:val="22"/>
          <w:szCs w:val="22"/>
        </w:rPr>
        <w:t>, ani plnicí/dobíjecí</w:t>
      </w:r>
      <w:r w:rsidR="00CB7861" w:rsidRPr="00CB7861">
        <w:rPr>
          <w:rFonts w:ascii="Arial" w:hAnsi="Arial" w:cs="Arial"/>
          <w:sz w:val="22"/>
          <w:szCs w:val="22"/>
        </w:rPr>
        <w:t xml:space="preserve"> </w:t>
      </w:r>
      <w:r w:rsidR="00CB7861">
        <w:rPr>
          <w:rFonts w:ascii="Arial" w:hAnsi="Arial" w:cs="Arial"/>
          <w:sz w:val="22"/>
          <w:szCs w:val="22"/>
        </w:rPr>
        <w:t>body</w:t>
      </w:r>
      <w:r w:rsidR="00CB7861" w:rsidRPr="00CB7861">
        <w:rPr>
          <w:rFonts w:ascii="Arial" w:hAnsi="Arial" w:cs="Arial"/>
          <w:sz w:val="22"/>
          <w:szCs w:val="22"/>
        </w:rPr>
        <w:t xml:space="preserve"> financovan</w:t>
      </w:r>
      <w:r w:rsidR="00CB7861">
        <w:rPr>
          <w:rFonts w:ascii="Arial" w:hAnsi="Arial" w:cs="Arial"/>
          <w:sz w:val="22"/>
          <w:szCs w:val="22"/>
        </w:rPr>
        <w:t>é</w:t>
      </w:r>
      <w:r w:rsidR="00CB7861" w:rsidRPr="00CB7861">
        <w:rPr>
          <w:rFonts w:ascii="Arial" w:hAnsi="Arial" w:cs="Arial"/>
          <w:sz w:val="22"/>
          <w:szCs w:val="22"/>
        </w:rPr>
        <w:t xml:space="preserve"> zcela z nezpůsobilých výdajů projektu</w:t>
      </w:r>
      <w:r w:rsidRPr="002318A5">
        <w:rPr>
          <w:rFonts w:ascii="Arial" w:hAnsi="Arial" w:cs="Arial"/>
          <w:sz w:val="22"/>
          <w:szCs w:val="22"/>
        </w:rPr>
        <w:t>.</w:t>
      </w:r>
    </w:p>
    <w:p w14:paraId="75E477A6" w14:textId="79985788" w:rsidR="00E67ABA" w:rsidRPr="00E67ABA" w:rsidRDefault="00E67ABA" w:rsidP="00E67ABA">
      <w:pPr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67ABA">
        <w:rPr>
          <w:rFonts w:ascii="Arial" w:hAnsi="Arial" w:cs="Arial"/>
          <w:sz w:val="22"/>
          <w:szCs w:val="22"/>
        </w:rPr>
        <w:t xml:space="preserve">Hodnota je vykazována s přesností na celé jednotky </w:t>
      </w:r>
      <w:r w:rsidRPr="00C11726">
        <w:rPr>
          <w:rFonts w:ascii="Arial" w:hAnsi="Arial" w:cs="Arial"/>
          <w:sz w:val="22"/>
          <w:szCs w:val="22"/>
        </w:rPr>
        <w:t>(není možné vykázat desetinné číslo</w:t>
      </w:r>
      <w:r w:rsidR="00570E1B" w:rsidRPr="00C11726">
        <w:rPr>
          <w:rFonts w:ascii="Arial" w:hAnsi="Arial" w:cs="Arial"/>
          <w:sz w:val="22"/>
          <w:szCs w:val="22"/>
        </w:rPr>
        <w:t>)</w:t>
      </w:r>
      <w:r w:rsidR="00B3530B" w:rsidRPr="00C11726">
        <w:rPr>
          <w:rFonts w:ascii="Arial" w:hAnsi="Arial" w:cs="Arial"/>
          <w:sz w:val="22"/>
          <w:szCs w:val="22"/>
        </w:rPr>
        <w:t>.</w:t>
      </w:r>
    </w:p>
    <w:p w14:paraId="377A3009" w14:textId="1590815E" w:rsidR="00E67ABA" w:rsidRPr="00E67ABA" w:rsidRDefault="00E67ABA" w:rsidP="00E67ABA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E67ABA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postup vykazování</w:t>
      </w:r>
    </w:p>
    <w:p w14:paraId="6591A80D" w14:textId="2C8B5193" w:rsidR="00E67ABA" w:rsidRPr="00E67ABA" w:rsidRDefault="00E67ABA" w:rsidP="00E67ABA">
      <w:pPr>
        <w:spacing w:after="240" w:line="276" w:lineRule="auto"/>
        <w:jc w:val="both"/>
        <w:rPr>
          <w:rFonts w:ascii="Arial" w:hAnsi="Arial" w:cs="Arial"/>
          <w:b/>
          <w:bCs/>
          <w:color w:val="4F81BD" w:themeColor="accent1"/>
          <w:sz w:val="22"/>
          <w:szCs w:val="22"/>
        </w:rPr>
      </w:pPr>
      <w:r w:rsidRPr="00E67ABA">
        <w:rPr>
          <w:rFonts w:ascii="Arial" w:hAnsi="Arial" w:cs="Arial"/>
          <w:b/>
          <w:bCs/>
          <w:sz w:val="22"/>
          <w:szCs w:val="22"/>
        </w:rPr>
        <w:t xml:space="preserve">Výchozí hodnota: N/R </w:t>
      </w:r>
      <w:r w:rsidRPr="00E67ABA">
        <w:rPr>
          <w:rFonts w:ascii="Arial" w:hAnsi="Arial" w:cs="Arial"/>
          <w:sz w:val="22"/>
          <w:szCs w:val="22"/>
        </w:rPr>
        <w:t>V případě výstupových indikátorů je výchozí hodnota vždy nulová a nelze ji na žádosti o podporu vyplnit. Stejně tak i datum výchozí hodnoty není ze strany žadatele editovatelné a bude doplněno automaticky jako datum podání žádosti o podporu.</w:t>
      </w:r>
    </w:p>
    <w:p w14:paraId="1FE8F24F" w14:textId="166B1436" w:rsidR="00E67ABA" w:rsidRPr="00E67ABA" w:rsidRDefault="00E67ABA" w:rsidP="00E67ABA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67ABA">
        <w:rPr>
          <w:rFonts w:ascii="Arial" w:hAnsi="Arial" w:cs="Arial"/>
          <w:b/>
          <w:bCs/>
          <w:sz w:val="22"/>
          <w:szCs w:val="22"/>
        </w:rPr>
        <w:t>Cílová hodnota:</w:t>
      </w:r>
      <w:r w:rsidRPr="00E67ABA">
        <w:rPr>
          <w:rFonts w:ascii="Arial" w:hAnsi="Arial" w:cs="Arial"/>
          <w:sz w:val="22"/>
          <w:szCs w:val="22"/>
        </w:rPr>
        <w:t xml:space="preserve"> </w:t>
      </w:r>
      <w:r w:rsidR="00B3530B" w:rsidRPr="00B3530B">
        <w:rPr>
          <w:rFonts w:ascii="Arial" w:hAnsi="Arial" w:cs="Arial"/>
          <w:sz w:val="22"/>
          <w:szCs w:val="22"/>
        </w:rPr>
        <w:t>plánovaný počet</w:t>
      </w:r>
      <w:r w:rsidR="00CB7861">
        <w:rPr>
          <w:rFonts w:ascii="Arial" w:hAnsi="Arial" w:cs="Arial"/>
          <w:sz w:val="22"/>
          <w:szCs w:val="22"/>
        </w:rPr>
        <w:t xml:space="preserve"> plnicích </w:t>
      </w:r>
      <w:r w:rsidR="00E643AC">
        <w:rPr>
          <w:rFonts w:ascii="Arial" w:hAnsi="Arial" w:cs="Arial"/>
          <w:sz w:val="22"/>
          <w:szCs w:val="22"/>
        </w:rPr>
        <w:t>a</w:t>
      </w:r>
      <w:r w:rsidR="00CB7861">
        <w:rPr>
          <w:rFonts w:ascii="Arial" w:hAnsi="Arial" w:cs="Arial"/>
          <w:sz w:val="22"/>
          <w:szCs w:val="22"/>
        </w:rPr>
        <w:t xml:space="preserve"> dobíjecích bodů</w:t>
      </w:r>
      <w:r w:rsidRPr="00E67ABA">
        <w:rPr>
          <w:rFonts w:ascii="Arial" w:hAnsi="Arial" w:cs="Arial"/>
          <w:sz w:val="22"/>
          <w:szCs w:val="22"/>
        </w:rPr>
        <w:t xml:space="preserve">, které se žadatel zavazuje </w:t>
      </w:r>
      <w:r w:rsidR="00B362EE">
        <w:rPr>
          <w:rFonts w:ascii="Arial" w:hAnsi="Arial" w:cs="Arial"/>
          <w:color w:val="000000" w:themeColor="text1"/>
          <w:sz w:val="22"/>
          <w:szCs w:val="22"/>
        </w:rPr>
        <w:t xml:space="preserve">vybudovat nebo </w:t>
      </w:r>
      <w:r w:rsidR="00CB7861">
        <w:rPr>
          <w:rFonts w:ascii="Arial" w:hAnsi="Arial" w:cs="Arial"/>
          <w:color w:val="000000" w:themeColor="text1"/>
          <w:sz w:val="22"/>
          <w:szCs w:val="22"/>
        </w:rPr>
        <w:t>instalovat</w:t>
      </w:r>
      <w:r w:rsidRPr="00E67ABA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E67ABA">
        <w:rPr>
          <w:rFonts w:ascii="Arial" w:hAnsi="Arial" w:cs="Arial"/>
          <w:b/>
          <w:bCs/>
          <w:sz w:val="22"/>
          <w:szCs w:val="22"/>
        </w:rPr>
        <w:t xml:space="preserve">Žadatel ve Studii proveditelnosti uvede způsob výpočtu tak, aby jeho výsledek odpovídal cílové hodnotě a bylo možné ho ověřit. </w:t>
      </w:r>
      <w:r w:rsidRPr="00E67ABA">
        <w:rPr>
          <w:rFonts w:ascii="Arial" w:hAnsi="Arial" w:cs="Arial"/>
          <w:sz w:val="22"/>
          <w:szCs w:val="22"/>
        </w:rPr>
        <w:t xml:space="preserve">Tuto hodnotu se </w:t>
      </w:r>
      <w:r w:rsidRPr="00E67ABA">
        <w:rPr>
          <w:rFonts w:ascii="Arial" w:hAnsi="Arial" w:cs="Arial"/>
          <w:sz w:val="22"/>
          <w:szCs w:val="22"/>
        </w:rPr>
        <w:lastRenderedPageBreak/>
        <w:t xml:space="preserve">příjemce zavazuje naplnit k datu </w:t>
      </w:r>
      <w:r w:rsidRPr="00E67ABA">
        <w:rPr>
          <w:rFonts w:ascii="Arial" w:hAnsi="Arial" w:cs="Arial"/>
          <w:color w:val="000000" w:themeColor="text1"/>
          <w:sz w:val="22"/>
          <w:szCs w:val="22"/>
        </w:rPr>
        <w:t xml:space="preserve">ukončení realizace projektu </w:t>
      </w:r>
      <w:r w:rsidRPr="00E67ABA">
        <w:rPr>
          <w:rFonts w:ascii="Arial" w:hAnsi="Arial" w:cs="Arial"/>
          <w:sz w:val="22"/>
          <w:szCs w:val="22"/>
        </w:rPr>
        <w:t xml:space="preserve">a od tohoto okamžiku udržet až do konce udržitelnosti projektu. </w:t>
      </w:r>
    </w:p>
    <w:p w14:paraId="46A496A4" w14:textId="2C5D3115" w:rsidR="00E67ABA" w:rsidRPr="00E67ABA" w:rsidRDefault="00E67ABA" w:rsidP="00E67ABA">
      <w:pPr>
        <w:spacing w:after="20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E67ABA">
        <w:rPr>
          <w:rFonts w:ascii="Arial" w:hAnsi="Arial" w:cs="Arial"/>
          <w:b/>
          <w:bCs/>
          <w:sz w:val="22"/>
          <w:szCs w:val="22"/>
        </w:rPr>
        <w:t>Datum cílové hodnoty:</w:t>
      </w:r>
      <w:r w:rsidRPr="00E67ABA">
        <w:rPr>
          <w:rFonts w:ascii="Arial" w:hAnsi="Arial" w:cs="Arial"/>
          <w:sz w:val="22"/>
          <w:szCs w:val="22"/>
        </w:rPr>
        <w:t xml:space="preserve"> Žadatel v žádosti o podporu stanovuje jako datum ukončení realizace projektu.</w:t>
      </w:r>
      <w:r w:rsidR="00B3530B" w:rsidRPr="00B3530B">
        <w:rPr>
          <w:rFonts w:ascii="Arial" w:hAnsi="Arial" w:cs="Arial"/>
          <w:sz w:val="22"/>
          <w:szCs w:val="22"/>
        </w:rPr>
        <w:t xml:space="preserve"> </w:t>
      </w:r>
      <w:r w:rsidRPr="00E67ABA">
        <w:rPr>
          <w:rFonts w:ascii="Arial" w:hAnsi="Arial" w:cs="Arial"/>
          <w:sz w:val="22"/>
          <w:szCs w:val="22"/>
        </w:rPr>
        <w:t>Datum se považuje za Rozhodné datum pro naplnění indikátoru a jsou k němu vztahovány další postupy v době udržitelnosti.</w:t>
      </w:r>
    </w:p>
    <w:p w14:paraId="3333F888" w14:textId="1042A735" w:rsidR="00E67ABA" w:rsidRPr="00E67ABA" w:rsidRDefault="00E67ABA" w:rsidP="00E67ABA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67ABA">
        <w:rPr>
          <w:rFonts w:ascii="Arial" w:hAnsi="Arial" w:cs="Arial"/>
          <w:sz w:val="22"/>
          <w:szCs w:val="22"/>
        </w:rPr>
        <w:t>Datum je nutné při případném prodloužení realizace projektu udržovat aktuální, tj. v souladu s výše uvedeným.</w:t>
      </w:r>
    </w:p>
    <w:p w14:paraId="6BD242E9" w14:textId="4D912D34" w:rsidR="00E67ABA" w:rsidRPr="00E67ABA" w:rsidRDefault="00E67ABA" w:rsidP="00E67ABA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67ABA">
        <w:rPr>
          <w:rFonts w:ascii="Arial" w:hAnsi="Arial" w:cs="Arial"/>
          <w:b/>
          <w:bCs/>
          <w:sz w:val="22"/>
          <w:szCs w:val="22"/>
        </w:rPr>
        <w:t>Dosažená hodnota:</w:t>
      </w:r>
      <w:r w:rsidRPr="00E67ABA">
        <w:rPr>
          <w:rFonts w:ascii="Arial" w:hAnsi="Arial" w:cs="Arial"/>
          <w:sz w:val="22"/>
          <w:szCs w:val="22"/>
        </w:rPr>
        <w:t xml:space="preserve"> </w:t>
      </w:r>
      <w:r w:rsidR="00B3530B" w:rsidRPr="00B3530B">
        <w:rPr>
          <w:rFonts w:ascii="Arial" w:hAnsi="Arial" w:cs="Arial"/>
          <w:sz w:val="22"/>
          <w:szCs w:val="22"/>
        </w:rPr>
        <w:t>počet</w:t>
      </w:r>
      <w:r w:rsidR="00B3530B">
        <w:rPr>
          <w:rFonts w:ascii="Arial" w:hAnsi="Arial" w:cs="Arial"/>
          <w:sz w:val="22"/>
          <w:szCs w:val="22"/>
        </w:rPr>
        <w:t xml:space="preserve"> </w:t>
      </w:r>
      <w:r w:rsidR="0041116D">
        <w:rPr>
          <w:rFonts w:ascii="Arial" w:hAnsi="Arial" w:cs="Arial"/>
          <w:sz w:val="22"/>
          <w:szCs w:val="22"/>
        </w:rPr>
        <w:t xml:space="preserve">plnicích </w:t>
      </w:r>
      <w:r w:rsidR="00E643AC">
        <w:rPr>
          <w:rFonts w:ascii="Arial" w:hAnsi="Arial" w:cs="Arial"/>
          <w:sz w:val="22"/>
          <w:szCs w:val="22"/>
        </w:rPr>
        <w:t>a</w:t>
      </w:r>
      <w:r w:rsidR="0041116D">
        <w:rPr>
          <w:rFonts w:ascii="Arial" w:hAnsi="Arial" w:cs="Arial"/>
          <w:sz w:val="22"/>
          <w:szCs w:val="22"/>
        </w:rPr>
        <w:t xml:space="preserve"> dobíjecích bodů</w:t>
      </w:r>
      <w:r w:rsidR="00B362EE">
        <w:rPr>
          <w:rFonts w:ascii="Arial" w:hAnsi="Arial" w:cs="Arial"/>
          <w:sz w:val="22"/>
          <w:szCs w:val="22"/>
        </w:rPr>
        <w:t>, kter</w:t>
      </w:r>
      <w:r w:rsidR="0041116D">
        <w:rPr>
          <w:rFonts w:ascii="Arial" w:hAnsi="Arial" w:cs="Arial"/>
          <w:sz w:val="22"/>
          <w:szCs w:val="22"/>
        </w:rPr>
        <w:t>é</w:t>
      </w:r>
      <w:r w:rsidR="00B362EE">
        <w:rPr>
          <w:rFonts w:ascii="Arial" w:hAnsi="Arial" w:cs="Arial"/>
          <w:sz w:val="22"/>
          <w:szCs w:val="22"/>
        </w:rPr>
        <w:t xml:space="preserve"> byl</w:t>
      </w:r>
      <w:r w:rsidR="0041116D">
        <w:rPr>
          <w:rFonts w:ascii="Arial" w:hAnsi="Arial" w:cs="Arial"/>
          <w:sz w:val="22"/>
          <w:szCs w:val="22"/>
        </w:rPr>
        <w:t>y</w:t>
      </w:r>
      <w:r w:rsidR="00B362EE">
        <w:rPr>
          <w:rFonts w:ascii="Arial" w:hAnsi="Arial" w:cs="Arial"/>
          <w:sz w:val="22"/>
          <w:szCs w:val="22"/>
        </w:rPr>
        <w:t xml:space="preserve"> v rámci projektu skutečně vybudován</w:t>
      </w:r>
      <w:r w:rsidR="0041116D">
        <w:rPr>
          <w:rFonts w:ascii="Arial" w:hAnsi="Arial" w:cs="Arial"/>
          <w:sz w:val="22"/>
          <w:szCs w:val="22"/>
        </w:rPr>
        <w:t>y</w:t>
      </w:r>
      <w:r w:rsidR="00B362EE">
        <w:rPr>
          <w:rFonts w:ascii="Arial" w:hAnsi="Arial" w:cs="Arial"/>
          <w:sz w:val="22"/>
          <w:szCs w:val="22"/>
        </w:rPr>
        <w:t xml:space="preserve"> nebo </w:t>
      </w:r>
      <w:r w:rsidR="0041116D">
        <w:rPr>
          <w:rFonts w:ascii="Arial" w:hAnsi="Arial" w:cs="Arial"/>
          <w:sz w:val="22"/>
          <w:szCs w:val="22"/>
        </w:rPr>
        <w:t>instalovány</w:t>
      </w:r>
      <w:r w:rsidR="00B3530B">
        <w:rPr>
          <w:rFonts w:ascii="Arial" w:hAnsi="Arial" w:cs="Arial"/>
          <w:sz w:val="22"/>
          <w:szCs w:val="22"/>
        </w:rPr>
        <w:t xml:space="preserve">. </w:t>
      </w:r>
      <w:r w:rsidRPr="00E67ABA">
        <w:rPr>
          <w:rFonts w:ascii="Arial" w:hAnsi="Arial" w:cs="Arial"/>
          <w:sz w:val="22"/>
          <w:szCs w:val="22"/>
        </w:rPr>
        <w:t>Hodnotu je nutné poprvé vykázat nejpozději k Rozhodnému datu, tedy v Závěrečné zprávě o realizaci projektu k datu ukončení realizace projektu</w:t>
      </w:r>
      <w:r w:rsidR="00B3530B" w:rsidRPr="00B3530B">
        <w:rPr>
          <w:rFonts w:ascii="Arial" w:hAnsi="Arial" w:cs="Arial"/>
          <w:sz w:val="22"/>
          <w:szCs w:val="22"/>
        </w:rPr>
        <w:t>.</w:t>
      </w:r>
    </w:p>
    <w:p w14:paraId="7C5DC5C0" w14:textId="7282758E" w:rsidR="00E67ABA" w:rsidRPr="00E67ABA" w:rsidRDefault="00E67ABA" w:rsidP="00E67ABA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67ABA">
        <w:rPr>
          <w:rFonts w:ascii="Arial" w:hAnsi="Arial" w:cs="Arial"/>
          <w:sz w:val="22"/>
          <w:szCs w:val="22"/>
        </w:rPr>
        <w:t>Dosažená hodnota vykazovaná po Rozhodném datu se již váže k prokázání udržování výstupu projektu a je vykazována ve Zprávách o udržitelnosti projektu</w:t>
      </w:r>
      <w:r w:rsidRPr="00E67ABA">
        <w:rPr>
          <w:rFonts w:ascii="Arial" w:hAnsi="Arial" w:cs="Arial"/>
          <w:color w:val="FF0000"/>
          <w:sz w:val="22"/>
          <w:szCs w:val="22"/>
        </w:rPr>
        <w:t xml:space="preserve"> </w:t>
      </w:r>
      <w:r w:rsidRPr="00E67ABA">
        <w:rPr>
          <w:rFonts w:ascii="Arial" w:hAnsi="Arial" w:cs="Arial"/>
          <w:sz w:val="22"/>
          <w:szCs w:val="22"/>
        </w:rPr>
        <w:t>pouze v případě změny výše dosažené hodnoty, a to včetně popisu, kdy a proč ke změně došlo.</w:t>
      </w:r>
    </w:p>
    <w:p w14:paraId="3478402D" w14:textId="77777777" w:rsidR="00E67ABA" w:rsidRPr="00E67ABA" w:rsidRDefault="00E67ABA" w:rsidP="00E67ABA">
      <w:pPr>
        <w:keepNext/>
        <w:spacing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E67ABA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>Způsob doložení dosažené hodnoty indikátoru</w:t>
      </w:r>
    </w:p>
    <w:tbl>
      <w:tblPr>
        <w:tblW w:w="9266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5"/>
        <w:gridCol w:w="4691"/>
      </w:tblGrid>
      <w:tr w:rsidR="00E67ABA" w:rsidRPr="00E67ABA" w14:paraId="2A609549" w14:textId="77777777" w:rsidTr="002A7299">
        <w:trPr>
          <w:trHeight w:val="693"/>
        </w:trPr>
        <w:tc>
          <w:tcPr>
            <w:tcW w:w="4575" w:type="dxa"/>
          </w:tcPr>
          <w:p w14:paraId="0442C7B5" w14:textId="77777777" w:rsidR="00E67ABA" w:rsidRPr="00690EB8" w:rsidRDefault="00E67ABA" w:rsidP="00E67ABA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0EB8">
              <w:rPr>
                <w:rFonts w:ascii="Arial" w:hAnsi="Arial" w:cs="Arial"/>
                <w:b/>
                <w:bCs/>
                <w:sz w:val="22"/>
                <w:szCs w:val="22"/>
              </w:rPr>
              <w:t>V Závěrečné zprávě o realizaci projektu:</w:t>
            </w:r>
          </w:p>
          <w:p w14:paraId="2231319B" w14:textId="5A5EEEBF" w:rsidR="00690EB8" w:rsidRPr="00690EB8" w:rsidRDefault="00E67ABA" w:rsidP="00C11726">
            <w:pPr>
              <w:numPr>
                <w:ilvl w:val="0"/>
                <w:numId w:val="36"/>
              </w:numPr>
              <w:spacing w:after="20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726">
              <w:rPr>
                <w:rFonts w:ascii="Arial" w:hAnsi="Arial" w:cs="Arial"/>
                <w:sz w:val="22"/>
                <w:szCs w:val="22"/>
              </w:rPr>
              <w:t>Fotodokumentace</w:t>
            </w:r>
          </w:p>
          <w:p w14:paraId="6BA908B4" w14:textId="77777777" w:rsidR="00E67ABA" w:rsidRPr="00C11726" w:rsidRDefault="00E67ABA" w:rsidP="00E67ABA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726">
              <w:rPr>
                <w:rFonts w:ascii="Arial" w:hAnsi="Arial" w:cs="Arial"/>
                <w:sz w:val="22"/>
                <w:szCs w:val="22"/>
              </w:rPr>
              <w:t>Doklad o předání a převzetí díla</w:t>
            </w:r>
          </w:p>
          <w:p w14:paraId="1CDC0CC2" w14:textId="2E2F89F8" w:rsidR="00E67ABA" w:rsidRDefault="00E67ABA" w:rsidP="00E67ABA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11726">
              <w:rPr>
                <w:rFonts w:ascii="Arial" w:hAnsi="Arial" w:cs="Arial"/>
                <w:sz w:val="22"/>
                <w:szCs w:val="22"/>
              </w:rPr>
              <w:t>Kolaudační souhlas nebo kolaudační rozhodnutí nebo rozhodnutí o povolení zkušebního provozu nebo rozhodnutí o povolení k předčasnému užívání stavby</w:t>
            </w:r>
          </w:p>
          <w:p w14:paraId="70CCBBD1" w14:textId="7C74A4B9" w:rsidR="0041116D" w:rsidRDefault="0041116D" w:rsidP="00E67ABA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Pr="0041116D">
              <w:rPr>
                <w:rFonts w:ascii="Arial" w:hAnsi="Arial" w:cs="Arial"/>
                <w:sz w:val="22"/>
                <w:szCs w:val="22"/>
              </w:rPr>
              <w:t>oklad prokazující uvedení realizované plnicí nebo dobíjecí stanice do plného provozu</w:t>
            </w:r>
          </w:p>
          <w:p w14:paraId="21E05295" w14:textId="557FFD0E" w:rsidR="0041116D" w:rsidRDefault="0041116D" w:rsidP="00E67ABA">
            <w:pPr>
              <w:numPr>
                <w:ilvl w:val="0"/>
                <w:numId w:val="36"/>
              </w:numPr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41116D">
              <w:rPr>
                <w:rFonts w:ascii="Arial" w:hAnsi="Arial" w:cs="Arial"/>
                <w:sz w:val="22"/>
                <w:szCs w:val="22"/>
              </w:rPr>
              <w:t>ituační výkres se zakreslenou realizovanou plnicí nebo dobíjecí stanicí včetně údaje o počtu plnicích nebo dobíjecích bodů minimálně v</w:t>
            </w:r>
            <w:r w:rsidR="00490D26">
              <w:rPr>
                <w:rFonts w:ascii="Arial" w:hAnsi="Arial" w:cs="Arial"/>
                <w:sz w:val="22"/>
                <w:szCs w:val="22"/>
              </w:rPr>
              <w:t> </w:t>
            </w:r>
            <w:r w:rsidRPr="0041116D">
              <w:rPr>
                <w:rFonts w:ascii="Arial" w:hAnsi="Arial" w:cs="Arial"/>
                <w:sz w:val="22"/>
                <w:szCs w:val="22"/>
              </w:rPr>
              <w:t>měřítku katastrální mapy</w:t>
            </w:r>
          </w:p>
          <w:p w14:paraId="4EBFDA06" w14:textId="05700576" w:rsidR="00690EB8" w:rsidRPr="00C11726" w:rsidRDefault="00690EB8" w:rsidP="00C11726">
            <w:pPr>
              <w:ind w:left="720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91" w:type="dxa"/>
          </w:tcPr>
          <w:p w14:paraId="311C031B" w14:textId="77777777" w:rsidR="00E67ABA" w:rsidRPr="00690EB8" w:rsidRDefault="00E67ABA" w:rsidP="00E67ABA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90EB8">
              <w:rPr>
                <w:rFonts w:ascii="Arial" w:hAnsi="Arial" w:cs="Arial"/>
                <w:b/>
                <w:bCs/>
                <w:sz w:val="22"/>
                <w:szCs w:val="22"/>
              </w:rPr>
              <w:t>V 1. Zprávě o udržitelnosti projektu:</w:t>
            </w:r>
            <w:r w:rsidRPr="00690EB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1970464E" w14:textId="77777777" w:rsidR="00E67ABA" w:rsidRPr="00C11726" w:rsidRDefault="00E67ABA" w:rsidP="00E67ABA">
            <w:pPr>
              <w:numPr>
                <w:ilvl w:val="0"/>
                <w:numId w:val="36"/>
              </w:numPr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690EB8">
              <w:rPr>
                <w:rFonts w:ascii="Arial" w:hAnsi="Arial" w:cs="Arial"/>
                <w:sz w:val="22"/>
                <w:szCs w:val="22"/>
              </w:rPr>
              <w:t xml:space="preserve">Indikátor je dokládán vždy v Závěrečné zprávě o realizaci, 1. </w:t>
            </w:r>
            <w:proofErr w:type="spellStart"/>
            <w:r w:rsidRPr="00690EB8">
              <w:rPr>
                <w:rFonts w:ascii="Arial" w:hAnsi="Arial" w:cs="Arial"/>
                <w:sz w:val="22"/>
                <w:szCs w:val="22"/>
              </w:rPr>
              <w:t>ZoU</w:t>
            </w:r>
            <w:proofErr w:type="spellEnd"/>
            <w:r w:rsidRPr="00690EB8">
              <w:rPr>
                <w:rFonts w:ascii="Arial" w:hAnsi="Arial" w:cs="Arial"/>
                <w:sz w:val="22"/>
                <w:szCs w:val="22"/>
              </w:rPr>
              <w:t xml:space="preserve"> nemá žádné pevně stanovené materiály</w:t>
            </w:r>
          </w:p>
          <w:p w14:paraId="0345DDF4" w14:textId="77777777" w:rsidR="00E67ABA" w:rsidRPr="00C11726" w:rsidRDefault="00E67ABA" w:rsidP="00E67ABA">
            <w:pPr>
              <w:spacing w:line="276" w:lineRule="auto"/>
              <w:ind w:left="5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564BDB7A" w14:textId="2A1BE1C5" w:rsidR="00E67ABA" w:rsidRPr="00E67ABA" w:rsidRDefault="00E67ABA" w:rsidP="00E67ABA">
      <w:pPr>
        <w:spacing w:before="120" w:after="200" w:line="276" w:lineRule="auto"/>
        <w:jc w:val="both"/>
        <w:rPr>
          <w:rFonts w:ascii="Arial" w:hAnsi="Arial" w:cs="Arial"/>
          <w:sz w:val="22"/>
          <w:szCs w:val="22"/>
        </w:rPr>
      </w:pPr>
      <w:r w:rsidRPr="00E67ABA">
        <w:rPr>
          <w:rFonts w:ascii="Arial" w:hAnsi="Arial" w:cs="Arial"/>
          <w:sz w:val="22"/>
          <w:szCs w:val="22"/>
        </w:rPr>
        <w:t xml:space="preserve">Je nutné doložit </w:t>
      </w:r>
      <w:r w:rsidRPr="00C11726">
        <w:rPr>
          <w:rFonts w:ascii="Arial" w:hAnsi="Arial" w:cs="Arial"/>
          <w:sz w:val="22"/>
          <w:szCs w:val="22"/>
        </w:rPr>
        <w:t xml:space="preserve">všechny </w:t>
      </w:r>
      <w:r w:rsidR="00227B40">
        <w:rPr>
          <w:rFonts w:ascii="Arial" w:hAnsi="Arial" w:cs="Arial"/>
          <w:sz w:val="22"/>
          <w:szCs w:val="22"/>
        </w:rPr>
        <w:t>relevantní</w:t>
      </w:r>
      <w:r w:rsidR="00227B40" w:rsidRPr="00E67ABA">
        <w:rPr>
          <w:rFonts w:ascii="Arial" w:hAnsi="Arial" w:cs="Arial"/>
          <w:sz w:val="22"/>
          <w:szCs w:val="22"/>
        </w:rPr>
        <w:t xml:space="preserve"> </w:t>
      </w:r>
      <w:r w:rsidRPr="00E67ABA">
        <w:rPr>
          <w:rFonts w:ascii="Arial" w:hAnsi="Arial" w:cs="Arial"/>
          <w:sz w:val="22"/>
          <w:szCs w:val="22"/>
        </w:rPr>
        <w:t>dokumenty. Pokud v době udržitelnosti dojde ke změnám, bude v nejbližší následující Zprávě o udržitelnosti projektu vykázána aktualizovaná dosažená hodnota, včetně data, od kterého platí. Zároveň budou opětovně dodány materiály pro její ověření.</w:t>
      </w:r>
    </w:p>
    <w:p w14:paraId="372FAC84" w14:textId="77777777" w:rsidR="00E67ABA" w:rsidRPr="00E67ABA" w:rsidRDefault="00E67ABA" w:rsidP="00E67ABA">
      <w:pPr>
        <w:keepNext/>
        <w:spacing w:before="240" w:line="276" w:lineRule="auto"/>
        <w:jc w:val="both"/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</w:pPr>
      <w:r w:rsidRPr="00E67ABA">
        <w:rPr>
          <w:rFonts w:ascii="Arial" w:eastAsiaTheme="minorHAnsi" w:hAnsi="Arial" w:cs="Arial"/>
          <w:b/>
          <w:bCs/>
          <w:i/>
          <w:iCs/>
          <w:caps/>
          <w:color w:val="31849B" w:themeColor="accent5" w:themeShade="BF"/>
          <w:lang w:eastAsia="en-US"/>
        </w:rPr>
        <w:t xml:space="preserve">TOLERANCE DOSAŽENÍ a udržení indikátoru </w:t>
      </w:r>
    </w:p>
    <w:p w14:paraId="3AFA0B96" w14:textId="35617FBA" w:rsidR="00E67ABA" w:rsidRPr="00C11726" w:rsidRDefault="00E67ABA" w:rsidP="00E67ABA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C11726">
        <w:rPr>
          <w:rFonts w:ascii="Arial" w:hAnsi="Arial" w:cs="Arial"/>
          <w:sz w:val="22"/>
          <w:szCs w:val="22"/>
        </w:rPr>
        <w:t>Není stanoveno žádné toleranční pásmo, pokud není dosažena cílová hodnota, bude postupováno</w:t>
      </w:r>
      <w:r w:rsidRPr="004101E3">
        <w:rPr>
          <w:rFonts w:ascii="Arial" w:hAnsi="Arial" w:cs="Arial"/>
          <w:sz w:val="22"/>
          <w:szCs w:val="22"/>
        </w:rPr>
        <w:t xml:space="preserve"> podle Podmínek </w:t>
      </w:r>
      <w:r w:rsidRPr="00C11726">
        <w:rPr>
          <w:rFonts w:ascii="Arial" w:hAnsi="Arial" w:cs="Arial"/>
          <w:sz w:val="22"/>
          <w:szCs w:val="22"/>
        </w:rPr>
        <w:t>Rozhodnutí</w:t>
      </w:r>
      <w:r w:rsidR="00A12931" w:rsidRPr="004101E3">
        <w:rPr>
          <w:rFonts w:ascii="Arial" w:hAnsi="Arial" w:cs="Arial"/>
          <w:sz w:val="22"/>
          <w:szCs w:val="22"/>
        </w:rPr>
        <w:t xml:space="preserve">. </w:t>
      </w:r>
      <w:r w:rsidRPr="004101E3">
        <w:rPr>
          <w:rFonts w:ascii="Arial" w:hAnsi="Arial" w:cs="Arial"/>
          <w:sz w:val="22"/>
          <w:szCs w:val="22"/>
        </w:rPr>
        <w:t>Překročení stanovené cílové hodnoty není sankcionováno.</w:t>
      </w:r>
    </w:p>
    <w:p w14:paraId="259B45D9" w14:textId="786DE134" w:rsidR="00E67ABA" w:rsidRPr="00E67ABA" w:rsidRDefault="00E67ABA" w:rsidP="00E67ABA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67ABA">
        <w:rPr>
          <w:rFonts w:ascii="Arial" w:hAnsi="Arial" w:cs="Arial"/>
          <w:sz w:val="22"/>
          <w:szCs w:val="22"/>
        </w:rPr>
        <w:t xml:space="preserve">Pokud se během realizace projektu objeví skutečnosti, které povedou k nenaplnění cílové hodnoty indikátoru, je možné ze strany příjemce iniciovat změnové řízení, kde příjemce zdůvodní nutnost změny cílové hodnoty indikátoru a navrhne úpravy projektu, které poměrově zohlední změnu hodnoty, například snížením </w:t>
      </w:r>
      <w:r w:rsidR="004119C8">
        <w:rPr>
          <w:rFonts w:ascii="Arial" w:hAnsi="Arial" w:cs="Arial"/>
          <w:sz w:val="22"/>
          <w:szCs w:val="22"/>
        </w:rPr>
        <w:t>způsobilých</w:t>
      </w:r>
      <w:r w:rsidR="004119C8" w:rsidRPr="00E67ABA">
        <w:rPr>
          <w:rFonts w:ascii="Arial" w:hAnsi="Arial" w:cs="Arial"/>
          <w:sz w:val="22"/>
          <w:szCs w:val="22"/>
        </w:rPr>
        <w:t xml:space="preserve"> </w:t>
      </w:r>
      <w:r w:rsidRPr="00E67ABA">
        <w:rPr>
          <w:rFonts w:ascii="Arial" w:hAnsi="Arial" w:cs="Arial"/>
          <w:sz w:val="22"/>
          <w:szCs w:val="22"/>
        </w:rPr>
        <w:t xml:space="preserve">výdajů projektu vážících se na daný </w:t>
      </w:r>
      <w:r w:rsidRPr="00E67ABA">
        <w:rPr>
          <w:rFonts w:ascii="Arial" w:hAnsi="Arial" w:cs="Arial"/>
          <w:sz w:val="22"/>
          <w:szCs w:val="22"/>
        </w:rPr>
        <w:lastRenderedPageBreak/>
        <w:t xml:space="preserve">výstup. V takovém případě bude možné tuto žádost posoudit, a rozhodnout, zda lze cílovou hodnotu snížit. </w:t>
      </w:r>
    </w:p>
    <w:p w14:paraId="50D34CD4" w14:textId="2A65718B" w:rsidR="00E67ABA" w:rsidRPr="00E67ABA" w:rsidRDefault="00E67ABA" w:rsidP="00E67ABA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67ABA">
        <w:rPr>
          <w:rFonts w:ascii="Arial" w:hAnsi="Arial" w:cs="Arial"/>
          <w:sz w:val="22"/>
          <w:szCs w:val="22"/>
        </w:rPr>
        <w:t xml:space="preserve">Když tak příjemce neučiní, zůstává cílová hodnota platná v nezměněné výši, a pokud bude vykázaná </w:t>
      </w:r>
      <w:r w:rsidRPr="004101E3">
        <w:rPr>
          <w:rFonts w:ascii="Arial" w:hAnsi="Arial" w:cs="Arial"/>
          <w:sz w:val="22"/>
          <w:szCs w:val="22"/>
        </w:rPr>
        <w:t xml:space="preserve">dosažená hodnota k Rozhodnému datu nižší než hodnota cílová, bude postupováno dle Podmínek </w:t>
      </w:r>
      <w:r w:rsidRPr="00C11726">
        <w:rPr>
          <w:rFonts w:ascii="Arial" w:hAnsi="Arial" w:cs="Arial"/>
          <w:sz w:val="22"/>
          <w:szCs w:val="22"/>
        </w:rPr>
        <w:t>Rozhodnutí</w:t>
      </w:r>
      <w:r w:rsidRPr="004101E3">
        <w:rPr>
          <w:rFonts w:ascii="Arial" w:hAnsi="Arial" w:cs="Arial"/>
          <w:sz w:val="22"/>
          <w:szCs w:val="22"/>
        </w:rPr>
        <w:t>,</w:t>
      </w:r>
      <w:r w:rsidRPr="00E67ABA">
        <w:rPr>
          <w:rFonts w:ascii="Arial" w:hAnsi="Arial" w:cs="Arial"/>
          <w:sz w:val="22"/>
          <w:szCs w:val="22"/>
        </w:rPr>
        <w:t xml:space="preserve"> které stanoví konkrétní výši a typ sankce aplikované při nenaplnění cílové hodnoty indikátoru.</w:t>
      </w:r>
    </w:p>
    <w:p w14:paraId="2199D205" w14:textId="313BE55C" w:rsidR="000A2DD6" w:rsidRPr="004C067A" w:rsidRDefault="00E67ABA" w:rsidP="000A2DD6">
      <w:pPr>
        <w:spacing w:after="200" w:line="276" w:lineRule="auto"/>
        <w:jc w:val="both"/>
        <w:rPr>
          <w:rStyle w:val="Zdraznnintenzivn"/>
          <w:rFonts w:ascii="Arial" w:hAnsi="Arial" w:cs="Arial"/>
          <w:i w:val="0"/>
          <w:iCs w:val="0"/>
          <w:color w:val="auto"/>
          <w:sz w:val="22"/>
          <w:szCs w:val="22"/>
        </w:rPr>
      </w:pPr>
      <w:r w:rsidRPr="00E67ABA">
        <w:rPr>
          <w:rFonts w:ascii="Arial" w:hAnsi="Arial" w:cs="Arial"/>
          <w:sz w:val="22"/>
          <w:szCs w:val="22"/>
        </w:rPr>
        <w:t xml:space="preserve">V době udržitelnosti již </w:t>
      </w:r>
      <w:r w:rsidRPr="00E67ABA">
        <w:rPr>
          <w:rFonts w:ascii="Arial" w:hAnsi="Arial" w:cs="Arial"/>
          <w:b/>
          <w:bCs/>
          <w:sz w:val="22"/>
          <w:szCs w:val="22"/>
          <w:u w:val="single"/>
        </w:rPr>
        <w:t>nelze cílovou hodnotu upravit</w:t>
      </w:r>
      <w:r w:rsidRPr="00E67ABA">
        <w:rPr>
          <w:rFonts w:ascii="Arial" w:hAnsi="Arial" w:cs="Arial"/>
          <w:sz w:val="22"/>
          <w:szCs w:val="22"/>
        </w:rPr>
        <w:t xml:space="preserve"> a zůstává zafixovaná ve výši platné k datu skutečného ukončení realizace projektu. Pokud bude v období udržitelnosti (po Rozhodném datu) vykázaná dosažená hodnota nižší než hodnota cílová, bude postupováno dle Podmínek </w:t>
      </w:r>
      <w:r w:rsidRPr="00C11726">
        <w:rPr>
          <w:rFonts w:ascii="Arial" w:hAnsi="Arial" w:cs="Arial"/>
          <w:sz w:val="22"/>
          <w:szCs w:val="22"/>
        </w:rPr>
        <w:t>Rozhodnutí</w:t>
      </w:r>
      <w:r w:rsidRPr="00361F62">
        <w:rPr>
          <w:rFonts w:ascii="Arial" w:hAnsi="Arial" w:cs="Arial"/>
          <w:sz w:val="22"/>
          <w:szCs w:val="22"/>
        </w:rPr>
        <w:t>,</w:t>
      </w:r>
      <w:r w:rsidRPr="00E67ABA">
        <w:rPr>
          <w:rFonts w:ascii="Arial" w:hAnsi="Arial" w:cs="Arial"/>
          <w:sz w:val="22"/>
          <w:szCs w:val="22"/>
        </w:rPr>
        <w:t xml:space="preserve"> které stanoví konkrétní výši a typ sankce aplikované při neudržení cílové hodnoty indikátoru, a to poměrově, vztaženo k délce období udržitelnosti, době neplnění a výši neplnění.</w:t>
      </w:r>
    </w:p>
    <w:p w14:paraId="71EA5D58" w14:textId="114B9383" w:rsidR="0084772A" w:rsidRPr="0084772A" w:rsidRDefault="0084772A" w:rsidP="002A7299">
      <w:pPr>
        <w:spacing w:before="240" w:line="276" w:lineRule="auto"/>
        <w:jc w:val="both"/>
        <w:rPr>
          <w:rStyle w:val="Zdraznnintenzivn"/>
          <w:rFonts w:asciiTheme="majorHAnsi" w:eastAsiaTheme="minorHAnsi" w:hAnsiTheme="majorHAnsi" w:cstheme="minorHAnsi"/>
          <w:caps/>
          <w:color w:val="31849B" w:themeColor="accent5" w:themeShade="BF"/>
          <w:highlight w:val="yellow"/>
          <w:lang w:eastAsia="en-US"/>
        </w:rPr>
      </w:pPr>
    </w:p>
    <w:sectPr w:rsidR="0084772A" w:rsidRPr="0084772A" w:rsidSect="007C4086">
      <w:headerReference w:type="default" r:id="rId16"/>
      <w:headerReference w:type="first" r:id="rId17"/>
      <w:footerReference w:type="first" r:id="rId18"/>
      <w:pgSz w:w="11906" w:h="16838" w:code="9"/>
      <w:pgMar w:top="1418" w:right="1418" w:bottom="1418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CB906" w14:textId="77777777" w:rsidR="0086003D" w:rsidRDefault="0086003D" w:rsidP="00634381">
      <w:r>
        <w:separator/>
      </w:r>
    </w:p>
    <w:p w14:paraId="6D330F17" w14:textId="77777777" w:rsidR="0086003D" w:rsidRDefault="0086003D"/>
  </w:endnote>
  <w:endnote w:type="continuationSeparator" w:id="0">
    <w:p w14:paraId="012E90E8" w14:textId="77777777" w:rsidR="0086003D" w:rsidRDefault="0086003D" w:rsidP="00634381">
      <w:r>
        <w:continuationSeparator/>
      </w:r>
    </w:p>
    <w:p w14:paraId="7279B300" w14:textId="77777777" w:rsidR="0086003D" w:rsidRDefault="008600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4740671"/>
      <w:docPartObj>
        <w:docPartGallery w:val="Page Numbers (Bottom of Page)"/>
        <w:docPartUnique/>
      </w:docPartObj>
    </w:sdtPr>
    <w:sdtEndPr/>
    <w:sdtContent>
      <w:p w14:paraId="75BEC8B4" w14:textId="688B7E92" w:rsidR="0048071C" w:rsidRDefault="0048071C">
        <w:pPr>
          <w:pStyle w:val="Zpat"/>
          <w:jc w:val="right"/>
        </w:pPr>
        <w:r w:rsidRPr="007C4086">
          <w:rPr>
            <w:rFonts w:ascii="Arial" w:hAnsi="Arial" w:cs="Arial"/>
            <w:sz w:val="20"/>
            <w:szCs w:val="20"/>
          </w:rPr>
          <w:fldChar w:fldCharType="begin"/>
        </w:r>
        <w:r w:rsidRPr="007C4086">
          <w:rPr>
            <w:rFonts w:ascii="Arial" w:hAnsi="Arial" w:cs="Arial"/>
            <w:sz w:val="20"/>
            <w:szCs w:val="20"/>
          </w:rPr>
          <w:instrText>PAGE   \* MERGEFORMAT</w:instrText>
        </w:r>
        <w:r w:rsidRPr="007C4086">
          <w:rPr>
            <w:rFonts w:ascii="Arial" w:hAnsi="Arial" w:cs="Arial"/>
            <w:sz w:val="20"/>
            <w:szCs w:val="20"/>
          </w:rPr>
          <w:fldChar w:fldCharType="separate"/>
        </w:r>
        <w:r w:rsidRPr="007C4086">
          <w:rPr>
            <w:rFonts w:ascii="Arial" w:hAnsi="Arial" w:cs="Arial"/>
            <w:sz w:val="20"/>
            <w:szCs w:val="20"/>
          </w:rPr>
          <w:t>2</w:t>
        </w:r>
        <w:r w:rsidRPr="007C408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FA19CAB" w14:textId="77777777" w:rsidR="0048071C" w:rsidRDefault="0048071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7D8C3" w14:textId="3A305248" w:rsidR="00D6179B" w:rsidRDefault="00D6179B" w:rsidP="007C4086">
    <w:pPr>
      <w:pStyle w:val="Zpat"/>
    </w:pPr>
  </w:p>
  <w:p w14:paraId="5F366AB2" w14:textId="77777777" w:rsidR="00EA1516" w:rsidRDefault="00EA151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0572595"/>
      <w:docPartObj>
        <w:docPartGallery w:val="Page Numbers (Bottom of Page)"/>
        <w:docPartUnique/>
      </w:docPartObj>
    </w:sdtPr>
    <w:sdtEndPr/>
    <w:sdtContent>
      <w:p w14:paraId="4DD2A1F9" w14:textId="27C26C2E" w:rsidR="0048071C" w:rsidRDefault="0048071C">
        <w:pPr>
          <w:pStyle w:val="Zpat"/>
          <w:jc w:val="right"/>
        </w:pPr>
        <w:r w:rsidRPr="007C4086">
          <w:rPr>
            <w:rFonts w:ascii="Arial" w:hAnsi="Arial" w:cs="Arial"/>
            <w:sz w:val="20"/>
            <w:szCs w:val="20"/>
          </w:rPr>
          <w:fldChar w:fldCharType="begin"/>
        </w:r>
        <w:r w:rsidRPr="007C4086">
          <w:rPr>
            <w:rFonts w:ascii="Arial" w:hAnsi="Arial" w:cs="Arial"/>
            <w:sz w:val="20"/>
            <w:szCs w:val="20"/>
          </w:rPr>
          <w:instrText>PAGE   \* MERGEFORMAT</w:instrText>
        </w:r>
        <w:r w:rsidRPr="007C4086">
          <w:rPr>
            <w:rFonts w:ascii="Arial" w:hAnsi="Arial" w:cs="Arial"/>
            <w:sz w:val="20"/>
            <w:szCs w:val="20"/>
          </w:rPr>
          <w:fldChar w:fldCharType="separate"/>
        </w:r>
        <w:r w:rsidRPr="007C4086">
          <w:rPr>
            <w:rFonts w:ascii="Arial" w:hAnsi="Arial" w:cs="Arial"/>
            <w:sz w:val="20"/>
            <w:szCs w:val="20"/>
          </w:rPr>
          <w:t>2</w:t>
        </w:r>
        <w:r w:rsidRPr="007C408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0821A02B" w14:textId="77777777" w:rsidR="0048071C" w:rsidRDefault="0048071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FC8A3" w14:textId="77777777" w:rsidR="0086003D" w:rsidRDefault="0086003D">
      <w:r>
        <w:separator/>
      </w:r>
    </w:p>
  </w:footnote>
  <w:footnote w:type="continuationSeparator" w:id="0">
    <w:p w14:paraId="2559BDB4" w14:textId="77777777" w:rsidR="0086003D" w:rsidRDefault="0086003D" w:rsidP="00634381">
      <w:r>
        <w:continuationSeparator/>
      </w:r>
    </w:p>
    <w:p w14:paraId="7ECF69F2" w14:textId="77777777" w:rsidR="0086003D" w:rsidRDefault="008600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35D3" w14:textId="77777777" w:rsidR="0086003D" w:rsidRDefault="0086003D" w:rsidP="0086003D">
    <w:pPr>
      <w:pStyle w:val="Zhlav"/>
      <w:jc w:val="center"/>
    </w:pPr>
  </w:p>
  <w:p w14:paraId="3B8FCE2C" w14:textId="77777777" w:rsidR="0086003D" w:rsidRDefault="0086003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4A268" w14:textId="7417B810" w:rsidR="0086003D" w:rsidRDefault="0086003D" w:rsidP="0086003D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5CFB3" w14:textId="4CFD3925" w:rsidR="008D1116" w:rsidRDefault="008D1116" w:rsidP="00C0286A">
    <w:pPr>
      <w:pStyle w:val="Zhlav"/>
      <w:jc w:val="center"/>
    </w:pPr>
  </w:p>
  <w:p w14:paraId="771DE509" w14:textId="77777777" w:rsidR="008D1116" w:rsidRDefault="008D1116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35B78" w14:textId="77777777" w:rsidR="00D6179B" w:rsidRDefault="00D6179B" w:rsidP="0086003D">
    <w:pPr>
      <w:pStyle w:val="Zhlav"/>
      <w:jc w:val="center"/>
    </w:pPr>
    <w:r>
      <w:rPr>
        <w:noProof/>
      </w:rPr>
      <w:drawing>
        <wp:inline distT="0" distB="0" distL="0" distR="0" wp14:anchorId="46390181" wp14:editId="13FB95E5">
          <wp:extent cx="5759450" cy="699135"/>
          <wp:effectExtent l="0" t="0" r="0" b="5715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836B5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051B0C66"/>
    <w:multiLevelType w:val="hybridMultilevel"/>
    <w:tmpl w:val="BE045374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9170A"/>
    <w:multiLevelType w:val="hybridMultilevel"/>
    <w:tmpl w:val="37D41788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7" w15:restartNumberingAfterBreak="0">
    <w:nsid w:val="0D774A4C"/>
    <w:multiLevelType w:val="hybridMultilevel"/>
    <w:tmpl w:val="EEAA7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B1430C"/>
    <w:multiLevelType w:val="hybridMultilevel"/>
    <w:tmpl w:val="E81036AC"/>
    <w:lvl w:ilvl="0" w:tplc="9EA49956">
      <w:start w:val="1"/>
      <w:numFmt w:val="lowerLetter"/>
      <w:lvlText w:val="%1)"/>
      <w:lvlJc w:val="left"/>
      <w:pPr>
        <w:ind w:left="8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9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97D67"/>
    <w:multiLevelType w:val="hybridMultilevel"/>
    <w:tmpl w:val="48CE8700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11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1F7541"/>
    <w:multiLevelType w:val="hybridMultilevel"/>
    <w:tmpl w:val="2326C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D74557"/>
    <w:multiLevelType w:val="hybridMultilevel"/>
    <w:tmpl w:val="C5DAE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DE6BA1"/>
    <w:multiLevelType w:val="hybridMultilevel"/>
    <w:tmpl w:val="9418D10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21B17CC"/>
    <w:multiLevelType w:val="hybridMultilevel"/>
    <w:tmpl w:val="27BA60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18532D"/>
    <w:multiLevelType w:val="hybridMultilevel"/>
    <w:tmpl w:val="7452C85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28DD6C4D"/>
    <w:multiLevelType w:val="hybridMultilevel"/>
    <w:tmpl w:val="25385A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A93E48"/>
    <w:multiLevelType w:val="hybridMultilevel"/>
    <w:tmpl w:val="154C7A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496D5E"/>
    <w:multiLevelType w:val="hybridMultilevel"/>
    <w:tmpl w:val="F208B622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32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133415"/>
    <w:multiLevelType w:val="hybridMultilevel"/>
    <w:tmpl w:val="8D963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857426"/>
    <w:multiLevelType w:val="hybridMultilevel"/>
    <w:tmpl w:val="27C660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9D246FF"/>
    <w:multiLevelType w:val="hybridMultilevel"/>
    <w:tmpl w:val="29BA4376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2" w15:restartNumberingAfterBreak="0">
    <w:nsid w:val="4A0E4C59"/>
    <w:multiLevelType w:val="hybridMultilevel"/>
    <w:tmpl w:val="5412A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4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A06AB6"/>
    <w:multiLevelType w:val="hybridMultilevel"/>
    <w:tmpl w:val="7090D636"/>
    <w:lvl w:ilvl="0" w:tplc="04050017">
      <w:start w:val="1"/>
      <w:numFmt w:val="lowerLetter"/>
      <w:lvlText w:val="%1)"/>
      <w:lvlJc w:val="left"/>
      <w:pPr>
        <w:ind w:left="1250" w:hanging="360"/>
      </w:pPr>
    </w:lvl>
    <w:lvl w:ilvl="1" w:tplc="04050019" w:tentative="1">
      <w:start w:val="1"/>
      <w:numFmt w:val="lowerLetter"/>
      <w:lvlText w:val="%2."/>
      <w:lvlJc w:val="left"/>
      <w:pPr>
        <w:ind w:left="1970" w:hanging="360"/>
      </w:pPr>
    </w:lvl>
    <w:lvl w:ilvl="2" w:tplc="0405001B" w:tentative="1">
      <w:start w:val="1"/>
      <w:numFmt w:val="lowerRoman"/>
      <w:lvlText w:val="%3."/>
      <w:lvlJc w:val="right"/>
      <w:pPr>
        <w:ind w:left="2690" w:hanging="180"/>
      </w:pPr>
    </w:lvl>
    <w:lvl w:ilvl="3" w:tplc="0405000F" w:tentative="1">
      <w:start w:val="1"/>
      <w:numFmt w:val="decimal"/>
      <w:lvlText w:val="%4."/>
      <w:lvlJc w:val="left"/>
      <w:pPr>
        <w:ind w:left="3410" w:hanging="360"/>
      </w:pPr>
    </w:lvl>
    <w:lvl w:ilvl="4" w:tplc="04050019" w:tentative="1">
      <w:start w:val="1"/>
      <w:numFmt w:val="lowerLetter"/>
      <w:lvlText w:val="%5."/>
      <w:lvlJc w:val="left"/>
      <w:pPr>
        <w:ind w:left="4130" w:hanging="360"/>
      </w:pPr>
    </w:lvl>
    <w:lvl w:ilvl="5" w:tplc="0405001B" w:tentative="1">
      <w:start w:val="1"/>
      <w:numFmt w:val="lowerRoman"/>
      <w:lvlText w:val="%6."/>
      <w:lvlJc w:val="right"/>
      <w:pPr>
        <w:ind w:left="4850" w:hanging="180"/>
      </w:pPr>
    </w:lvl>
    <w:lvl w:ilvl="6" w:tplc="0405000F" w:tentative="1">
      <w:start w:val="1"/>
      <w:numFmt w:val="decimal"/>
      <w:lvlText w:val="%7."/>
      <w:lvlJc w:val="left"/>
      <w:pPr>
        <w:ind w:left="5570" w:hanging="360"/>
      </w:pPr>
    </w:lvl>
    <w:lvl w:ilvl="7" w:tplc="04050019" w:tentative="1">
      <w:start w:val="1"/>
      <w:numFmt w:val="lowerLetter"/>
      <w:lvlText w:val="%8."/>
      <w:lvlJc w:val="left"/>
      <w:pPr>
        <w:ind w:left="6290" w:hanging="360"/>
      </w:pPr>
    </w:lvl>
    <w:lvl w:ilvl="8" w:tplc="0405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48" w15:restartNumberingAfterBreak="0">
    <w:nsid w:val="51091A9D"/>
    <w:multiLevelType w:val="hybridMultilevel"/>
    <w:tmpl w:val="51F6E5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9" w15:restartNumberingAfterBreak="0">
    <w:nsid w:val="512A7D3E"/>
    <w:multiLevelType w:val="hybridMultilevel"/>
    <w:tmpl w:val="2062A09E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50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1" w15:restartNumberingAfterBreak="0">
    <w:nsid w:val="54EA6F6F"/>
    <w:multiLevelType w:val="hybridMultilevel"/>
    <w:tmpl w:val="A64ADA56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5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A2E5327"/>
    <w:multiLevelType w:val="hybridMultilevel"/>
    <w:tmpl w:val="A22C0E9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5C284015"/>
    <w:multiLevelType w:val="hybridMultilevel"/>
    <w:tmpl w:val="BE045374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5" w15:restartNumberingAfterBreak="0">
    <w:nsid w:val="5DA41FE1"/>
    <w:multiLevelType w:val="hybridMultilevel"/>
    <w:tmpl w:val="6206EE74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56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331117"/>
    <w:multiLevelType w:val="hybridMultilevel"/>
    <w:tmpl w:val="8CDAF554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59" w15:restartNumberingAfterBreak="0">
    <w:nsid w:val="6C7F0DF5"/>
    <w:multiLevelType w:val="hybridMultilevel"/>
    <w:tmpl w:val="2CE49722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60" w15:restartNumberingAfterBreak="0">
    <w:nsid w:val="6C985D25"/>
    <w:multiLevelType w:val="hybridMultilevel"/>
    <w:tmpl w:val="4B649BEA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61" w15:restartNumberingAfterBreak="0">
    <w:nsid w:val="6E1B53C3"/>
    <w:multiLevelType w:val="hybridMultilevel"/>
    <w:tmpl w:val="52FE2F3A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6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6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72E10250"/>
    <w:multiLevelType w:val="hybridMultilevel"/>
    <w:tmpl w:val="4FF28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35F64A8"/>
    <w:multiLevelType w:val="hybridMultilevel"/>
    <w:tmpl w:val="9378FDC6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66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756D11"/>
    <w:multiLevelType w:val="hybridMultilevel"/>
    <w:tmpl w:val="78B2C7D0"/>
    <w:lvl w:ilvl="0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0" w:hanging="360"/>
      </w:pPr>
      <w:rPr>
        <w:rFonts w:ascii="Wingdings" w:hAnsi="Wingdings" w:hint="default"/>
      </w:rPr>
    </w:lvl>
  </w:abstractNum>
  <w:abstractNum w:abstractNumId="68" w15:restartNumberingAfterBreak="0">
    <w:nsid w:val="7E7F31E7"/>
    <w:multiLevelType w:val="hybridMultilevel"/>
    <w:tmpl w:val="7090D636"/>
    <w:lvl w:ilvl="0" w:tplc="04050017">
      <w:start w:val="1"/>
      <w:numFmt w:val="lowerLetter"/>
      <w:lvlText w:val="%1)"/>
      <w:lvlJc w:val="left"/>
      <w:pPr>
        <w:ind w:left="1250" w:hanging="360"/>
      </w:pPr>
    </w:lvl>
    <w:lvl w:ilvl="1" w:tplc="04050019" w:tentative="1">
      <w:start w:val="1"/>
      <w:numFmt w:val="lowerLetter"/>
      <w:lvlText w:val="%2."/>
      <w:lvlJc w:val="left"/>
      <w:pPr>
        <w:ind w:left="1970" w:hanging="360"/>
      </w:pPr>
    </w:lvl>
    <w:lvl w:ilvl="2" w:tplc="0405001B" w:tentative="1">
      <w:start w:val="1"/>
      <w:numFmt w:val="lowerRoman"/>
      <w:lvlText w:val="%3."/>
      <w:lvlJc w:val="right"/>
      <w:pPr>
        <w:ind w:left="2690" w:hanging="180"/>
      </w:pPr>
    </w:lvl>
    <w:lvl w:ilvl="3" w:tplc="0405000F" w:tentative="1">
      <w:start w:val="1"/>
      <w:numFmt w:val="decimal"/>
      <w:lvlText w:val="%4."/>
      <w:lvlJc w:val="left"/>
      <w:pPr>
        <w:ind w:left="3410" w:hanging="360"/>
      </w:pPr>
    </w:lvl>
    <w:lvl w:ilvl="4" w:tplc="04050019" w:tentative="1">
      <w:start w:val="1"/>
      <w:numFmt w:val="lowerLetter"/>
      <w:lvlText w:val="%5."/>
      <w:lvlJc w:val="left"/>
      <w:pPr>
        <w:ind w:left="4130" w:hanging="360"/>
      </w:pPr>
    </w:lvl>
    <w:lvl w:ilvl="5" w:tplc="0405001B" w:tentative="1">
      <w:start w:val="1"/>
      <w:numFmt w:val="lowerRoman"/>
      <w:lvlText w:val="%6."/>
      <w:lvlJc w:val="right"/>
      <w:pPr>
        <w:ind w:left="4850" w:hanging="180"/>
      </w:pPr>
    </w:lvl>
    <w:lvl w:ilvl="6" w:tplc="0405000F" w:tentative="1">
      <w:start w:val="1"/>
      <w:numFmt w:val="decimal"/>
      <w:lvlText w:val="%7."/>
      <w:lvlJc w:val="left"/>
      <w:pPr>
        <w:ind w:left="5570" w:hanging="360"/>
      </w:pPr>
    </w:lvl>
    <w:lvl w:ilvl="7" w:tplc="04050019" w:tentative="1">
      <w:start w:val="1"/>
      <w:numFmt w:val="lowerLetter"/>
      <w:lvlText w:val="%8."/>
      <w:lvlJc w:val="left"/>
      <w:pPr>
        <w:ind w:left="6290" w:hanging="360"/>
      </w:pPr>
    </w:lvl>
    <w:lvl w:ilvl="8" w:tplc="0405001B" w:tentative="1">
      <w:start w:val="1"/>
      <w:numFmt w:val="lowerRoman"/>
      <w:lvlText w:val="%9."/>
      <w:lvlJc w:val="right"/>
      <w:pPr>
        <w:ind w:left="7010" w:hanging="180"/>
      </w:pPr>
    </w:lvl>
  </w:abstractNum>
  <w:num w:numId="1" w16cid:durableId="454064376">
    <w:abstractNumId w:val="23"/>
  </w:num>
  <w:num w:numId="2" w16cid:durableId="640961298">
    <w:abstractNumId w:val="24"/>
  </w:num>
  <w:num w:numId="3" w16cid:durableId="1279601709">
    <w:abstractNumId w:val="28"/>
  </w:num>
  <w:num w:numId="4" w16cid:durableId="686255150">
    <w:abstractNumId w:val="57"/>
  </w:num>
  <w:num w:numId="5" w16cid:durableId="841167005">
    <w:abstractNumId w:val="13"/>
  </w:num>
  <w:num w:numId="6" w16cid:durableId="35279009">
    <w:abstractNumId w:val="45"/>
  </w:num>
  <w:num w:numId="7" w16cid:durableId="1530413903">
    <w:abstractNumId w:val="15"/>
  </w:num>
  <w:num w:numId="8" w16cid:durableId="1627420638">
    <w:abstractNumId w:val="16"/>
  </w:num>
  <w:num w:numId="9" w16cid:durableId="479078974">
    <w:abstractNumId w:val="33"/>
  </w:num>
  <w:num w:numId="10" w16cid:durableId="1504780206">
    <w:abstractNumId w:val="9"/>
  </w:num>
  <w:num w:numId="11" w16cid:durableId="92946159">
    <w:abstractNumId w:val="62"/>
  </w:num>
  <w:num w:numId="12" w16cid:durableId="1852792604">
    <w:abstractNumId w:val="38"/>
  </w:num>
  <w:num w:numId="13" w16cid:durableId="371223472">
    <w:abstractNumId w:val="15"/>
    <w:lvlOverride w:ilvl="0">
      <w:startOverride w:val="1"/>
    </w:lvlOverride>
  </w:num>
  <w:num w:numId="14" w16cid:durableId="926814389">
    <w:abstractNumId w:val="46"/>
  </w:num>
  <w:num w:numId="15" w16cid:durableId="492795176">
    <w:abstractNumId w:val="4"/>
  </w:num>
  <w:num w:numId="16" w16cid:durableId="887111744">
    <w:abstractNumId w:val="26"/>
  </w:num>
  <w:num w:numId="17" w16cid:durableId="826358530">
    <w:abstractNumId w:val="25"/>
  </w:num>
  <w:num w:numId="18" w16cid:durableId="502551838">
    <w:abstractNumId w:val="63"/>
  </w:num>
  <w:num w:numId="19" w16cid:durableId="559948092">
    <w:abstractNumId w:val="14"/>
  </w:num>
  <w:num w:numId="20" w16cid:durableId="1320698203">
    <w:abstractNumId w:val="56"/>
  </w:num>
  <w:num w:numId="21" w16cid:durableId="370154102">
    <w:abstractNumId w:val="52"/>
  </w:num>
  <w:num w:numId="22" w16cid:durableId="1324118681">
    <w:abstractNumId w:val="11"/>
  </w:num>
  <w:num w:numId="23" w16cid:durableId="1607469788">
    <w:abstractNumId w:val="37"/>
  </w:num>
  <w:num w:numId="24" w16cid:durableId="1977222519">
    <w:abstractNumId w:val="44"/>
  </w:num>
  <w:num w:numId="25" w16cid:durableId="1707218664">
    <w:abstractNumId w:val="0"/>
  </w:num>
  <w:num w:numId="26" w16cid:durableId="593439054">
    <w:abstractNumId w:val="27"/>
  </w:num>
  <w:num w:numId="27" w16cid:durableId="1786535127">
    <w:abstractNumId w:val="43"/>
  </w:num>
  <w:num w:numId="28" w16cid:durableId="1372533166">
    <w:abstractNumId w:val="50"/>
  </w:num>
  <w:num w:numId="29" w16cid:durableId="1816681333">
    <w:abstractNumId w:val="17"/>
  </w:num>
  <w:num w:numId="30" w16cid:durableId="2133597943">
    <w:abstractNumId w:val="32"/>
  </w:num>
  <w:num w:numId="31" w16cid:durableId="300766991">
    <w:abstractNumId w:val="35"/>
  </w:num>
  <w:num w:numId="32" w16cid:durableId="529031079">
    <w:abstractNumId w:val="1"/>
  </w:num>
  <w:num w:numId="33" w16cid:durableId="771976184">
    <w:abstractNumId w:val="66"/>
  </w:num>
  <w:num w:numId="34" w16cid:durableId="269700747">
    <w:abstractNumId w:val="36"/>
  </w:num>
  <w:num w:numId="35" w16cid:durableId="820001769">
    <w:abstractNumId w:val="5"/>
  </w:num>
  <w:num w:numId="36" w16cid:durableId="617299127">
    <w:abstractNumId w:val="29"/>
  </w:num>
  <w:num w:numId="37" w16cid:durableId="1973631954">
    <w:abstractNumId w:val="34"/>
  </w:num>
  <w:num w:numId="38" w16cid:durableId="120732474">
    <w:abstractNumId w:val="39"/>
  </w:num>
  <w:num w:numId="39" w16cid:durableId="406539980">
    <w:abstractNumId w:val="22"/>
  </w:num>
  <w:num w:numId="40" w16cid:durableId="1003821186">
    <w:abstractNumId w:val="64"/>
  </w:num>
  <w:num w:numId="41" w16cid:durableId="483594943">
    <w:abstractNumId w:val="20"/>
  </w:num>
  <w:num w:numId="42" w16cid:durableId="857424845">
    <w:abstractNumId w:val="12"/>
  </w:num>
  <w:num w:numId="43" w16cid:durableId="1139149895">
    <w:abstractNumId w:val="3"/>
  </w:num>
  <w:num w:numId="44" w16cid:durableId="1080910754">
    <w:abstractNumId w:val="58"/>
  </w:num>
  <w:num w:numId="45" w16cid:durableId="674920202">
    <w:abstractNumId w:val="49"/>
  </w:num>
  <w:num w:numId="46" w16cid:durableId="736248913">
    <w:abstractNumId w:val="68"/>
  </w:num>
  <w:num w:numId="47" w16cid:durableId="1113356381">
    <w:abstractNumId w:val="8"/>
  </w:num>
  <w:num w:numId="48" w16cid:durableId="2066251092">
    <w:abstractNumId w:val="31"/>
  </w:num>
  <w:num w:numId="49" w16cid:durableId="1924293840">
    <w:abstractNumId w:val="59"/>
  </w:num>
  <w:num w:numId="50" w16cid:durableId="1736782975">
    <w:abstractNumId w:val="6"/>
  </w:num>
  <w:num w:numId="51" w16cid:durableId="1829399605">
    <w:abstractNumId w:val="61"/>
  </w:num>
  <w:num w:numId="52" w16cid:durableId="43524886">
    <w:abstractNumId w:val="67"/>
  </w:num>
  <w:num w:numId="53" w16cid:durableId="1355615035">
    <w:abstractNumId w:val="10"/>
  </w:num>
  <w:num w:numId="54" w16cid:durableId="2013750780">
    <w:abstractNumId w:val="55"/>
  </w:num>
  <w:num w:numId="55" w16cid:durableId="896941758">
    <w:abstractNumId w:val="65"/>
  </w:num>
  <w:num w:numId="56" w16cid:durableId="925190994">
    <w:abstractNumId w:val="53"/>
  </w:num>
  <w:num w:numId="57" w16cid:durableId="376317780">
    <w:abstractNumId w:val="21"/>
  </w:num>
  <w:num w:numId="58" w16cid:durableId="1974478994">
    <w:abstractNumId w:val="19"/>
  </w:num>
  <w:num w:numId="59" w16cid:durableId="822282203">
    <w:abstractNumId w:val="48"/>
  </w:num>
  <w:num w:numId="60" w16cid:durableId="785736836">
    <w:abstractNumId w:val="60"/>
  </w:num>
  <w:num w:numId="61" w16cid:durableId="453528147">
    <w:abstractNumId w:val="51"/>
  </w:num>
  <w:num w:numId="62" w16cid:durableId="1883394248">
    <w:abstractNumId w:val="2"/>
  </w:num>
  <w:num w:numId="63" w16cid:durableId="797070316">
    <w:abstractNumId w:val="30"/>
  </w:num>
  <w:num w:numId="64" w16cid:durableId="197740714">
    <w:abstractNumId w:val="41"/>
  </w:num>
  <w:num w:numId="65" w16cid:durableId="479737257">
    <w:abstractNumId w:val="54"/>
  </w:num>
  <w:num w:numId="66" w16cid:durableId="1485009321">
    <w:abstractNumId w:val="47"/>
  </w:num>
  <w:num w:numId="67" w16cid:durableId="348873170">
    <w:abstractNumId w:val="40"/>
  </w:num>
  <w:num w:numId="68" w16cid:durableId="1149982008">
    <w:abstractNumId w:val="18"/>
  </w:num>
  <w:num w:numId="69" w16cid:durableId="1082335588">
    <w:abstractNumId w:val="42"/>
  </w:num>
  <w:num w:numId="70" w16cid:durableId="940845332">
    <w:abstractNumId w:val="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4A62"/>
    <w:rsid w:val="0000606F"/>
    <w:rsid w:val="0000724B"/>
    <w:rsid w:val="00012F9A"/>
    <w:rsid w:val="00013B42"/>
    <w:rsid w:val="00014F63"/>
    <w:rsid w:val="00015987"/>
    <w:rsid w:val="000165A5"/>
    <w:rsid w:val="0002225F"/>
    <w:rsid w:val="000233A8"/>
    <w:rsid w:val="0002373D"/>
    <w:rsid w:val="00034331"/>
    <w:rsid w:val="00036BB2"/>
    <w:rsid w:val="00044E67"/>
    <w:rsid w:val="000465C4"/>
    <w:rsid w:val="0004781D"/>
    <w:rsid w:val="00050BCA"/>
    <w:rsid w:val="00056CE8"/>
    <w:rsid w:val="00056DFE"/>
    <w:rsid w:val="00057399"/>
    <w:rsid w:val="000576DC"/>
    <w:rsid w:val="00057C7F"/>
    <w:rsid w:val="00063DA5"/>
    <w:rsid w:val="000666DA"/>
    <w:rsid w:val="0007022E"/>
    <w:rsid w:val="00070FE9"/>
    <w:rsid w:val="00082647"/>
    <w:rsid w:val="00087F8C"/>
    <w:rsid w:val="00092820"/>
    <w:rsid w:val="00093BFD"/>
    <w:rsid w:val="00096BE3"/>
    <w:rsid w:val="000A1130"/>
    <w:rsid w:val="000A2DD6"/>
    <w:rsid w:val="000A5632"/>
    <w:rsid w:val="000A5EBC"/>
    <w:rsid w:val="000B292A"/>
    <w:rsid w:val="000B4E07"/>
    <w:rsid w:val="000C06BC"/>
    <w:rsid w:val="000C0E9A"/>
    <w:rsid w:val="000C2384"/>
    <w:rsid w:val="000C4712"/>
    <w:rsid w:val="000C4E0B"/>
    <w:rsid w:val="000C6615"/>
    <w:rsid w:val="000C6DE6"/>
    <w:rsid w:val="000D1C93"/>
    <w:rsid w:val="000D1CE5"/>
    <w:rsid w:val="000D3C3C"/>
    <w:rsid w:val="000E4976"/>
    <w:rsid w:val="000E4A24"/>
    <w:rsid w:val="000E4DEC"/>
    <w:rsid w:val="000E50D4"/>
    <w:rsid w:val="000F2821"/>
    <w:rsid w:val="000F5EA5"/>
    <w:rsid w:val="000F75B7"/>
    <w:rsid w:val="0010096D"/>
    <w:rsid w:val="00100C5A"/>
    <w:rsid w:val="00102769"/>
    <w:rsid w:val="0010460C"/>
    <w:rsid w:val="00107F75"/>
    <w:rsid w:val="0011064C"/>
    <w:rsid w:val="0011494F"/>
    <w:rsid w:val="0012137E"/>
    <w:rsid w:val="0012183B"/>
    <w:rsid w:val="00121B54"/>
    <w:rsid w:val="001227AA"/>
    <w:rsid w:val="00122FC4"/>
    <w:rsid w:val="00122FE5"/>
    <w:rsid w:val="0012303C"/>
    <w:rsid w:val="00126E55"/>
    <w:rsid w:val="00140EB0"/>
    <w:rsid w:val="00141C5B"/>
    <w:rsid w:val="001442A6"/>
    <w:rsid w:val="00145671"/>
    <w:rsid w:val="00146689"/>
    <w:rsid w:val="00150333"/>
    <w:rsid w:val="00151D2B"/>
    <w:rsid w:val="00155945"/>
    <w:rsid w:val="00155A3F"/>
    <w:rsid w:val="001563DA"/>
    <w:rsid w:val="00156C34"/>
    <w:rsid w:val="00160A30"/>
    <w:rsid w:val="001627C0"/>
    <w:rsid w:val="001628A9"/>
    <w:rsid w:val="00163139"/>
    <w:rsid w:val="00167D98"/>
    <w:rsid w:val="001707EC"/>
    <w:rsid w:val="00171A86"/>
    <w:rsid w:val="00171CE5"/>
    <w:rsid w:val="00171E66"/>
    <w:rsid w:val="00174CA1"/>
    <w:rsid w:val="00176D90"/>
    <w:rsid w:val="00182442"/>
    <w:rsid w:val="00184DE7"/>
    <w:rsid w:val="0019100D"/>
    <w:rsid w:val="00191818"/>
    <w:rsid w:val="001947CD"/>
    <w:rsid w:val="0019763A"/>
    <w:rsid w:val="001977A2"/>
    <w:rsid w:val="001A3C2B"/>
    <w:rsid w:val="001B7798"/>
    <w:rsid w:val="001C05C6"/>
    <w:rsid w:val="001C14B7"/>
    <w:rsid w:val="001C1713"/>
    <w:rsid w:val="001C37DF"/>
    <w:rsid w:val="001C3FD2"/>
    <w:rsid w:val="001C5BDB"/>
    <w:rsid w:val="001C7076"/>
    <w:rsid w:val="001D5B33"/>
    <w:rsid w:val="001D697A"/>
    <w:rsid w:val="001D777D"/>
    <w:rsid w:val="001E0FF2"/>
    <w:rsid w:val="001E18AA"/>
    <w:rsid w:val="001E217E"/>
    <w:rsid w:val="001E438D"/>
    <w:rsid w:val="001E4F76"/>
    <w:rsid w:val="001E7F30"/>
    <w:rsid w:val="001F6DD8"/>
    <w:rsid w:val="0020124F"/>
    <w:rsid w:val="00202DF2"/>
    <w:rsid w:val="00204362"/>
    <w:rsid w:val="00204CCF"/>
    <w:rsid w:val="00204D6A"/>
    <w:rsid w:val="00204D9A"/>
    <w:rsid w:val="00204E05"/>
    <w:rsid w:val="00207276"/>
    <w:rsid w:val="00212792"/>
    <w:rsid w:val="00213558"/>
    <w:rsid w:val="0021750B"/>
    <w:rsid w:val="00221B02"/>
    <w:rsid w:val="002246A1"/>
    <w:rsid w:val="002265AB"/>
    <w:rsid w:val="00227B40"/>
    <w:rsid w:val="00230395"/>
    <w:rsid w:val="00231F50"/>
    <w:rsid w:val="002433C1"/>
    <w:rsid w:val="00244F4B"/>
    <w:rsid w:val="0025243F"/>
    <w:rsid w:val="00255525"/>
    <w:rsid w:val="00262EFF"/>
    <w:rsid w:val="00266D06"/>
    <w:rsid w:val="002748BB"/>
    <w:rsid w:val="00274C37"/>
    <w:rsid w:val="00276F9F"/>
    <w:rsid w:val="00282675"/>
    <w:rsid w:val="0028633C"/>
    <w:rsid w:val="00286C01"/>
    <w:rsid w:val="00291A5A"/>
    <w:rsid w:val="00294378"/>
    <w:rsid w:val="002978F6"/>
    <w:rsid w:val="00297F42"/>
    <w:rsid w:val="002A4A41"/>
    <w:rsid w:val="002A7299"/>
    <w:rsid w:val="002B1426"/>
    <w:rsid w:val="002B1B64"/>
    <w:rsid w:val="002B1DBD"/>
    <w:rsid w:val="002B2B54"/>
    <w:rsid w:val="002B3C33"/>
    <w:rsid w:val="002B5396"/>
    <w:rsid w:val="002B5F89"/>
    <w:rsid w:val="002B6138"/>
    <w:rsid w:val="002C04B8"/>
    <w:rsid w:val="002C08F1"/>
    <w:rsid w:val="002C177C"/>
    <w:rsid w:val="002C2F99"/>
    <w:rsid w:val="002C318D"/>
    <w:rsid w:val="002C384D"/>
    <w:rsid w:val="002C49BA"/>
    <w:rsid w:val="002C72D8"/>
    <w:rsid w:val="002D69E2"/>
    <w:rsid w:val="002F3799"/>
    <w:rsid w:val="002F482B"/>
    <w:rsid w:val="003013F4"/>
    <w:rsid w:val="00301E88"/>
    <w:rsid w:val="00302BCB"/>
    <w:rsid w:val="00304473"/>
    <w:rsid w:val="003068DD"/>
    <w:rsid w:val="00315254"/>
    <w:rsid w:val="00315BE4"/>
    <w:rsid w:val="00316FC6"/>
    <w:rsid w:val="00317C76"/>
    <w:rsid w:val="00320082"/>
    <w:rsid w:val="00320BC9"/>
    <w:rsid w:val="003229C3"/>
    <w:rsid w:val="00324CD8"/>
    <w:rsid w:val="00331484"/>
    <w:rsid w:val="003316B3"/>
    <w:rsid w:val="003317AB"/>
    <w:rsid w:val="003330FB"/>
    <w:rsid w:val="00336596"/>
    <w:rsid w:val="0033728D"/>
    <w:rsid w:val="00340409"/>
    <w:rsid w:val="0034252A"/>
    <w:rsid w:val="00346985"/>
    <w:rsid w:val="00346D17"/>
    <w:rsid w:val="00361F62"/>
    <w:rsid w:val="003667B4"/>
    <w:rsid w:val="00371437"/>
    <w:rsid w:val="003717F1"/>
    <w:rsid w:val="00371B41"/>
    <w:rsid w:val="00373858"/>
    <w:rsid w:val="00374679"/>
    <w:rsid w:val="00376021"/>
    <w:rsid w:val="00376EF9"/>
    <w:rsid w:val="003802DE"/>
    <w:rsid w:val="00390F1A"/>
    <w:rsid w:val="00393DAC"/>
    <w:rsid w:val="0039630F"/>
    <w:rsid w:val="0039791E"/>
    <w:rsid w:val="00397DB6"/>
    <w:rsid w:val="003A1AEC"/>
    <w:rsid w:val="003A2AC9"/>
    <w:rsid w:val="003A442E"/>
    <w:rsid w:val="003A775F"/>
    <w:rsid w:val="003A7A28"/>
    <w:rsid w:val="003B2373"/>
    <w:rsid w:val="003B44B4"/>
    <w:rsid w:val="003B5EDD"/>
    <w:rsid w:val="003C07A1"/>
    <w:rsid w:val="003C089B"/>
    <w:rsid w:val="003C17FC"/>
    <w:rsid w:val="003C23F9"/>
    <w:rsid w:val="003C28D6"/>
    <w:rsid w:val="003C5CC8"/>
    <w:rsid w:val="003D0206"/>
    <w:rsid w:val="003D249D"/>
    <w:rsid w:val="003D290D"/>
    <w:rsid w:val="003D65F0"/>
    <w:rsid w:val="003E338F"/>
    <w:rsid w:val="003E3EA1"/>
    <w:rsid w:val="003E6C23"/>
    <w:rsid w:val="003F1B34"/>
    <w:rsid w:val="003F275D"/>
    <w:rsid w:val="003F5585"/>
    <w:rsid w:val="00401ACF"/>
    <w:rsid w:val="00402322"/>
    <w:rsid w:val="0040551A"/>
    <w:rsid w:val="004101E3"/>
    <w:rsid w:val="00411064"/>
    <w:rsid w:val="0041116D"/>
    <w:rsid w:val="00411177"/>
    <w:rsid w:val="004119C8"/>
    <w:rsid w:val="0041482B"/>
    <w:rsid w:val="004179FD"/>
    <w:rsid w:val="004207DC"/>
    <w:rsid w:val="00424C7B"/>
    <w:rsid w:val="00424F62"/>
    <w:rsid w:val="004252A4"/>
    <w:rsid w:val="00430439"/>
    <w:rsid w:val="00441B57"/>
    <w:rsid w:val="00442137"/>
    <w:rsid w:val="00443085"/>
    <w:rsid w:val="00445051"/>
    <w:rsid w:val="00446B5A"/>
    <w:rsid w:val="00451C39"/>
    <w:rsid w:val="004544C8"/>
    <w:rsid w:val="00454B03"/>
    <w:rsid w:val="00457FE6"/>
    <w:rsid w:val="00460115"/>
    <w:rsid w:val="0046046A"/>
    <w:rsid w:val="00462C80"/>
    <w:rsid w:val="00463C59"/>
    <w:rsid w:val="004709CF"/>
    <w:rsid w:val="00474F72"/>
    <w:rsid w:val="0047563C"/>
    <w:rsid w:val="004771DA"/>
    <w:rsid w:val="004773E4"/>
    <w:rsid w:val="004778A4"/>
    <w:rsid w:val="0048071C"/>
    <w:rsid w:val="00482EA1"/>
    <w:rsid w:val="00482F73"/>
    <w:rsid w:val="004849AE"/>
    <w:rsid w:val="00484F63"/>
    <w:rsid w:val="00486452"/>
    <w:rsid w:val="00486EA8"/>
    <w:rsid w:val="00486EE4"/>
    <w:rsid w:val="004870EE"/>
    <w:rsid w:val="00487B28"/>
    <w:rsid w:val="00490D26"/>
    <w:rsid w:val="00496FD2"/>
    <w:rsid w:val="004A09F8"/>
    <w:rsid w:val="004A1556"/>
    <w:rsid w:val="004A1FA1"/>
    <w:rsid w:val="004A323F"/>
    <w:rsid w:val="004A4B69"/>
    <w:rsid w:val="004B1AC3"/>
    <w:rsid w:val="004B2B9E"/>
    <w:rsid w:val="004B4B66"/>
    <w:rsid w:val="004B4F6A"/>
    <w:rsid w:val="004C1F8F"/>
    <w:rsid w:val="004C7A61"/>
    <w:rsid w:val="004D3056"/>
    <w:rsid w:val="004D33CE"/>
    <w:rsid w:val="004D3843"/>
    <w:rsid w:val="004D3AE7"/>
    <w:rsid w:val="004D40F7"/>
    <w:rsid w:val="004D7DDA"/>
    <w:rsid w:val="004E1AC6"/>
    <w:rsid w:val="004E1B06"/>
    <w:rsid w:val="004F104D"/>
    <w:rsid w:val="00501F82"/>
    <w:rsid w:val="005045FF"/>
    <w:rsid w:val="005050CA"/>
    <w:rsid w:val="005054D9"/>
    <w:rsid w:val="00517246"/>
    <w:rsid w:val="005211DB"/>
    <w:rsid w:val="005237B0"/>
    <w:rsid w:val="00526EDC"/>
    <w:rsid w:val="00527C8C"/>
    <w:rsid w:val="00547E98"/>
    <w:rsid w:val="00552505"/>
    <w:rsid w:val="00552FF2"/>
    <w:rsid w:val="00556F14"/>
    <w:rsid w:val="005575A4"/>
    <w:rsid w:val="0056072C"/>
    <w:rsid w:val="005608C1"/>
    <w:rsid w:val="00560BF5"/>
    <w:rsid w:val="005619CD"/>
    <w:rsid w:val="005620BD"/>
    <w:rsid w:val="00564B5C"/>
    <w:rsid w:val="00566776"/>
    <w:rsid w:val="0057039D"/>
    <w:rsid w:val="00570E1B"/>
    <w:rsid w:val="00572FE5"/>
    <w:rsid w:val="0057432E"/>
    <w:rsid w:val="00575A2F"/>
    <w:rsid w:val="00580890"/>
    <w:rsid w:val="00583AA6"/>
    <w:rsid w:val="00583CDA"/>
    <w:rsid w:val="00585341"/>
    <w:rsid w:val="00585E41"/>
    <w:rsid w:val="00587FFC"/>
    <w:rsid w:val="00591C28"/>
    <w:rsid w:val="00596086"/>
    <w:rsid w:val="00596517"/>
    <w:rsid w:val="005A073D"/>
    <w:rsid w:val="005A2BE8"/>
    <w:rsid w:val="005A4436"/>
    <w:rsid w:val="005A4D94"/>
    <w:rsid w:val="005A5B60"/>
    <w:rsid w:val="005C0016"/>
    <w:rsid w:val="005C040E"/>
    <w:rsid w:val="005C26C4"/>
    <w:rsid w:val="005C3D0D"/>
    <w:rsid w:val="005C3E75"/>
    <w:rsid w:val="005C533A"/>
    <w:rsid w:val="005D0E3E"/>
    <w:rsid w:val="005D5098"/>
    <w:rsid w:val="005E1E94"/>
    <w:rsid w:val="005E5868"/>
    <w:rsid w:val="005E670E"/>
    <w:rsid w:val="005E698F"/>
    <w:rsid w:val="005E7ED6"/>
    <w:rsid w:val="005E7F63"/>
    <w:rsid w:val="005F42FA"/>
    <w:rsid w:val="005F7B04"/>
    <w:rsid w:val="0060205B"/>
    <w:rsid w:val="00604375"/>
    <w:rsid w:val="006045C4"/>
    <w:rsid w:val="0060538C"/>
    <w:rsid w:val="00606B13"/>
    <w:rsid w:val="00606CB4"/>
    <w:rsid w:val="00611E12"/>
    <w:rsid w:val="00617BA5"/>
    <w:rsid w:val="006221F8"/>
    <w:rsid w:val="00622307"/>
    <w:rsid w:val="00622A75"/>
    <w:rsid w:val="0062354C"/>
    <w:rsid w:val="0063127B"/>
    <w:rsid w:val="00631C38"/>
    <w:rsid w:val="00632B48"/>
    <w:rsid w:val="00632BE7"/>
    <w:rsid w:val="00634188"/>
    <w:rsid w:val="00634381"/>
    <w:rsid w:val="006373FE"/>
    <w:rsid w:val="00641131"/>
    <w:rsid w:val="0064281D"/>
    <w:rsid w:val="00643A1F"/>
    <w:rsid w:val="0064640D"/>
    <w:rsid w:val="006477F0"/>
    <w:rsid w:val="00652833"/>
    <w:rsid w:val="006532D6"/>
    <w:rsid w:val="006571ED"/>
    <w:rsid w:val="006626CA"/>
    <w:rsid w:val="006642B5"/>
    <w:rsid w:val="006644DC"/>
    <w:rsid w:val="00666E2E"/>
    <w:rsid w:val="006762E0"/>
    <w:rsid w:val="0067736D"/>
    <w:rsid w:val="006803CD"/>
    <w:rsid w:val="00690293"/>
    <w:rsid w:val="006904A9"/>
    <w:rsid w:val="0069066C"/>
    <w:rsid w:val="00690EB8"/>
    <w:rsid w:val="006941CA"/>
    <w:rsid w:val="00695FA0"/>
    <w:rsid w:val="0069719B"/>
    <w:rsid w:val="006A1F4C"/>
    <w:rsid w:val="006A209D"/>
    <w:rsid w:val="006A4A02"/>
    <w:rsid w:val="006B450F"/>
    <w:rsid w:val="006C61AE"/>
    <w:rsid w:val="006C697D"/>
    <w:rsid w:val="006D2182"/>
    <w:rsid w:val="006D69C4"/>
    <w:rsid w:val="006E09DB"/>
    <w:rsid w:val="006E24ED"/>
    <w:rsid w:val="006E5C82"/>
    <w:rsid w:val="006E72F1"/>
    <w:rsid w:val="006E760D"/>
    <w:rsid w:val="006E7E1E"/>
    <w:rsid w:val="006F0309"/>
    <w:rsid w:val="006F0EA8"/>
    <w:rsid w:val="006F4963"/>
    <w:rsid w:val="006F5BAF"/>
    <w:rsid w:val="006F6BC2"/>
    <w:rsid w:val="006F7216"/>
    <w:rsid w:val="00702E52"/>
    <w:rsid w:val="00705348"/>
    <w:rsid w:val="00705451"/>
    <w:rsid w:val="00705C37"/>
    <w:rsid w:val="00710F2F"/>
    <w:rsid w:val="007144B8"/>
    <w:rsid w:val="00714EBA"/>
    <w:rsid w:val="007158ED"/>
    <w:rsid w:val="00716DE1"/>
    <w:rsid w:val="00717D9F"/>
    <w:rsid w:val="00721F65"/>
    <w:rsid w:val="00722201"/>
    <w:rsid w:val="00722DC9"/>
    <w:rsid w:val="00723481"/>
    <w:rsid w:val="0072454B"/>
    <w:rsid w:val="00724B5B"/>
    <w:rsid w:val="007311E6"/>
    <w:rsid w:val="0073208B"/>
    <w:rsid w:val="00733BEF"/>
    <w:rsid w:val="00736029"/>
    <w:rsid w:val="0074098A"/>
    <w:rsid w:val="00746CEB"/>
    <w:rsid w:val="00750659"/>
    <w:rsid w:val="007515DB"/>
    <w:rsid w:val="00760009"/>
    <w:rsid w:val="007630DA"/>
    <w:rsid w:val="0076431E"/>
    <w:rsid w:val="00767A75"/>
    <w:rsid w:val="0077175C"/>
    <w:rsid w:val="007745A6"/>
    <w:rsid w:val="0077797D"/>
    <w:rsid w:val="007818E8"/>
    <w:rsid w:val="007852CE"/>
    <w:rsid w:val="00785FD1"/>
    <w:rsid w:val="0078659D"/>
    <w:rsid w:val="007938F3"/>
    <w:rsid w:val="007A3276"/>
    <w:rsid w:val="007A5167"/>
    <w:rsid w:val="007A77B8"/>
    <w:rsid w:val="007B0DB9"/>
    <w:rsid w:val="007C0AB0"/>
    <w:rsid w:val="007C0ABF"/>
    <w:rsid w:val="007C4086"/>
    <w:rsid w:val="007C4B25"/>
    <w:rsid w:val="007C7381"/>
    <w:rsid w:val="007C7EC6"/>
    <w:rsid w:val="007D5110"/>
    <w:rsid w:val="007D5F73"/>
    <w:rsid w:val="007D6374"/>
    <w:rsid w:val="007E0186"/>
    <w:rsid w:val="007E0B08"/>
    <w:rsid w:val="007E1E10"/>
    <w:rsid w:val="007E2D04"/>
    <w:rsid w:val="007E55BB"/>
    <w:rsid w:val="007F01EA"/>
    <w:rsid w:val="007F0494"/>
    <w:rsid w:val="007F2675"/>
    <w:rsid w:val="007F3E08"/>
    <w:rsid w:val="0080289A"/>
    <w:rsid w:val="00802F95"/>
    <w:rsid w:val="0080523B"/>
    <w:rsid w:val="00811160"/>
    <w:rsid w:val="008143A4"/>
    <w:rsid w:val="0081494B"/>
    <w:rsid w:val="00815914"/>
    <w:rsid w:val="00820E4A"/>
    <w:rsid w:val="00822000"/>
    <w:rsid w:val="00824E66"/>
    <w:rsid w:val="008339F3"/>
    <w:rsid w:val="00833BB4"/>
    <w:rsid w:val="00834585"/>
    <w:rsid w:val="0083531C"/>
    <w:rsid w:val="0084207C"/>
    <w:rsid w:val="00844351"/>
    <w:rsid w:val="00844B92"/>
    <w:rsid w:val="00844F3C"/>
    <w:rsid w:val="0084772A"/>
    <w:rsid w:val="008479AA"/>
    <w:rsid w:val="00852EC4"/>
    <w:rsid w:val="008536A0"/>
    <w:rsid w:val="00855284"/>
    <w:rsid w:val="00856D0C"/>
    <w:rsid w:val="0086003D"/>
    <w:rsid w:val="008619E4"/>
    <w:rsid w:val="00863444"/>
    <w:rsid w:val="00864FF2"/>
    <w:rsid w:val="008725A7"/>
    <w:rsid w:val="00874C5E"/>
    <w:rsid w:val="00874F83"/>
    <w:rsid w:val="008757C6"/>
    <w:rsid w:val="00875DE4"/>
    <w:rsid w:val="00876E20"/>
    <w:rsid w:val="0088141F"/>
    <w:rsid w:val="00883867"/>
    <w:rsid w:val="00884724"/>
    <w:rsid w:val="00886357"/>
    <w:rsid w:val="00887693"/>
    <w:rsid w:val="00891FE3"/>
    <w:rsid w:val="00893FEE"/>
    <w:rsid w:val="00895CD7"/>
    <w:rsid w:val="008A0BDD"/>
    <w:rsid w:val="008A2193"/>
    <w:rsid w:val="008A54BE"/>
    <w:rsid w:val="008A5F96"/>
    <w:rsid w:val="008A6A9C"/>
    <w:rsid w:val="008B10C8"/>
    <w:rsid w:val="008B278F"/>
    <w:rsid w:val="008C28F3"/>
    <w:rsid w:val="008C3026"/>
    <w:rsid w:val="008C7931"/>
    <w:rsid w:val="008C7F76"/>
    <w:rsid w:val="008D0589"/>
    <w:rsid w:val="008D1116"/>
    <w:rsid w:val="008D343E"/>
    <w:rsid w:val="008D3E30"/>
    <w:rsid w:val="008D48F3"/>
    <w:rsid w:val="008D6214"/>
    <w:rsid w:val="008D77CF"/>
    <w:rsid w:val="008E0493"/>
    <w:rsid w:val="008E260A"/>
    <w:rsid w:val="008E5D22"/>
    <w:rsid w:val="008E666B"/>
    <w:rsid w:val="008E6728"/>
    <w:rsid w:val="008F041B"/>
    <w:rsid w:val="008F26F4"/>
    <w:rsid w:val="008F2960"/>
    <w:rsid w:val="008F3854"/>
    <w:rsid w:val="008F3BC8"/>
    <w:rsid w:val="00900F86"/>
    <w:rsid w:val="00902367"/>
    <w:rsid w:val="00902B04"/>
    <w:rsid w:val="00903781"/>
    <w:rsid w:val="009160DF"/>
    <w:rsid w:val="009163E0"/>
    <w:rsid w:val="0093115C"/>
    <w:rsid w:val="00932786"/>
    <w:rsid w:val="00932BDA"/>
    <w:rsid w:val="009343D5"/>
    <w:rsid w:val="00934A6E"/>
    <w:rsid w:val="009371C0"/>
    <w:rsid w:val="00937D06"/>
    <w:rsid w:val="00943FAB"/>
    <w:rsid w:val="0094544E"/>
    <w:rsid w:val="009522A6"/>
    <w:rsid w:val="00952FC0"/>
    <w:rsid w:val="00954AA2"/>
    <w:rsid w:val="0095664F"/>
    <w:rsid w:val="00957C4A"/>
    <w:rsid w:val="00961DC3"/>
    <w:rsid w:val="009640E8"/>
    <w:rsid w:val="00980BC3"/>
    <w:rsid w:val="00991CCA"/>
    <w:rsid w:val="009931A3"/>
    <w:rsid w:val="009954D4"/>
    <w:rsid w:val="0099609B"/>
    <w:rsid w:val="00996AA7"/>
    <w:rsid w:val="009A08B2"/>
    <w:rsid w:val="009A4BAD"/>
    <w:rsid w:val="009A4CBD"/>
    <w:rsid w:val="009A5E59"/>
    <w:rsid w:val="009A761A"/>
    <w:rsid w:val="009A7C42"/>
    <w:rsid w:val="009B083D"/>
    <w:rsid w:val="009B0E06"/>
    <w:rsid w:val="009B3D56"/>
    <w:rsid w:val="009C0AA8"/>
    <w:rsid w:val="009C230E"/>
    <w:rsid w:val="009C51B5"/>
    <w:rsid w:val="009C6C42"/>
    <w:rsid w:val="009D5AE9"/>
    <w:rsid w:val="009D5E0D"/>
    <w:rsid w:val="009D6486"/>
    <w:rsid w:val="009E0B15"/>
    <w:rsid w:val="009E41E7"/>
    <w:rsid w:val="009E4F56"/>
    <w:rsid w:val="009E4F57"/>
    <w:rsid w:val="009F7A20"/>
    <w:rsid w:val="00A014EC"/>
    <w:rsid w:val="00A03C3E"/>
    <w:rsid w:val="00A05259"/>
    <w:rsid w:val="00A06609"/>
    <w:rsid w:val="00A06D8D"/>
    <w:rsid w:val="00A102BD"/>
    <w:rsid w:val="00A10C14"/>
    <w:rsid w:val="00A12931"/>
    <w:rsid w:val="00A15E49"/>
    <w:rsid w:val="00A16700"/>
    <w:rsid w:val="00A246DD"/>
    <w:rsid w:val="00A24831"/>
    <w:rsid w:val="00A30866"/>
    <w:rsid w:val="00A334D6"/>
    <w:rsid w:val="00A41CDE"/>
    <w:rsid w:val="00A43459"/>
    <w:rsid w:val="00A4452F"/>
    <w:rsid w:val="00A44845"/>
    <w:rsid w:val="00A44CE4"/>
    <w:rsid w:val="00A45C76"/>
    <w:rsid w:val="00A57400"/>
    <w:rsid w:val="00A63715"/>
    <w:rsid w:val="00A646A0"/>
    <w:rsid w:val="00A64E8A"/>
    <w:rsid w:val="00A65815"/>
    <w:rsid w:val="00A66A09"/>
    <w:rsid w:val="00A67C37"/>
    <w:rsid w:val="00A67D7B"/>
    <w:rsid w:val="00A709ED"/>
    <w:rsid w:val="00A77548"/>
    <w:rsid w:val="00A77F0C"/>
    <w:rsid w:val="00A810F1"/>
    <w:rsid w:val="00A8375B"/>
    <w:rsid w:val="00A83A55"/>
    <w:rsid w:val="00A86613"/>
    <w:rsid w:val="00A87D82"/>
    <w:rsid w:val="00A91A6E"/>
    <w:rsid w:val="00A923B4"/>
    <w:rsid w:val="00A930DE"/>
    <w:rsid w:val="00A93401"/>
    <w:rsid w:val="00A97CEC"/>
    <w:rsid w:val="00AA148C"/>
    <w:rsid w:val="00AA19AC"/>
    <w:rsid w:val="00AA33C4"/>
    <w:rsid w:val="00AA376C"/>
    <w:rsid w:val="00AA3E1A"/>
    <w:rsid w:val="00AA670B"/>
    <w:rsid w:val="00AA6E68"/>
    <w:rsid w:val="00AB0932"/>
    <w:rsid w:val="00AB1542"/>
    <w:rsid w:val="00AB623E"/>
    <w:rsid w:val="00AC1136"/>
    <w:rsid w:val="00AC3944"/>
    <w:rsid w:val="00AC4029"/>
    <w:rsid w:val="00AC574E"/>
    <w:rsid w:val="00AC7C26"/>
    <w:rsid w:val="00AD603A"/>
    <w:rsid w:val="00AE3CF7"/>
    <w:rsid w:val="00AF26C9"/>
    <w:rsid w:val="00AF3D0A"/>
    <w:rsid w:val="00AF3E9B"/>
    <w:rsid w:val="00AF4186"/>
    <w:rsid w:val="00AF61AF"/>
    <w:rsid w:val="00B010AC"/>
    <w:rsid w:val="00B0285F"/>
    <w:rsid w:val="00B04FB7"/>
    <w:rsid w:val="00B11CFC"/>
    <w:rsid w:val="00B140EA"/>
    <w:rsid w:val="00B15417"/>
    <w:rsid w:val="00B159F5"/>
    <w:rsid w:val="00B2017F"/>
    <w:rsid w:val="00B21BB1"/>
    <w:rsid w:val="00B22835"/>
    <w:rsid w:val="00B32019"/>
    <w:rsid w:val="00B32AB8"/>
    <w:rsid w:val="00B3530B"/>
    <w:rsid w:val="00B36110"/>
    <w:rsid w:val="00B362EB"/>
    <w:rsid w:val="00B362EE"/>
    <w:rsid w:val="00B37B2E"/>
    <w:rsid w:val="00B37C37"/>
    <w:rsid w:val="00B41905"/>
    <w:rsid w:val="00B42FA1"/>
    <w:rsid w:val="00B449D8"/>
    <w:rsid w:val="00B50144"/>
    <w:rsid w:val="00B50E78"/>
    <w:rsid w:val="00B55EB2"/>
    <w:rsid w:val="00B61B03"/>
    <w:rsid w:val="00B64473"/>
    <w:rsid w:val="00B64FDA"/>
    <w:rsid w:val="00B65C9C"/>
    <w:rsid w:val="00B7197B"/>
    <w:rsid w:val="00B72503"/>
    <w:rsid w:val="00B75E2A"/>
    <w:rsid w:val="00B82056"/>
    <w:rsid w:val="00B8276E"/>
    <w:rsid w:val="00B953E3"/>
    <w:rsid w:val="00BA5C90"/>
    <w:rsid w:val="00BA7F42"/>
    <w:rsid w:val="00BB4843"/>
    <w:rsid w:val="00BC1253"/>
    <w:rsid w:val="00BC1E2F"/>
    <w:rsid w:val="00BC268B"/>
    <w:rsid w:val="00BC3254"/>
    <w:rsid w:val="00BC3C7A"/>
    <w:rsid w:val="00BC51C7"/>
    <w:rsid w:val="00BD12B9"/>
    <w:rsid w:val="00BD3346"/>
    <w:rsid w:val="00BE0335"/>
    <w:rsid w:val="00BE36CE"/>
    <w:rsid w:val="00BE42E5"/>
    <w:rsid w:val="00BE79EB"/>
    <w:rsid w:val="00BF05A8"/>
    <w:rsid w:val="00BF44FC"/>
    <w:rsid w:val="00C00495"/>
    <w:rsid w:val="00C0074F"/>
    <w:rsid w:val="00C01BB5"/>
    <w:rsid w:val="00C01DC1"/>
    <w:rsid w:val="00C0286A"/>
    <w:rsid w:val="00C04EFC"/>
    <w:rsid w:val="00C053B0"/>
    <w:rsid w:val="00C06624"/>
    <w:rsid w:val="00C10593"/>
    <w:rsid w:val="00C1083F"/>
    <w:rsid w:val="00C11726"/>
    <w:rsid w:val="00C1206C"/>
    <w:rsid w:val="00C12D0E"/>
    <w:rsid w:val="00C13D99"/>
    <w:rsid w:val="00C146B2"/>
    <w:rsid w:val="00C15724"/>
    <w:rsid w:val="00C157A0"/>
    <w:rsid w:val="00C1587F"/>
    <w:rsid w:val="00C22D1C"/>
    <w:rsid w:val="00C23F14"/>
    <w:rsid w:val="00C24C75"/>
    <w:rsid w:val="00C302E0"/>
    <w:rsid w:val="00C3292A"/>
    <w:rsid w:val="00C35344"/>
    <w:rsid w:val="00C35718"/>
    <w:rsid w:val="00C36161"/>
    <w:rsid w:val="00C361A6"/>
    <w:rsid w:val="00C3749E"/>
    <w:rsid w:val="00C410A2"/>
    <w:rsid w:val="00C42A1D"/>
    <w:rsid w:val="00C4347C"/>
    <w:rsid w:val="00C4516D"/>
    <w:rsid w:val="00C45F6A"/>
    <w:rsid w:val="00C47471"/>
    <w:rsid w:val="00C63D44"/>
    <w:rsid w:val="00C66DC5"/>
    <w:rsid w:val="00C72287"/>
    <w:rsid w:val="00C73A59"/>
    <w:rsid w:val="00C803DA"/>
    <w:rsid w:val="00C80AC5"/>
    <w:rsid w:val="00C81922"/>
    <w:rsid w:val="00C827FD"/>
    <w:rsid w:val="00C82E1E"/>
    <w:rsid w:val="00C85696"/>
    <w:rsid w:val="00C8592E"/>
    <w:rsid w:val="00C92BF8"/>
    <w:rsid w:val="00C9559F"/>
    <w:rsid w:val="00C961F8"/>
    <w:rsid w:val="00CA57CB"/>
    <w:rsid w:val="00CA7A09"/>
    <w:rsid w:val="00CA7FAC"/>
    <w:rsid w:val="00CB3027"/>
    <w:rsid w:val="00CB33A4"/>
    <w:rsid w:val="00CB7861"/>
    <w:rsid w:val="00CC196E"/>
    <w:rsid w:val="00CC21DF"/>
    <w:rsid w:val="00CC3446"/>
    <w:rsid w:val="00CC6DF8"/>
    <w:rsid w:val="00CD2793"/>
    <w:rsid w:val="00CD73DE"/>
    <w:rsid w:val="00CE10D3"/>
    <w:rsid w:val="00CE1169"/>
    <w:rsid w:val="00CE6BEE"/>
    <w:rsid w:val="00CE7E6E"/>
    <w:rsid w:val="00CF4451"/>
    <w:rsid w:val="00CF5985"/>
    <w:rsid w:val="00CF5C20"/>
    <w:rsid w:val="00CF5F06"/>
    <w:rsid w:val="00CF6B57"/>
    <w:rsid w:val="00D0253A"/>
    <w:rsid w:val="00D04B31"/>
    <w:rsid w:val="00D120E7"/>
    <w:rsid w:val="00D1664C"/>
    <w:rsid w:val="00D16D0C"/>
    <w:rsid w:val="00D178B3"/>
    <w:rsid w:val="00D17BA3"/>
    <w:rsid w:val="00D17EE8"/>
    <w:rsid w:val="00D17FF5"/>
    <w:rsid w:val="00D2042A"/>
    <w:rsid w:val="00D2211A"/>
    <w:rsid w:val="00D229EC"/>
    <w:rsid w:val="00D23D35"/>
    <w:rsid w:val="00D24948"/>
    <w:rsid w:val="00D27F55"/>
    <w:rsid w:val="00D30CB1"/>
    <w:rsid w:val="00D33570"/>
    <w:rsid w:val="00D35B75"/>
    <w:rsid w:val="00D44A57"/>
    <w:rsid w:val="00D45BB5"/>
    <w:rsid w:val="00D47AF8"/>
    <w:rsid w:val="00D528AA"/>
    <w:rsid w:val="00D5473F"/>
    <w:rsid w:val="00D56797"/>
    <w:rsid w:val="00D6179B"/>
    <w:rsid w:val="00D63C66"/>
    <w:rsid w:val="00D64A25"/>
    <w:rsid w:val="00D73EC3"/>
    <w:rsid w:val="00D7492B"/>
    <w:rsid w:val="00D77E91"/>
    <w:rsid w:val="00D81522"/>
    <w:rsid w:val="00D8189E"/>
    <w:rsid w:val="00D82045"/>
    <w:rsid w:val="00D83DA4"/>
    <w:rsid w:val="00D849F6"/>
    <w:rsid w:val="00D85674"/>
    <w:rsid w:val="00DA1946"/>
    <w:rsid w:val="00DA211E"/>
    <w:rsid w:val="00DA4909"/>
    <w:rsid w:val="00DA4A57"/>
    <w:rsid w:val="00DA5275"/>
    <w:rsid w:val="00DA5F13"/>
    <w:rsid w:val="00DA67EE"/>
    <w:rsid w:val="00DB2536"/>
    <w:rsid w:val="00DB26CA"/>
    <w:rsid w:val="00DB68B6"/>
    <w:rsid w:val="00DC0D7E"/>
    <w:rsid w:val="00DC0DD9"/>
    <w:rsid w:val="00DC3FF5"/>
    <w:rsid w:val="00DC7E7A"/>
    <w:rsid w:val="00DD1486"/>
    <w:rsid w:val="00DD760C"/>
    <w:rsid w:val="00DE0321"/>
    <w:rsid w:val="00DE0BEB"/>
    <w:rsid w:val="00DE2268"/>
    <w:rsid w:val="00DE33B1"/>
    <w:rsid w:val="00DE6670"/>
    <w:rsid w:val="00DF0CF6"/>
    <w:rsid w:val="00DF20B4"/>
    <w:rsid w:val="00DF4E5B"/>
    <w:rsid w:val="00E00972"/>
    <w:rsid w:val="00E058A2"/>
    <w:rsid w:val="00E11701"/>
    <w:rsid w:val="00E149B4"/>
    <w:rsid w:val="00E17B7C"/>
    <w:rsid w:val="00E17BAA"/>
    <w:rsid w:val="00E20FDB"/>
    <w:rsid w:val="00E22E54"/>
    <w:rsid w:val="00E24745"/>
    <w:rsid w:val="00E30C74"/>
    <w:rsid w:val="00E36269"/>
    <w:rsid w:val="00E42C6C"/>
    <w:rsid w:val="00E478A4"/>
    <w:rsid w:val="00E5361B"/>
    <w:rsid w:val="00E60B8D"/>
    <w:rsid w:val="00E616B5"/>
    <w:rsid w:val="00E643AC"/>
    <w:rsid w:val="00E65C9F"/>
    <w:rsid w:val="00E677C0"/>
    <w:rsid w:val="00E67ABA"/>
    <w:rsid w:val="00E71619"/>
    <w:rsid w:val="00E716CF"/>
    <w:rsid w:val="00E71EC9"/>
    <w:rsid w:val="00E766BD"/>
    <w:rsid w:val="00E76AB2"/>
    <w:rsid w:val="00E80D3E"/>
    <w:rsid w:val="00E81D54"/>
    <w:rsid w:val="00E84102"/>
    <w:rsid w:val="00E86085"/>
    <w:rsid w:val="00E92956"/>
    <w:rsid w:val="00E954B4"/>
    <w:rsid w:val="00E9553F"/>
    <w:rsid w:val="00E9654E"/>
    <w:rsid w:val="00EA1243"/>
    <w:rsid w:val="00EA1516"/>
    <w:rsid w:val="00EA31F1"/>
    <w:rsid w:val="00EA6E5D"/>
    <w:rsid w:val="00EB036E"/>
    <w:rsid w:val="00EB0EA0"/>
    <w:rsid w:val="00EB4303"/>
    <w:rsid w:val="00EC190D"/>
    <w:rsid w:val="00EC1BD9"/>
    <w:rsid w:val="00EC29D7"/>
    <w:rsid w:val="00EC39D2"/>
    <w:rsid w:val="00EC3A63"/>
    <w:rsid w:val="00EC6542"/>
    <w:rsid w:val="00ED67B5"/>
    <w:rsid w:val="00EE2427"/>
    <w:rsid w:val="00EE2524"/>
    <w:rsid w:val="00EE7550"/>
    <w:rsid w:val="00EF32DE"/>
    <w:rsid w:val="00EF3800"/>
    <w:rsid w:val="00EF5FE0"/>
    <w:rsid w:val="00EF76E2"/>
    <w:rsid w:val="00F0181F"/>
    <w:rsid w:val="00F02008"/>
    <w:rsid w:val="00F11638"/>
    <w:rsid w:val="00F11683"/>
    <w:rsid w:val="00F16DC5"/>
    <w:rsid w:val="00F2208F"/>
    <w:rsid w:val="00F25D3B"/>
    <w:rsid w:val="00F3045B"/>
    <w:rsid w:val="00F30ADA"/>
    <w:rsid w:val="00F31D18"/>
    <w:rsid w:val="00F31DE6"/>
    <w:rsid w:val="00F31F10"/>
    <w:rsid w:val="00F33CAB"/>
    <w:rsid w:val="00F431F8"/>
    <w:rsid w:val="00F45129"/>
    <w:rsid w:val="00F45CCF"/>
    <w:rsid w:val="00F45D9A"/>
    <w:rsid w:val="00F6249E"/>
    <w:rsid w:val="00F63713"/>
    <w:rsid w:val="00F6587F"/>
    <w:rsid w:val="00F66A88"/>
    <w:rsid w:val="00F7004E"/>
    <w:rsid w:val="00F703F2"/>
    <w:rsid w:val="00F704BF"/>
    <w:rsid w:val="00F70BB4"/>
    <w:rsid w:val="00F820B7"/>
    <w:rsid w:val="00F82343"/>
    <w:rsid w:val="00F82A33"/>
    <w:rsid w:val="00F84553"/>
    <w:rsid w:val="00F87ABB"/>
    <w:rsid w:val="00F9311C"/>
    <w:rsid w:val="00F94EDF"/>
    <w:rsid w:val="00FA1747"/>
    <w:rsid w:val="00FA3A01"/>
    <w:rsid w:val="00FA3EE6"/>
    <w:rsid w:val="00FA54FC"/>
    <w:rsid w:val="00FA7EFA"/>
    <w:rsid w:val="00FB005A"/>
    <w:rsid w:val="00FB0D2C"/>
    <w:rsid w:val="00FB1F69"/>
    <w:rsid w:val="00FB28BE"/>
    <w:rsid w:val="00FC0B87"/>
    <w:rsid w:val="00FC22B3"/>
    <w:rsid w:val="00FC6F63"/>
    <w:rsid w:val="00FC77EB"/>
    <w:rsid w:val="00FD10B3"/>
    <w:rsid w:val="00FD22C0"/>
    <w:rsid w:val="00FD3F9E"/>
    <w:rsid w:val="00FD47DC"/>
    <w:rsid w:val="00FD5802"/>
    <w:rsid w:val="00FD5B69"/>
    <w:rsid w:val="00FD5DF8"/>
    <w:rsid w:val="00FD6D81"/>
    <w:rsid w:val="00FE118B"/>
    <w:rsid w:val="00FE38A4"/>
    <w:rsid w:val="00FE3BDE"/>
    <w:rsid w:val="00FF18C2"/>
    <w:rsid w:val="00FF75E8"/>
    <w:rsid w:val="00FF7F15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BC6216-12FF-45BF-AB63-D4366A43A7CC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3.xml><?xml version="1.0" encoding="utf-8"?>
<ds:datastoreItem xmlns:ds="http://schemas.openxmlformats.org/officeDocument/2006/customXml" ds:itemID="{36414E73-281F-48C7-9E25-06C921F06D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4</Pages>
  <Words>890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Uhlíková Renata</cp:lastModifiedBy>
  <cp:revision>82</cp:revision>
  <dcterms:created xsi:type="dcterms:W3CDTF">2022-12-12T10:03:00Z</dcterms:created>
  <dcterms:modified xsi:type="dcterms:W3CDTF">2023-12-04T11:54:00Z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