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Pr="00AF0113" w:rsidRDefault="00B677D5" w:rsidP="00AF0113">
      <w:pPr>
        <w:spacing w:after="0"/>
        <w:jc w:val="both"/>
        <w:rPr>
          <w:rFonts w:ascii="Arial" w:hAnsi="Arial" w:cs="Arial"/>
          <w:caps/>
          <w:sz w:val="20"/>
          <w:szCs w:val="20"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A46CF0" w:rsidR="008C64CA" w:rsidRDefault="008C64CA" w:rsidP="00AF0113">
      <w:pPr>
        <w:pStyle w:val="Zkladnodstavec"/>
        <w:spacing w:before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62581209" w14:textId="77777777" w:rsidR="00F20B92" w:rsidRDefault="00F20B92" w:rsidP="00C97FE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270A0AD5" w14:textId="1CBBD822" w:rsidR="002D170A" w:rsidRPr="00AF0113" w:rsidRDefault="00F20B92" w:rsidP="00C97FE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74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2D170A" w:rsidRPr="00AF0113">
        <w:rPr>
          <w:rFonts w:ascii="Arial" w:hAnsi="Arial" w:cs="Arial"/>
          <w:caps/>
          <w:sz w:val="36"/>
          <w:szCs w:val="36"/>
        </w:rPr>
        <w:t xml:space="preserve">irop </w:t>
      </w:r>
      <w:r w:rsidR="00222D93" w:rsidRPr="00AF0113">
        <w:rPr>
          <w:rFonts w:ascii="Arial" w:hAnsi="Arial" w:cs="Arial"/>
          <w:caps/>
          <w:sz w:val="36"/>
          <w:szCs w:val="36"/>
        </w:rPr>
        <w:t>-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 </w:t>
      </w:r>
      <w:r w:rsidR="00222D93" w:rsidRPr="00AF0113">
        <w:rPr>
          <w:rFonts w:ascii="Arial" w:hAnsi="Arial" w:cs="Arial"/>
          <w:caps/>
          <w:sz w:val="36"/>
          <w:szCs w:val="36"/>
        </w:rPr>
        <w:t>Multimodální</w:t>
      </w:r>
      <w:proofErr w:type="gramEnd"/>
      <w:r w:rsidR="00222D93" w:rsidRPr="00AF0113">
        <w:rPr>
          <w:rFonts w:ascii="Arial" w:hAnsi="Arial" w:cs="Arial"/>
          <w:caps/>
          <w:sz w:val="36"/>
          <w:szCs w:val="36"/>
        </w:rPr>
        <w:t xml:space="preserve"> osobní</w:t>
      </w:r>
      <w:r w:rsidR="00C7362D" w:rsidRPr="00AF0113">
        <w:rPr>
          <w:rFonts w:ascii="Arial" w:hAnsi="Arial" w:cs="Arial"/>
          <w:caps/>
          <w:sz w:val="36"/>
          <w:szCs w:val="36"/>
        </w:rPr>
        <w:br/>
      </w:r>
      <w:r w:rsidR="00222D93" w:rsidRPr="00AF0113">
        <w:rPr>
          <w:rFonts w:ascii="Arial" w:hAnsi="Arial" w:cs="Arial"/>
          <w:caps/>
          <w:sz w:val="36"/>
          <w:szCs w:val="36"/>
        </w:rPr>
        <w:t>doprava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 - SC </w:t>
      </w:r>
      <w:r w:rsidR="00222D93" w:rsidRPr="00AF0113">
        <w:rPr>
          <w:rFonts w:ascii="Arial" w:hAnsi="Arial" w:cs="Arial"/>
          <w:caps/>
          <w:sz w:val="36"/>
          <w:szCs w:val="36"/>
        </w:rPr>
        <w:t>6</w:t>
      </w:r>
      <w:r w:rsidR="002D170A" w:rsidRPr="00AF0113">
        <w:rPr>
          <w:rFonts w:ascii="Arial" w:hAnsi="Arial" w:cs="Arial"/>
          <w:caps/>
          <w:sz w:val="36"/>
          <w:szCs w:val="36"/>
        </w:rPr>
        <w:t>.1 (</w:t>
      </w:r>
      <w:r>
        <w:rPr>
          <w:rFonts w:ascii="Arial" w:hAnsi="Arial" w:cs="Arial"/>
          <w:caps/>
          <w:sz w:val="36"/>
          <w:szCs w:val="36"/>
        </w:rPr>
        <w:t>ITI</w:t>
      </w:r>
      <w:r w:rsidR="002D170A" w:rsidRPr="00AF0113">
        <w:rPr>
          <w:rFonts w:ascii="Arial" w:hAnsi="Arial" w:cs="Arial"/>
          <w:caps/>
          <w:sz w:val="36"/>
          <w:szCs w:val="36"/>
        </w:rPr>
        <w:t>)</w:t>
      </w:r>
    </w:p>
    <w:p w14:paraId="35EB04F5" w14:textId="77777777" w:rsidR="00F20B92" w:rsidRDefault="00F20B92" w:rsidP="008C64C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3DFDC52" w14:textId="67B8C1AD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8B65EA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7D661C6A" w14:textId="1FEDC224" w:rsidR="002A0EC1" w:rsidRPr="00B26690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B26690">
            <w:rPr>
              <w:rFonts w:ascii="Arial" w:hAnsi="Arial" w:cs="Arial"/>
            </w:rPr>
            <w:fldChar w:fldCharType="begin"/>
          </w:r>
          <w:r w:rsidRPr="00B26690">
            <w:rPr>
              <w:rFonts w:ascii="Arial" w:hAnsi="Arial" w:cs="Arial"/>
            </w:rPr>
            <w:instrText xml:space="preserve"> TOC \o "1-3" \h \z \u </w:instrText>
          </w:r>
          <w:r w:rsidRPr="00B26690">
            <w:rPr>
              <w:rFonts w:ascii="Arial" w:hAnsi="Arial" w:cs="Arial"/>
            </w:rPr>
            <w:fldChar w:fldCharType="separate"/>
          </w:r>
          <w:hyperlink w:anchor="_Toc124164938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2A0EC1" w:rsidRPr="00B26690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_Toc124164938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3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15D1381" w14:textId="67242548" w:rsidR="002A0EC1" w:rsidRPr="00B26690" w:rsidRDefault="00F829AA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39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2A0EC1" w:rsidRPr="00B26690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_Toc124164939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3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C22595" w14:textId="2CF0DC7F" w:rsidR="002A0EC1" w:rsidRPr="00B26690" w:rsidRDefault="00F829A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0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 (fáze 1)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_Toc124164940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3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528D0A6" w14:textId="6EB5EC02" w:rsidR="002A0EC1" w:rsidRPr="00B26690" w:rsidRDefault="00F829A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1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2.2 Podrobná analýza (Fáze 2)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_Toc124164941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4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9D92C2D" w14:textId="22FAC3DD" w:rsidR="002A0EC1" w:rsidRPr="00B26690" w:rsidRDefault="00F829AA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2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2A0EC1" w:rsidRPr="00B26690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_Toc124164942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8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B8072D7" w14:textId="2D780737" w:rsidR="002A0EC1" w:rsidRPr="00B26690" w:rsidRDefault="00F829A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3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="002A0EC1" w:rsidRPr="00B26690">
              <w:rPr>
                <w:rStyle w:val="Hypertextovodkaz"/>
                <w:rFonts w:ascii="Arial" w:hAnsi="Arial" w:cs="Arial"/>
                <w:noProof/>
              </w:rPr>
              <w:t xml:space="preserve">, </w:t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_Toc124164943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8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C2A0A9" w14:textId="42E13BDE" w:rsidR="002A0EC1" w:rsidRPr="00B26690" w:rsidRDefault="00F829A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4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_Toc124164944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11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9A454A" w14:textId="2FC7A609" w:rsidR="002A0EC1" w:rsidRPr="00B26690" w:rsidRDefault="00F829AA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5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2A0EC1" w:rsidRPr="00B26690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_Toc124164945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13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B61162E" w14:textId="15EF17E3" w:rsidR="002A0EC1" w:rsidRPr="00B26690" w:rsidRDefault="00F829AA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6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2A0EC1" w:rsidRPr="00B26690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_Toc124164946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13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7B7A04" w14:textId="269CA493" w:rsidR="0051543C" w:rsidRDefault="0051543C">
          <w:r w:rsidRPr="00B26690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24164938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26DB679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24164939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54C96D05" w14:textId="6E96DDE8" w:rsidR="002640A4" w:rsidRDefault="00627042" w:rsidP="00FA5D9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</w:t>
      </w:r>
      <w:r w:rsidR="00FA5D9B">
        <w:rPr>
          <w:rFonts w:ascii="Arial" w:hAnsi="Arial" w:cs="Arial"/>
        </w:rPr>
        <w:t xml:space="preserve">Dokumentace </w:t>
      </w:r>
      <w:r w:rsidR="002640A4">
        <w:rPr>
          <w:rFonts w:ascii="Arial" w:hAnsi="Arial" w:cs="Arial"/>
        </w:rPr>
        <w:t>respektuje osnovu kapitoly Zmírňování změny klimatu (klimatická neutralita) stanovenou částí B.2 přílohy B Technických pokynů</w:t>
      </w:r>
      <w:r w:rsidR="00EB13B0">
        <w:rPr>
          <w:rFonts w:ascii="Arial" w:hAnsi="Arial" w:cs="Arial"/>
        </w:rPr>
        <w:t>.</w:t>
      </w:r>
    </w:p>
    <w:p w14:paraId="493C4E2C" w14:textId="2F42A4C7" w:rsidR="004C3B5E" w:rsidRDefault="00EB13B0" w:rsidP="00AF0113">
      <w:pPr>
        <w:pStyle w:val="Nadpis1"/>
        <w:spacing w:before="240"/>
        <w:jc w:val="both"/>
        <w:rPr>
          <w:rFonts w:ascii="Arial" w:hAnsi="Arial" w:cs="Arial"/>
          <w:caps/>
          <w:sz w:val="22"/>
          <w:szCs w:val="22"/>
        </w:rPr>
      </w:pPr>
      <w:bookmarkStart w:id="7" w:name="_Toc124164940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2DFBC448" w14:textId="0F6035EC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27557140" w14:textId="08B08673" w:rsidR="003B3C40" w:rsidRDefault="003B3C40" w:rsidP="003B3C4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E4540">
        <w:rPr>
          <w:rFonts w:ascii="Arial" w:hAnsi="Arial" w:cs="Arial"/>
        </w:rPr>
        <w:t>rojekty zahrnující výstavbu</w:t>
      </w:r>
      <w:r w:rsidR="005D7D31">
        <w:rPr>
          <w:rFonts w:ascii="Arial" w:hAnsi="Arial" w:cs="Arial"/>
        </w:rPr>
        <w:t xml:space="preserve"> </w:t>
      </w:r>
      <w:r w:rsidR="005D7D31" w:rsidRPr="005D7D31">
        <w:rPr>
          <w:rFonts w:ascii="Arial" w:hAnsi="Arial" w:cs="Arial"/>
        </w:rPr>
        <w:t>přestupních terminálů pro veřejnou dopravu</w:t>
      </w:r>
      <w:r>
        <w:rPr>
          <w:rFonts w:ascii="Arial" w:hAnsi="Arial" w:cs="Arial"/>
        </w:rPr>
        <w:t xml:space="preserve"> spadají do kategorie projektů „Silniční infrastruktura“</w:t>
      </w:r>
      <w:r w:rsidR="005D7D31">
        <w:rPr>
          <w:rFonts w:ascii="Arial" w:hAnsi="Arial" w:cs="Arial"/>
        </w:rPr>
        <w:t xml:space="preserve"> a „Městská doprava“</w:t>
      </w:r>
      <w:r>
        <w:rPr>
          <w:rFonts w:ascii="Arial" w:hAnsi="Arial" w:cs="Arial"/>
        </w:rPr>
        <w:t>. Výsledkem prověření (fáze 1) u této kategorie projektů je požadavek na posouzení uhlíkové stopy (fáze 2).</w:t>
      </w:r>
    </w:p>
    <w:p w14:paraId="328A4439" w14:textId="770D250B" w:rsidR="003D3905" w:rsidRDefault="00D2141B" w:rsidP="003D390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Projekty zahrnující modernizaci </w:t>
      </w:r>
      <w:r w:rsidRPr="000D6A10">
        <w:rPr>
          <w:rFonts w:ascii="Arial" w:hAnsi="Arial" w:cs="Arial"/>
        </w:rPr>
        <w:t>přestupních terminálů pro veřejnou dopravu</w:t>
      </w:r>
      <w:r>
        <w:rPr>
          <w:rFonts w:ascii="Arial" w:hAnsi="Arial" w:cs="Arial"/>
        </w:rPr>
        <w:t xml:space="preserve"> lze zařadit do kategorie </w:t>
      </w:r>
      <w:r w:rsidR="002A2A09">
        <w:rPr>
          <w:rFonts w:ascii="Arial" w:hAnsi="Arial" w:cs="Arial"/>
        </w:rPr>
        <w:t xml:space="preserve">projektů </w:t>
      </w:r>
      <w:r w:rsidR="002A2A09" w:rsidRPr="00BB5F4C">
        <w:rPr>
          <w:rFonts w:ascii="Arial" w:hAnsi="Arial" w:cs="Arial"/>
        </w:rPr>
        <w:t xml:space="preserve">„Silniční </w:t>
      </w:r>
      <w:proofErr w:type="gramStart"/>
      <w:r w:rsidR="002A2A09" w:rsidRPr="00BB5F4C">
        <w:rPr>
          <w:rFonts w:ascii="Arial" w:hAnsi="Arial" w:cs="Arial"/>
        </w:rPr>
        <w:t>infrastruktura</w:t>
      </w:r>
      <w:r w:rsidR="002A2A09">
        <w:rPr>
          <w:rFonts w:ascii="Arial" w:hAnsi="Arial" w:cs="Arial"/>
        </w:rPr>
        <w:t xml:space="preserve"> - </w:t>
      </w:r>
      <w:r w:rsidR="002A2A09" w:rsidRPr="00BB5F4C">
        <w:rPr>
          <w:rFonts w:ascii="Arial" w:hAnsi="Arial" w:cs="Arial"/>
        </w:rPr>
        <w:t>opatření</w:t>
      </w:r>
      <w:proofErr w:type="gramEnd"/>
      <w:r w:rsidR="002A2A09" w:rsidRPr="00BB5F4C">
        <w:rPr>
          <w:rFonts w:ascii="Arial" w:hAnsi="Arial" w:cs="Arial"/>
        </w:rPr>
        <w:t xml:space="preserve"> řešící bezpečnost silničního provozu“</w:t>
      </w:r>
      <w:r w:rsidR="003D3905">
        <w:rPr>
          <w:rFonts w:ascii="Arial" w:hAnsi="Arial" w:cs="Arial"/>
        </w:rPr>
        <w:t>. P</w:t>
      </w:r>
      <w:r w:rsidR="002A2A09">
        <w:rPr>
          <w:rFonts w:ascii="Arial" w:hAnsi="Arial" w:cs="Arial"/>
        </w:rPr>
        <w:t xml:space="preserve">rojekty zahrnující </w:t>
      </w:r>
      <w:r w:rsidR="00F266A5" w:rsidRPr="00F266A5">
        <w:rPr>
          <w:rFonts w:ascii="Arial" w:hAnsi="Arial" w:cs="Arial"/>
        </w:rPr>
        <w:t>výstavb</w:t>
      </w:r>
      <w:r w:rsidR="00823A03">
        <w:rPr>
          <w:rFonts w:ascii="Arial" w:hAnsi="Arial" w:cs="Arial"/>
        </w:rPr>
        <w:t>u</w:t>
      </w:r>
      <w:r w:rsidR="00F266A5" w:rsidRPr="00F266A5">
        <w:rPr>
          <w:rFonts w:ascii="Arial" w:hAnsi="Arial" w:cs="Arial"/>
        </w:rPr>
        <w:t xml:space="preserve"> a modernizac</w:t>
      </w:r>
      <w:r w:rsidR="00823A03">
        <w:rPr>
          <w:rFonts w:ascii="Arial" w:hAnsi="Arial" w:cs="Arial"/>
        </w:rPr>
        <w:t>i</w:t>
      </w:r>
      <w:r w:rsidR="00F266A5" w:rsidRPr="00F266A5">
        <w:rPr>
          <w:rFonts w:ascii="Arial" w:hAnsi="Arial" w:cs="Arial"/>
        </w:rPr>
        <w:t xml:space="preserve"> parkovacích systémů zajišťujících přestup na veřejnou dopravu (P+R, K+R, B+R)</w:t>
      </w:r>
      <w:r w:rsidR="00823A03">
        <w:rPr>
          <w:rFonts w:ascii="Arial" w:hAnsi="Arial" w:cs="Arial"/>
        </w:rPr>
        <w:t xml:space="preserve"> lze zařadit do kategorie projektů „Výstavba </w:t>
      </w:r>
      <w:proofErr w:type="gramStart"/>
      <w:r w:rsidR="00823A03">
        <w:rPr>
          <w:rFonts w:ascii="Arial" w:hAnsi="Arial" w:cs="Arial"/>
        </w:rPr>
        <w:t>nemovitostí - bezpečná</w:t>
      </w:r>
      <w:proofErr w:type="gramEnd"/>
      <w:r w:rsidR="00823A03">
        <w:rPr>
          <w:rFonts w:ascii="Arial" w:hAnsi="Arial" w:cs="Arial"/>
        </w:rPr>
        <w:t xml:space="preserve"> a zajištěná parkoviště“</w:t>
      </w:r>
      <w:r w:rsidR="003D3905">
        <w:rPr>
          <w:rFonts w:ascii="Arial" w:hAnsi="Arial" w:cs="Arial"/>
        </w:rPr>
        <w:t>.</w:t>
      </w:r>
      <w:r w:rsidR="00823A03">
        <w:rPr>
          <w:rFonts w:ascii="Arial" w:hAnsi="Arial" w:cs="Arial"/>
        </w:rPr>
        <w:t xml:space="preserve"> </w:t>
      </w:r>
      <w:r w:rsidR="003D3905">
        <w:rPr>
          <w:rFonts w:ascii="Arial" w:hAnsi="Arial" w:cs="Arial"/>
        </w:rPr>
        <w:t>P</w:t>
      </w:r>
      <w:r w:rsidR="00823A03">
        <w:rPr>
          <w:rFonts w:ascii="Arial" w:hAnsi="Arial" w:cs="Arial"/>
        </w:rPr>
        <w:t xml:space="preserve">rojekty zahrnující </w:t>
      </w:r>
      <w:r w:rsidR="00823A03" w:rsidRPr="00823A03">
        <w:rPr>
          <w:rFonts w:ascii="Arial" w:hAnsi="Arial" w:cs="Arial"/>
        </w:rPr>
        <w:t>realizac</w:t>
      </w:r>
      <w:r w:rsidR="00823A03">
        <w:rPr>
          <w:rFonts w:ascii="Arial" w:hAnsi="Arial" w:cs="Arial"/>
        </w:rPr>
        <w:t>i</w:t>
      </w:r>
      <w:r w:rsidR="00823A03" w:rsidRPr="00823A03">
        <w:rPr>
          <w:rFonts w:ascii="Arial" w:hAnsi="Arial" w:cs="Arial"/>
        </w:rPr>
        <w:t xml:space="preserve"> preferenčních opatření a zvyšování kapacity veřejné dopravy stavebními úpravami silnic a místních komunikací</w:t>
      </w:r>
      <w:r w:rsidR="003D3905">
        <w:rPr>
          <w:rFonts w:ascii="Arial" w:hAnsi="Arial" w:cs="Arial"/>
        </w:rPr>
        <w:t xml:space="preserve"> lze zařadit do kategorie projektů </w:t>
      </w:r>
      <w:r w:rsidR="003D3905" w:rsidRPr="00BB5F4C">
        <w:rPr>
          <w:rFonts w:ascii="Arial" w:hAnsi="Arial" w:cs="Arial"/>
        </w:rPr>
        <w:t xml:space="preserve">„Silniční </w:t>
      </w:r>
      <w:proofErr w:type="gramStart"/>
      <w:r w:rsidR="003D3905" w:rsidRPr="00BB5F4C">
        <w:rPr>
          <w:rFonts w:ascii="Arial" w:hAnsi="Arial" w:cs="Arial"/>
        </w:rPr>
        <w:t>infrastruktura</w:t>
      </w:r>
      <w:r w:rsidR="003D3905">
        <w:rPr>
          <w:rFonts w:ascii="Arial" w:hAnsi="Arial" w:cs="Arial"/>
        </w:rPr>
        <w:t xml:space="preserve"> - </w:t>
      </w:r>
      <w:r w:rsidR="003D3905" w:rsidRPr="00BB5F4C">
        <w:rPr>
          <w:rFonts w:ascii="Arial" w:hAnsi="Arial" w:cs="Arial"/>
        </w:rPr>
        <w:t>opatření</w:t>
      </w:r>
      <w:proofErr w:type="gramEnd"/>
      <w:r w:rsidR="003D3905" w:rsidRPr="00BB5F4C">
        <w:rPr>
          <w:rFonts w:ascii="Arial" w:hAnsi="Arial" w:cs="Arial"/>
        </w:rPr>
        <w:t xml:space="preserve"> řešící bezpečnost silničního provozu“</w:t>
      </w:r>
      <w:r w:rsidR="003D3905">
        <w:rPr>
          <w:rFonts w:ascii="Arial" w:hAnsi="Arial" w:cs="Arial"/>
        </w:rPr>
        <w:t xml:space="preserve">. Výsledkem prověření u těchto kategorií projektů tedy je, že nepodléhají povinnosti posouzení uhlíkové stopy, a prověřování v pilíři zmírňování změny klimatu tak </w:t>
      </w:r>
      <w:proofErr w:type="gramStart"/>
      <w:r w:rsidR="003D3905">
        <w:rPr>
          <w:rFonts w:ascii="Arial" w:hAnsi="Arial" w:cs="Arial"/>
        </w:rPr>
        <w:t>končí</w:t>
      </w:r>
      <w:proofErr w:type="gramEnd"/>
      <w:r w:rsidR="003D3905">
        <w:rPr>
          <w:rFonts w:ascii="Arial" w:hAnsi="Arial" w:cs="Arial"/>
        </w:rPr>
        <w:t xml:space="preserve"> tímto prostým prověřením (fází 1).</w:t>
      </w:r>
    </w:p>
    <w:p w14:paraId="7D6810D3" w14:textId="77777777" w:rsidR="003D3905" w:rsidRDefault="003D3905" w:rsidP="003D390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uvede typ/charakter projektu a odpovídající výsledek prověření.</w:t>
      </w:r>
    </w:p>
    <w:p w14:paraId="39FFA517" w14:textId="1C5A71DB" w:rsidR="00D2141B" w:rsidRDefault="00D2141B" w:rsidP="003B3C40">
      <w:pPr>
        <w:spacing w:before="120"/>
        <w:jc w:val="both"/>
        <w:rPr>
          <w:rFonts w:ascii="Arial" w:hAnsi="Arial" w:cs="Arial"/>
        </w:rPr>
      </w:pPr>
    </w:p>
    <w:p w14:paraId="7665AC24" w14:textId="77777777" w:rsidR="00D2141B" w:rsidRDefault="00D2141B" w:rsidP="003B3C40">
      <w:pPr>
        <w:spacing w:before="120"/>
        <w:jc w:val="both"/>
        <w:rPr>
          <w:rFonts w:ascii="Arial" w:hAnsi="Arial" w:cs="Arial"/>
        </w:rPr>
      </w:pPr>
    </w:p>
    <w:p w14:paraId="79015474" w14:textId="4E531DDE" w:rsidR="00CE6A6A" w:rsidRDefault="00CE6A6A" w:rsidP="00EB13B0">
      <w:pPr>
        <w:spacing w:before="120"/>
        <w:jc w:val="both"/>
        <w:rPr>
          <w:rFonts w:ascii="Arial" w:hAnsi="Arial" w:cs="Arial"/>
        </w:rPr>
      </w:pPr>
    </w:p>
    <w:p w14:paraId="65ADA5B0" w14:textId="51BA3B2F" w:rsidR="003D3905" w:rsidRDefault="003D3905" w:rsidP="00EB13B0">
      <w:pPr>
        <w:spacing w:before="120"/>
        <w:jc w:val="both"/>
        <w:rPr>
          <w:rFonts w:ascii="Arial" w:hAnsi="Arial" w:cs="Arial"/>
        </w:rPr>
      </w:pPr>
    </w:p>
    <w:p w14:paraId="707D69A4" w14:textId="77777777" w:rsidR="003D3905" w:rsidRDefault="003D3905" w:rsidP="00EB13B0">
      <w:pPr>
        <w:spacing w:before="120"/>
        <w:jc w:val="both"/>
        <w:rPr>
          <w:rFonts w:ascii="Arial" w:hAnsi="Arial" w:cs="Arial"/>
        </w:rPr>
      </w:pPr>
    </w:p>
    <w:p w14:paraId="5342FFD4" w14:textId="0216A671" w:rsidR="002D7293" w:rsidRDefault="002D7293" w:rsidP="002D7293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8" w:name="_Toc124164941"/>
      <w:r>
        <w:rPr>
          <w:rFonts w:ascii="Arial" w:hAnsi="Arial" w:cs="Arial"/>
          <w:caps/>
          <w:sz w:val="22"/>
          <w:szCs w:val="22"/>
        </w:rPr>
        <w:lastRenderedPageBreak/>
        <w:t>2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8"/>
    </w:p>
    <w:p w14:paraId="62479F3F" w14:textId="20659D0A" w:rsidR="00BF1187" w:rsidRDefault="00BF1187" w:rsidP="001501FD">
      <w:pPr>
        <w:spacing w:before="240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Popište emise skleníkových plynů a porovnejte je s mezními hodnotami pro absolutní a relativní emise</w:t>
      </w:r>
    </w:p>
    <w:p w14:paraId="4FE3CDBF" w14:textId="27A45367" w:rsidR="00813DF8" w:rsidRDefault="00813DF8" w:rsidP="00813DF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projektu podléhajícího posouzení uhlíkové stopy zpracovatel uvede výpočet </w:t>
      </w:r>
      <w:r w:rsidR="005D5B49">
        <w:rPr>
          <w:rFonts w:ascii="Arial" w:hAnsi="Arial" w:cs="Arial"/>
        </w:rPr>
        <w:t xml:space="preserve">emisí skleníkových plynů </w:t>
      </w:r>
      <w:r>
        <w:rPr>
          <w:rFonts w:ascii="Arial" w:hAnsi="Arial" w:cs="Arial"/>
        </w:rPr>
        <w:t>dle následující metodiky</w:t>
      </w:r>
      <w:r w:rsidR="006C56DD">
        <w:rPr>
          <w:rFonts w:ascii="Arial" w:hAnsi="Arial" w:cs="Arial"/>
        </w:rPr>
        <w:t>, která</w:t>
      </w:r>
      <w:r w:rsidR="00927007">
        <w:rPr>
          <w:rFonts w:ascii="Arial" w:hAnsi="Arial" w:cs="Arial"/>
        </w:rPr>
        <w:t xml:space="preserve"> vychází z </w:t>
      </w:r>
      <w:r w:rsidR="003421BE">
        <w:rPr>
          <w:rFonts w:ascii="Arial" w:hAnsi="Arial" w:cs="Arial"/>
        </w:rPr>
        <w:t>metodiky</w:t>
      </w:r>
      <w:r w:rsidR="003421BE" w:rsidRPr="003421BE">
        <w:t xml:space="preserve"> </w:t>
      </w:r>
      <w:r w:rsidR="003421BE" w:rsidRPr="003421BE">
        <w:rPr>
          <w:rFonts w:ascii="Arial" w:hAnsi="Arial" w:cs="Arial"/>
        </w:rPr>
        <w:t>EIB Project Carbon Footprint Methodologies</w:t>
      </w:r>
      <w:r w:rsidR="003421BE">
        <w:rPr>
          <w:rFonts w:ascii="Arial" w:hAnsi="Arial" w:cs="Arial"/>
        </w:rPr>
        <w:t xml:space="preserve"> (</w:t>
      </w:r>
      <w:r w:rsidR="00E57D2D">
        <w:rPr>
          <w:rFonts w:ascii="Arial" w:hAnsi="Arial" w:cs="Arial"/>
        </w:rPr>
        <w:t>2022</w:t>
      </w:r>
      <w:r w:rsidR="003421BE">
        <w:rPr>
          <w:rFonts w:ascii="Arial" w:hAnsi="Arial" w:cs="Arial"/>
        </w:rPr>
        <w:t xml:space="preserve">), </w:t>
      </w:r>
      <w:r w:rsidR="00E57D2D" w:rsidRPr="005C164A">
        <w:rPr>
          <w:rFonts w:ascii="Arial" w:hAnsi="Arial" w:cs="Arial"/>
        </w:rPr>
        <w:t>databáze</w:t>
      </w:r>
      <w:r w:rsidR="003421BE" w:rsidRPr="005C164A">
        <w:rPr>
          <w:rFonts w:ascii="Arial" w:hAnsi="Arial" w:cs="Arial"/>
        </w:rPr>
        <w:t xml:space="preserve"> Handbook Emission Factors for Road Transport (HBEFA</w:t>
      </w:r>
      <w:r w:rsidR="00E57D2D" w:rsidRPr="005C164A">
        <w:rPr>
          <w:rFonts w:ascii="Arial" w:hAnsi="Arial" w:cs="Arial"/>
        </w:rPr>
        <w:t xml:space="preserve"> 2022</w:t>
      </w:r>
      <w:r w:rsidR="003421BE" w:rsidRPr="005C164A">
        <w:rPr>
          <w:rFonts w:ascii="Arial" w:hAnsi="Arial" w:cs="Arial"/>
        </w:rPr>
        <w:t>)</w:t>
      </w:r>
      <w:r w:rsidR="009337DC">
        <w:rPr>
          <w:rFonts w:ascii="Arial" w:hAnsi="Arial" w:cs="Arial"/>
        </w:rPr>
        <w:t xml:space="preserve">, </w:t>
      </w:r>
      <w:r w:rsidR="003421BE">
        <w:rPr>
          <w:rFonts w:ascii="Arial" w:hAnsi="Arial" w:cs="Arial"/>
        </w:rPr>
        <w:t>z</w:t>
      </w:r>
      <w:r w:rsidR="00E57D2D">
        <w:rPr>
          <w:rFonts w:ascii="Arial" w:hAnsi="Arial" w:cs="Arial"/>
        </w:rPr>
        <w:t>e zprávy „</w:t>
      </w:r>
      <w:r w:rsidR="00E57D2D" w:rsidRPr="00105B9A">
        <w:rPr>
          <w:rFonts w:ascii="Arial" w:hAnsi="Arial" w:cs="Arial"/>
        </w:rPr>
        <w:t>Zjištění aktuální dynamické skladby vozidlového parku. Prognóza skladby vozidlového parku do roku 2050“ (ŘSD 2021</w:t>
      </w:r>
      <w:r w:rsidR="00E57D2D">
        <w:rPr>
          <w:rFonts w:ascii="Arial" w:hAnsi="Arial" w:cs="Arial"/>
        </w:rPr>
        <w:t>)</w:t>
      </w:r>
      <w:r w:rsidR="009337DC">
        <w:rPr>
          <w:rFonts w:ascii="Arial" w:hAnsi="Arial" w:cs="Arial"/>
        </w:rPr>
        <w:t xml:space="preserve"> </w:t>
      </w:r>
      <w:r w:rsidR="009337DC" w:rsidRPr="00934ECD">
        <w:rPr>
          <w:rFonts w:ascii="Arial" w:hAnsi="Arial" w:cs="Arial"/>
        </w:rPr>
        <w:t>a ze zprávy</w:t>
      </w:r>
      <w:r w:rsidR="00934ECD">
        <w:rPr>
          <w:rFonts w:ascii="Arial" w:hAnsi="Arial" w:cs="Arial"/>
        </w:rPr>
        <w:t xml:space="preserve"> „</w:t>
      </w:r>
      <w:r w:rsidR="00934ECD" w:rsidRPr="00934ECD">
        <w:rPr>
          <w:rFonts w:ascii="Arial" w:hAnsi="Arial" w:cs="Arial"/>
        </w:rPr>
        <w:t>Porovnání silniční a železniční dopravy z hlediska produkce emisí CO</w:t>
      </w:r>
      <w:r w:rsidR="00934ECD" w:rsidRPr="00934ECD">
        <w:rPr>
          <w:rFonts w:ascii="Arial" w:hAnsi="Arial" w:cs="Arial"/>
          <w:vertAlign w:val="subscript"/>
        </w:rPr>
        <w:t>2</w:t>
      </w:r>
      <w:r w:rsidR="00934ECD" w:rsidRPr="00934ECD">
        <w:rPr>
          <w:rFonts w:ascii="Arial" w:hAnsi="Arial" w:cs="Arial"/>
        </w:rPr>
        <w:t xml:space="preserve"> v reálných podmínkách</w:t>
      </w:r>
      <w:r w:rsidR="00934ECD">
        <w:rPr>
          <w:rFonts w:ascii="Arial" w:hAnsi="Arial" w:cs="Arial"/>
        </w:rPr>
        <w:t>“ (</w:t>
      </w:r>
      <w:r w:rsidR="001D5619">
        <w:rPr>
          <w:rFonts w:ascii="Arial" w:hAnsi="Arial" w:cs="Arial"/>
        </w:rPr>
        <w:t>Mrázek a kol. 2022)</w:t>
      </w:r>
      <w:r w:rsidR="00E57D2D">
        <w:rPr>
          <w:rFonts w:ascii="Arial" w:hAnsi="Arial" w:cs="Arial"/>
        </w:rPr>
        <w:t xml:space="preserve">. Výpočet sleduje emise skleníkových plynů relevantní pro daný typ infrastruktury. V případě </w:t>
      </w:r>
      <w:r w:rsidR="00DC4719">
        <w:rPr>
          <w:rFonts w:ascii="Arial" w:hAnsi="Arial" w:cs="Arial"/>
        </w:rPr>
        <w:t xml:space="preserve">silniční infrastruktury/městské dopravy </w:t>
      </w:r>
      <w:r w:rsidR="00DC4719" w:rsidRPr="009337DC">
        <w:rPr>
          <w:rFonts w:ascii="Arial" w:hAnsi="Arial" w:cs="Arial"/>
        </w:rPr>
        <w:t>(nového přestupního terminálu)</w:t>
      </w:r>
      <w:r w:rsidR="00DC4719">
        <w:rPr>
          <w:rFonts w:ascii="Arial" w:hAnsi="Arial" w:cs="Arial"/>
        </w:rPr>
        <w:t xml:space="preserve"> </w:t>
      </w:r>
      <w:r w:rsidR="00E57D2D">
        <w:rPr>
          <w:rFonts w:ascii="Arial" w:hAnsi="Arial" w:cs="Arial"/>
        </w:rPr>
        <w:t xml:space="preserve">se jedná o tzv. jiné nepřímé emise skleníkových plynů, tj. emise z vozidel </w:t>
      </w:r>
      <w:r w:rsidR="00A0321D">
        <w:rPr>
          <w:rFonts w:ascii="Arial" w:hAnsi="Arial" w:cs="Arial"/>
        </w:rPr>
        <w:t xml:space="preserve">odjíždějících z nebo </w:t>
      </w:r>
      <w:r w:rsidR="00E57D2D">
        <w:rPr>
          <w:rFonts w:ascii="Arial" w:hAnsi="Arial" w:cs="Arial"/>
        </w:rPr>
        <w:t>p</w:t>
      </w:r>
      <w:r w:rsidR="00A0321D">
        <w:rPr>
          <w:rFonts w:ascii="Arial" w:hAnsi="Arial" w:cs="Arial"/>
        </w:rPr>
        <w:t>ři</w:t>
      </w:r>
      <w:r w:rsidR="00E57D2D">
        <w:rPr>
          <w:rFonts w:ascii="Arial" w:hAnsi="Arial" w:cs="Arial"/>
        </w:rPr>
        <w:t xml:space="preserve">jíždějících </w:t>
      </w:r>
      <w:r w:rsidR="00A0321D">
        <w:rPr>
          <w:rFonts w:ascii="Arial" w:hAnsi="Arial" w:cs="Arial"/>
        </w:rPr>
        <w:t>do dopravního uzlu</w:t>
      </w:r>
      <w:r w:rsidR="00E57D2D">
        <w:rPr>
          <w:rFonts w:ascii="Arial" w:hAnsi="Arial" w:cs="Arial"/>
        </w:rPr>
        <w:t>.</w:t>
      </w:r>
    </w:p>
    <w:p w14:paraId="77BF493A" w14:textId="56DACB0F" w:rsidR="009F2C34" w:rsidRPr="002F4BA1" w:rsidRDefault="006C56DD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EA6133">
        <w:rPr>
          <w:rFonts w:ascii="Arial" w:hAnsi="Arial" w:cs="Arial"/>
        </w:rPr>
        <w:t>Posouzení</w:t>
      </w:r>
      <w:r>
        <w:rPr>
          <w:rFonts w:ascii="Arial" w:hAnsi="Arial" w:cs="Arial"/>
        </w:rPr>
        <w:t xml:space="preserve"> uhlíkové stopy j</w:t>
      </w:r>
      <w:r w:rsidR="009F2C34" w:rsidRPr="002F4BA1">
        <w:rPr>
          <w:rFonts w:ascii="Arial" w:hAnsi="Arial" w:cs="Arial"/>
        </w:rPr>
        <w:t>e založen</w:t>
      </w:r>
      <w:r>
        <w:rPr>
          <w:rFonts w:ascii="Arial" w:hAnsi="Arial" w:cs="Arial"/>
        </w:rPr>
        <w:t>o</w:t>
      </w:r>
      <w:r w:rsidR="009F2C34" w:rsidRPr="002F4BA1">
        <w:rPr>
          <w:rFonts w:ascii="Arial" w:hAnsi="Arial" w:cs="Arial"/>
        </w:rPr>
        <w:t xml:space="preserve"> na porovnání příslušných </w:t>
      </w:r>
      <w:r>
        <w:rPr>
          <w:rFonts w:ascii="Arial" w:hAnsi="Arial" w:cs="Arial"/>
        </w:rPr>
        <w:t>hodnot</w:t>
      </w:r>
      <w:r w:rsidR="009F2C34" w:rsidRPr="002F4BA1">
        <w:rPr>
          <w:rFonts w:ascii="Arial" w:hAnsi="Arial" w:cs="Arial"/>
        </w:rPr>
        <w:t xml:space="preserve"> odhadovaných pro </w:t>
      </w:r>
      <w:r w:rsidR="00EA6133">
        <w:rPr>
          <w:rFonts w:ascii="Arial" w:hAnsi="Arial" w:cs="Arial"/>
        </w:rPr>
        <w:t>situaci bez realizace nového přestupního terminálu</w:t>
      </w:r>
      <w:r w:rsidR="009F2C34" w:rsidRPr="002F4BA1">
        <w:rPr>
          <w:rFonts w:ascii="Arial" w:hAnsi="Arial" w:cs="Arial"/>
        </w:rPr>
        <w:t xml:space="preserve"> na straně jedné (tzv. nulová varianta) a </w:t>
      </w:r>
      <w:r w:rsidR="00EA6133">
        <w:rPr>
          <w:rFonts w:ascii="Arial" w:hAnsi="Arial" w:cs="Arial"/>
        </w:rPr>
        <w:t xml:space="preserve">odhadovaných </w:t>
      </w:r>
      <w:r w:rsidR="009F2C34" w:rsidRPr="002F4BA1">
        <w:rPr>
          <w:rFonts w:ascii="Arial" w:hAnsi="Arial" w:cs="Arial"/>
        </w:rPr>
        <w:t xml:space="preserve">pro </w:t>
      </w:r>
      <w:r w:rsidR="00EA6133">
        <w:rPr>
          <w:rFonts w:ascii="Arial" w:hAnsi="Arial" w:cs="Arial"/>
        </w:rPr>
        <w:t>situaci s </w:t>
      </w:r>
      <w:r w:rsidR="009F2C34" w:rsidRPr="002F4BA1">
        <w:rPr>
          <w:rFonts w:ascii="Arial" w:hAnsi="Arial" w:cs="Arial"/>
        </w:rPr>
        <w:t>realizovan</w:t>
      </w:r>
      <w:r w:rsidR="00EA6133">
        <w:rPr>
          <w:rFonts w:ascii="Arial" w:hAnsi="Arial" w:cs="Arial"/>
        </w:rPr>
        <w:t>ým novým přestupním terminálem</w:t>
      </w:r>
      <w:r w:rsidR="009F2C34" w:rsidRPr="002F4BA1">
        <w:rPr>
          <w:rFonts w:ascii="Arial" w:hAnsi="Arial" w:cs="Arial"/>
        </w:rPr>
        <w:t xml:space="preserve"> na straně druhé (tzv. aktivní varianta), a to za </w:t>
      </w:r>
      <w:r w:rsidR="009F2C34">
        <w:rPr>
          <w:rFonts w:ascii="Arial" w:hAnsi="Arial" w:cs="Arial"/>
        </w:rPr>
        <w:t>období 1.</w:t>
      </w:r>
      <w:r w:rsidR="009F2C34" w:rsidRPr="002F4BA1">
        <w:rPr>
          <w:rFonts w:ascii="Arial" w:hAnsi="Arial" w:cs="Arial"/>
        </w:rPr>
        <w:t xml:space="preserve"> rok</w:t>
      </w:r>
      <w:r w:rsidR="009F2C34">
        <w:rPr>
          <w:rFonts w:ascii="Arial" w:hAnsi="Arial" w:cs="Arial"/>
        </w:rPr>
        <w:t>u</w:t>
      </w:r>
      <w:r w:rsidR="009F2C34" w:rsidRPr="002F4BA1">
        <w:rPr>
          <w:rFonts w:ascii="Arial" w:hAnsi="Arial" w:cs="Arial"/>
        </w:rPr>
        <w:t xml:space="preserve"> </w:t>
      </w:r>
      <w:r w:rsidR="009F2C34">
        <w:rPr>
          <w:rFonts w:ascii="Arial" w:hAnsi="Arial" w:cs="Arial"/>
        </w:rPr>
        <w:t>udržitelnosti projektu</w:t>
      </w:r>
      <w:r w:rsidR="009F2C34" w:rsidRPr="002F4BA1">
        <w:rPr>
          <w:rFonts w:ascii="Arial" w:hAnsi="Arial" w:cs="Arial"/>
        </w:rPr>
        <w:t>.</w:t>
      </w:r>
    </w:p>
    <w:p w14:paraId="3AE7FDE1" w14:textId="70B52FAA" w:rsidR="001926F2" w:rsidRDefault="001926F2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aktivní variantě se uvažuje </w:t>
      </w:r>
      <w:r w:rsidRPr="00A30457">
        <w:rPr>
          <w:rFonts w:ascii="Arial" w:hAnsi="Arial" w:cs="Arial"/>
          <w:b/>
          <w:bCs/>
        </w:rPr>
        <w:t>veškerá relevantní osobní doprava</w:t>
      </w:r>
      <w:r w:rsidRPr="001926F2">
        <w:rPr>
          <w:rFonts w:ascii="Arial" w:hAnsi="Arial" w:cs="Arial"/>
        </w:rPr>
        <w:t xml:space="preserve"> </w:t>
      </w:r>
      <w:r w:rsidRPr="00F21A6A">
        <w:rPr>
          <w:rFonts w:ascii="Arial" w:hAnsi="Arial" w:cs="Arial"/>
        </w:rPr>
        <w:t>(</w:t>
      </w:r>
      <w:r w:rsidR="00F21A6A" w:rsidRPr="00F21A6A">
        <w:rPr>
          <w:rFonts w:ascii="Arial" w:hAnsi="Arial" w:cs="Arial"/>
        </w:rPr>
        <w:t>autobusov</w:t>
      </w:r>
      <w:r w:rsidR="00F21A6A">
        <w:rPr>
          <w:rFonts w:ascii="Arial" w:hAnsi="Arial" w:cs="Arial"/>
        </w:rPr>
        <w:t>á</w:t>
      </w:r>
      <w:r w:rsidR="00F21A6A" w:rsidRPr="00F21A6A">
        <w:rPr>
          <w:rFonts w:ascii="Arial" w:hAnsi="Arial" w:cs="Arial"/>
        </w:rPr>
        <w:t>, železniční v dieselové trakci, individuální automobilov</w:t>
      </w:r>
      <w:r w:rsidR="00F21A6A">
        <w:rPr>
          <w:rFonts w:ascii="Arial" w:hAnsi="Arial" w:cs="Arial"/>
        </w:rPr>
        <w:t>á, veřejná v elektrické trakci</w:t>
      </w:r>
      <w:r w:rsidRPr="00F21A6A">
        <w:rPr>
          <w:rFonts w:ascii="Arial" w:hAnsi="Arial" w:cs="Arial"/>
        </w:rPr>
        <w:t xml:space="preserve">, případně i nemotorová) </w:t>
      </w:r>
      <w:r w:rsidRPr="00F21A6A">
        <w:rPr>
          <w:rFonts w:ascii="Arial" w:hAnsi="Arial" w:cs="Arial"/>
          <w:b/>
          <w:bCs/>
        </w:rPr>
        <w:t>směřující</w:t>
      </w:r>
      <w:r w:rsidRPr="00A30457">
        <w:rPr>
          <w:rFonts w:ascii="Arial" w:hAnsi="Arial" w:cs="Arial"/>
          <w:b/>
          <w:bCs/>
        </w:rPr>
        <w:t xml:space="preserve"> z a do nového přestupního terminálu</w:t>
      </w:r>
      <w:r w:rsidRPr="001926F2">
        <w:rPr>
          <w:rFonts w:ascii="Arial" w:hAnsi="Arial" w:cs="Arial"/>
        </w:rPr>
        <w:t xml:space="preserve"> na území obce nebo jinak logicky vymezeném území</w:t>
      </w:r>
      <w:r>
        <w:rPr>
          <w:rFonts w:ascii="Arial" w:hAnsi="Arial" w:cs="Arial"/>
        </w:rPr>
        <w:t xml:space="preserve">, </w:t>
      </w:r>
      <w:r w:rsidRPr="001926F2">
        <w:rPr>
          <w:rFonts w:ascii="Arial" w:hAnsi="Arial" w:cs="Arial"/>
        </w:rPr>
        <w:t>v němž se předpokládá, že vlivem realizace projektu dojde ke změnám dopravních výkonů oproti stavu bez realizace projektu, tj. nulové variantě</w:t>
      </w:r>
      <w:r>
        <w:rPr>
          <w:rFonts w:ascii="Arial" w:hAnsi="Arial" w:cs="Arial"/>
        </w:rPr>
        <w:t>.</w:t>
      </w:r>
    </w:p>
    <w:p w14:paraId="525AD8BE" w14:textId="6E3EBCB5" w:rsidR="001926F2" w:rsidRDefault="001926F2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nulové variantě se uvažuje </w:t>
      </w:r>
      <w:r w:rsidRPr="00A30457">
        <w:rPr>
          <w:rFonts w:ascii="Arial" w:hAnsi="Arial" w:cs="Arial"/>
          <w:b/>
          <w:bCs/>
        </w:rPr>
        <w:t>veškerá relevantní osobní doprava</w:t>
      </w:r>
      <w:r w:rsidRPr="001926F2">
        <w:rPr>
          <w:rFonts w:ascii="Arial" w:hAnsi="Arial" w:cs="Arial"/>
        </w:rPr>
        <w:t xml:space="preserve"> </w:t>
      </w:r>
      <w:r w:rsidR="00F21A6A" w:rsidRPr="00F21A6A">
        <w:rPr>
          <w:rFonts w:ascii="Arial" w:hAnsi="Arial" w:cs="Arial"/>
        </w:rPr>
        <w:t>(autobusov</w:t>
      </w:r>
      <w:r w:rsidR="00F21A6A">
        <w:rPr>
          <w:rFonts w:ascii="Arial" w:hAnsi="Arial" w:cs="Arial"/>
        </w:rPr>
        <w:t>á</w:t>
      </w:r>
      <w:r w:rsidR="00F21A6A" w:rsidRPr="00F21A6A">
        <w:rPr>
          <w:rFonts w:ascii="Arial" w:hAnsi="Arial" w:cs="Arial"/>
        </w:rPr>
        <w:t>, železniční v dieselové trakci, individuální automobilov</w:t>
      </w:r>
      <w:r w:rsidR="00F21A6A">
        <w:rPr>
          <w:rFonts w:ascii="Arial" w:hAnsi="Arial" w:cs="Arial"/>
        </w:rPr>
        <w:t>á, veřejná v elektrické trakci</w:t>
      </w:r>
      <w:r w:rsidR="00F21A6A" w:rsidRPr="00F21A6A">
        <w:rPr>
          <w:rFonts w:ascii="Arial" w:hAnsi="Arial" w:cs="Arial"/>
        </w:rPr>
        <w:t>, případně i nemotorová)</w:t>
      </w:r>
      <w:r w:rsidRPr="001926F2">
        <w:rPr>
          <w:rFonts w:ascii="Arial" w:hAnsi="Arial" w:cs="Arial"/>
        </w:rPr>
        <w:t xml:space="preserve">, </w:t>
      </w:r>
      <w:r w:rsidRPr="00A30457">
        <w:rPr>
          <w:rFonts w:ascii="Arial" w:hAnsi="Arial" w:cs="Arial"/>
          <w:b/>
          <w:bCs/>
        </w:rPr>
        <w:t xml:space="preserve">která bude přímo dotčena – nahrazena nebo modifikována – realizací projektu </w:t>
      </w:r>
      <w:r w:rsidRPr="001926F2">
        <w:rPr>
          <w:rFonts w:ascii="Arial" w:hAnsi="Arial" w:cs="Arial"/>
        </w:rPr>
        <w:t>na území obce nebo jinak logicky vymezeném území (totožném s územím uvažovaným v aktivní variantě)</w:t>
      </w:r>
      <w:r>
        <w:rPr>
          <w:rFonts w:ascii="Arial" w:hAnsi="Arial" w:cs="Arial"/>
        </w:rPr>
        <w:t>.</w:t>
      </w:r>
      <w:r w:rsidR="00B37A65">
        <w:rPr>
          <w:rFonts w:ascii="Arial" w:hAnsi="Arial" w:cs="Arial"/>
        </w:rPr>
        <w:t xml:space="preserve"> Vymezení přímo dotčené osobní dopravy je složitější záležitostí zejména v případě projektu nového přestupního terminálu zajišťujícího přestup mezi více druhy dopravy, resp. zahrnujícího parkovací systém P+R. Vhodné je využití metod dopravního modelování. </w:t>
      </w:r>
    </w:p>
    <w:p w14:paraId="05BB6E69" w14:textId="1D8E5BA1" w:rsidR="0004014F" w:rsidRDefault="0054145E" w:rsidP="0004014F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Dotčené území reálně představují </w:t>
      </w:r>
      <w:r w:rsidR="004B0F7E">
        <w:rPr>
          <w:rFonts w:ascii="Arial" w:hAnsi="Arial" w:cs="Arial"/>
        </w:rPr>
        <w:t xml:space="preserve">dopravní komunikace. </w:t>
      </w:r>
      <w:r w:rsidR="00946264">
        <w:rPr>
          <w:rFonts w:ascii="Arial" w:hAnsi="Arial" w:cs="Arial"/>
        </w:rPr>
        <w:t xml:space="preserve">Do výpočtu vstupuje délka pozemních komunikací nebo drah sloužících osobní dopravě. </w:t>
      </w:r>
      <w:r w:rsidR="0004014F">
        <w:rPr>
          <w:rFonts w:ascii="Arial" w:hAnsi="Arial" w:cs="Arial"/>
        </w:rPr>
        <w:t>Pokud se intenzit</w:t>
      </w:r>
      <w:r w:rsidR="0016516E">
        <w:rPr>
          <w:rFonts w:ascii="Arial" w:hAnsi="Arial" w:cs="Arial"/>
        </w:rPr>
        <w:t>y/dopravní výkony</w:t>
      </w:r>
      <w:r w:rsidR="0004014F">
        <w:rPr>
          <w:rFonts w:ascii="Arial" w:hAnsi="Arial" w:cs="Arial"/>
        </w:rPr>
        <w:t xml:space="preserve"> dotčené osobní dopravy na pozemní komunikaci nebo dráze v jejím průběhu </w:t>
      </w:r>
      <w:proofErr w:type="gramStart"/>
      <w:r w:rsidR="0004014F">
        <w:rPr>
          <w:rFonts w:ascii="Arial" w:hAnsi="Arial" w:cs="Arial"/>
        </w:rPr>
        <w:t>liší</w:t>
      </w:r>
      <w:proofErr w:type="gramEnd"/>
      <w:r w:rsidR="0004014F">
        <w:rPr>
          <w:rFonts w:ascii="Arial" w:hAnsi="Arial" w:cs="Arial"/>
        </w:rPr>
        <w:t xml:space="preserve"> (což lze v mnoha případech očekávat), je nutné pozemní komunikaci nebo dráhu rozdělit na příslušné dílčí úseky.</w:t>
      </w:r>
      <w:r w:rsidR="004B0F7E">
        <w:rPr>
          <w:rFonts w:ascii="Arial" w:hAnsi="Arial" w:cs="Arial"/>
        </w:rPr>
        <w:t xml:space="preserve"> Vzhledem k charakteru projektu nikdy nebudou všechny dílčí úseky v aktivní a nulové variantě stejné.</w:t>
      </w:r>
    </w:p>
    <w:p w14:paraId="795DDFF7" w14:textId="5649218A" w:rsidR="003569C9" w:rsidRPr="002F4BA1" w:rsidRDefault="003569C9" w:rsidP="003569C9">
      <w:pPr>
        <w:spacing w:before="120" w:after="120"/>
        <w:ind w:left="530" w:right="170"/>
        <w:jc w:val="both"/>
        <w:rPr>
          <w:rFonts w:ascii="Arial" w:hAnsi="Arial" w:cs="Arial"/>
        </w:rPr>
      </w:pPr>
      <w:r w:rsidRPr="003569C9">
        <w:rPr>
          <w:rFonts w:ascii="Arial" w:hAnsi="Arial" w:cs="Arial"/>
        </w:rPr>
        <w:t xml:space="preserve">V případě, že </w:t>
      </w:r>
      <w:r>
        <w:rPr>
          <w:rFonts w:ascii="Arial" w:hAnsi="Arial" w:cs="Arial"/>
        </w:rPr>
        <w:t xml:space="preserve">v zázemí přestupního terminálu (provozních budovách) je nebo bude umístěn zdroj emisí nebo spotřebovávána elektřina k provozu, může zpracovatel provést </w:t>
      </w:r>
      <w:r w:rsidR="00836716">
        <w:rPr>
          <w:rFonts w:ascii="Arial" w:hAnsi="Arial" w:cs="Arial"/>
        </w:rPr>
        <w:t>individuální</w:t>
      </w:r>
      <w:r w:rsidRPr="003569C9">
        <w:rPr>
          <w:rFonts w:ascii="Arial" w:hAnsi="Arial" w:cs="Arial"/>
        </w:rPr>
        <w:t xml:space="preserve"> výpočet emisí </w:t>
      </w:r>
      <w:r>
        <w:rPr>
          <w:rFonts w:ascii="Arial" w:hAnsi="Arial" w:cs="Arial"/>
        </w:rPr>
        <w:t>skleníkových plynů na základě příslušných parametrů konkrétních typů zařízení. T</w:t>
      </w:r>
      <w:r w:rsidRPr="003569C9">
        <w:rPr>
          <w:rFonts w:ascii="Arial" w:hAnsi="Arial" w:cs="Arial"/>
        </w:rPr>
        <w:t xml:space="preserve">yto </w:t>
      </w:r>
      <w:r w:rsidR="00311B59">
        <w:rPr>
          <w:rFonts w:ascii="Arial" w:hAnsi="Arial" w:cs="Arial"/>
        </w:rPr>
        <w:t xml:space="preserve">přímé nebo nepřímé </w:t>
      </w:r>
      <w:r w:rsidRPr="003569C9">
        <w:rPr>
          <w:rFonts w:ascii="Arial" w:hAnsi="Arial" w:cs="Arial"/>
        </w:rPr>
        <w:t xml:space="preserve">emise </w:t>
      </w:r>
      <w:r w:rsidR="00311B59">
        <w:rPr>
          <w:rFonts w:ascii="Arial" w:hAnsi="Arial" w:cs="Arial"/>
        </w:rPr>
        <w:t xml:space="preserve">skleníkových plynů pak přičte </w:t>
      </w:r>
      <w:r w:rsidRPr="003569C9">
        <w:rPr>
          <w:rFonts w:ascii="Arial" w:hAnsi="Arial" w:cs="Arial"/>
        </w:rPr>
        <w:t xml:space="preserve">k emisím z </w:t>
      </w:r>
      <w:r w:rsidR="00836716">
        <w:rPr>
          <w:rFonts w:ascii="Arial" w:hAnsi="Arial" w:cs="Arial"/>
        </w:rPr>
        <w:t>dotčené osobní dopravy dle této metodiky (zvlášť v aktivní a nulové variantě)</w:t>
      </w:r>
      <w:r w:rsidRPr="003569C9">
        <w:rPr>
          <w:rFonts w:ascii="Arial" w:hAnsi="Arial" w:cs="Arial"/>
        </w:rPr>
        <w:t>.</w:t>
      </w:r>
    </w:p>
    <w:p w14:paraId="02876061" w14:textId="7104CF14" w:rsidR="009F2C34" w:rsidRPr="002F4BA1" w:rsidRDefault="001C73CF" w:rsidP="009F2C34">
      <w:pPr>
        <w:numPr>
          <w:ilvl w:val="0"/>
          <w:numId w:val="50"/>
        </w:numPr>
        <w:ind w:left="52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Zdrojem údajů o </w:t>
      </w:r>
      <w:r w:rsidR="00570BF2">
        <w:rPr>
          <w:rFonts w:ascii="Arial" w:hAnsi="Arial" w:cs="Arial"/>
        </w:rPr>
        <w:t xml:space="preserve">stávající </w:t>
      </w:r>
      <w:r>
        <w:rPr>
          <w:rFonts w:ascii="Arial" w:hAnsi="Arial" w:cs="Arial"/>
        </w:rPr>
        <w:t xml:space="preserve">intenzitě </w:t>
      </w:r>
      <w:r w:rsidR="0054145E">
        <w:rPr>
          <w:rFonts w:ascii="Arial" w:hAnsi="Arial" w:cs="Arial"/>
        </w:rPr>
        <w:t xml:space="preserve">dotčené </w:t>
      </w:r>
      <w:r>
        <w:rPr>
          <w:rFonts w:ascii="Arial" w:hAnsi="Arial" w:cs="Arial"/>
        </w:rPr>
        <w:t>osobní dopravy jsou</w:t>
      </w:r>
      <w:r w:rsidR="00570BF2">
        <w:rPr>
          <w:rFonts w:ascii="Arial" w:hAnsi="Arial" w:cs="Arial"/>
        </w:rPr>
        <w:t xml:space="preserve"> zejména jízdní řády a dopravní průzkumy. Do výpočtu však vstupuje intenzita </w:t>
      </w:r>
      <w:r w:rsidR="0054145E">
        <w:rPr>
          <w:rFonts w:ascii="Arial" w:hAnsi="Arial" w:cs="Arial"/>
        </w:rPr>
        <w:t xml:space="preserve">dotčené </w:t>
      </w:r>
      <w:r w:rsidR="00570BF2">
        <w:rPr>
          <w:rFonts w:ascii="Arial" w:hAnsi="Arial" w:cs="Arial"/>
        </w:rPr>
        <w:t>osobní dopravy za období 1. roku udržitelnosti projektu, a proto je nezbytné využití dopravního modelu</w:t>
      </w:r>
      <w:r w:rsidR="00820BDA">
        <w:rPr>
          <w:rFonts w:ascii="Arial" w:hAnsi="Arial" w:cs="Arial"/>
        </w:rPr>
        <w:t xml:space="preserve"> nebo jiného </w:t>
      </w:r>
      <w:r w:rsidR="00570BF2">
        <w:rPr>
          <w:rFonts w:ascii="Arial" w:hAnsi="Arial" w:cs="Arial"/>
        </w:rPr>
        <w:t>kvalifikovan</w:t>
      </w:r>
      <w:r w:rsidR="00820BDA">
        <w:rPr>
          <w:rFonts w:ascii="Arial" w:hAnsi="Arial" w:cs="Arial"/>
        </w:rPr>
        <w:t>ého</w:t>
      </w:r>
      <w:r w:rsidR="00570BF2">
        <w:rPr>
          <w:rFonts w:ascii="Arial" w:hAnsi="Arial" w:cs="Arial"/>
        </w:rPr>
        <w:t xml:space="preserve"> odhad</w:t>
      </w:r>
      <w:r w:rsidR="00820BDA">
        <w:rPr>
          <w:rFonts w:ascii="Arial" w:hAnsi="Arial" w:cs="Arial"/>
        </w:rPr>
        <w:t>u</w:t>
      </w:r>
      <w:r w:rsidR="00DA6305">
        <w:rPr>
          <w:rFonts w:ascii="Arial" w:hAnsi="Arial" w:cs="Arial"/>
        </w:rPr>
        <w:t>,</w:t>
      </w:r>
      <w:r w:rsidR="0054145E">
        <w:rPr>
          <w:rFonts w:ascii="Arial" w:hAnsi="Arial" w:cs="Arial"/>
        </w:rPr>
        <w:t xml:space="preserve"> </w:t>
      </w:r>
      <w:r w:rsidR="00820BDA">
        <w:rPr>
          <w:rFonts w:ascii="Arial" w:hAnsi="Arial" w:cs="Arial"/>
        </w:rPr>
        <w:t>který stanoví intenzity</w:t>
      </w:r>
      <w:r w:rsidR="0054145E">
        <w:rPr>
          <w:rFonts w:ascii="Arial" w:hAnsi="Arial" w:cs="Arial"/>
        </w:rPr>
        <w:t xml:space="preserve">/dopravní výkony </w:t>
      </w:r>
      <w:r w:rsidR="00DA6305">
        <w:rPr>
          <w:rFonts w:ascii="Arial" w:hAnsi="Arial" w:cs="Arial"/>
        </w:rPr>
        <w:t xml:space="preserve">odděleně pro </w:t>
      </w:r>
      <w:r w:rsidR="0054145E">
        <w:rPr>
          <w:rFonts w:ascii="Arial" w:hAnsi="Arial" w:cs="Arial"/>
        </w:rPr>
        <w:t>aktivní variant</w:t>
      </w:r>
      <w:r w:rsidR="00DA6305">
        <w:rPr>
          <w:rFonts w:ascii="Arial" w:hAnsi="Arial" w:cs="Arial"/>
        </w:rPr>
        <w:t>u a pro</w:t>
      </w:r>
      <w:r w:rsidR="0054145E">
        <w:rPr>
          <w:rFonts w:ascii="Arial" w:hAnsi="Arial" w:cs="Arial"/>
        </w:rPr>
        <w:t> nulov</w:t>
      </w:r>
      <w:r w:rsidR="00DA6305">
        <w:rPr>
          <w:rFonts w:ascii="Arial" w:hAnsi="Arial" w:cs="Arial"/>
        </w:rPr>
        <w:t>ou</w:t>
      </w:r>
      <w:r w:rsidR="0054145E">
        <w:rPr>
          <w:rFonts w:ascii="Arial" w:hAnsi="Arial" w:cs="Arial"/>
        </w:rPr>
        <w:t xml:space="preserve"> variant</w:t>
      </w:r>
      <w:r w:rsidR="00DA6305">
        <w:rPr>
          <w:rFonts w:ascii="Arial" w:hAnsi="Arial" w:cs="Arial"/>
        </w:rPr>
        <w:t>u.</w:t>
      </w:r>
      <w:r w:rsidR="0054145E">
        <w:rPr>
          <w:rFonts w:ascii="Arial" w:hAnsi="Arial" w:cs="Arial"/>
        </w:rPr>
        <w:t xml:space="preserve"> </w:t>
      </w:r>
    </w:p>
    <w:p w14:paraId="2EA3DA83" w14:textId="09ECB1BE" w:rsidR="00DF6E93" w:rsidRDefault="00DF6E93" w:rsidP="001501FD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Všem konečně vymezeným úsekům </w:t>
      </w:r>
      <w:r w:rsidR="0016516E">
        <w:rPr>
          <w:rFonts w:ascii="Arial" w:hAnsi="Arial" w:cs="Arial"/>
        </w:rPr>
        <w:t xml:space="preserve">tedy </w:t>
      </w:r>
      <w:r w:rsidR="00265067">
        <w:rPr>
          <w:rFonts w:ascii="Arial" w:hAnsi="Arial" w:cs="Arial"/>
        </w:rPr>
        <w:t xml:space="preserve">zpracovatel přiřadí </w:t>
      </w:r>
      <w:r w:rsidR="00663A56">
        <w:rPr>
          <w:rFonts w:ascii="Arial" w:hAnsi="Arial" w:cs="Arial"/>
        </w:rPr>
        <w:t>budoucí hodnoty intenzit</w:t>
      </w:r>
      <w:r w:rsidR="00E40E44">
        <w:rPr>
          <w:rFonts w:ascii="Arial" w:hAnsi="Arial" w:cs="Arial"/>
        </w:rPr>
        <w:t>/dopravních výkonů</w:t>
      </w:r>
      <w:r w:rsidR="00663A56">
        <w:rPr>
          <w:rFonts w:ascii="Arial" w:hAnsi="Arial" w:cs="Arial"/>
        </w:rPr>
        <w:t xml:space="preserve"> </w:t>
      </w:r>
      <w:r w:rsidR="0016516E">
        <w:rPr>
          <w:rFonts w:ascii="Arial" w:hAnsi="Arial" w:cs="Arial"/>
        </w:rPr>
        <w:t xml:space="preserve">dotčené osobní </w:t>
      </w:r>
      <w:r w:rsidR="00663A56">
        <w:rPr>
          <w:rFonts w:ascii="Arial" w:hAnsi="Arial" w:cs="Arial"/>
        </w:rPr>
        <w:t>dopravy</w:t>
      </w:r>
      <w:r w:rsidR="00A30457">
        <w:rPr>
          <w:rFonts w:ascii="Arial" w:hAnsi="Arial" w:cs="Arial"/>
        </w:rPr>
        <w:t>. V každém úseku se samozřejmě uvažují jen relevantní druhy osobní dopravy</w:t>
      </w:r>
      <w:r w:rsidR="007D04BA">
        <w:rPr>
          <w:rFonts w:ascii="Arial" w:hAnsi="Arial" w:cs="Arial"/>
        </w:rPr>
        <w:t>.</w:t>
      </w:r>
      <w:r w:rsidR="00663A56">
        <w:rPr>
          <w:rFonts w:ascii="Arial" w:hAnsi="Arial" w:cs="Arial"/>
        </w:rPr>
        <w:t xml:space="preserve"> </w:t>
      </w:r>
    </w:p>
    <w:p w14:paraId="6D6508DE" w14:textId="525C786E" w:rsidR="001D24D1" w:rsidRDefault="003E3C16" w:rsidP="001D24D1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3E3C16">
        <w:rPr>
          <w:rFonts w:ascii="Arial" w:hAnsi="Arial" w:cs="Arial"/>
        </w:rPr>
        <w:t>Vzorc</w:t>
      </w:r>
      <w:r w:rsidR="007570CE">
        <w:rPr>
          <w:rFonts w:ascii="Arial" w:hAnsi="Arial" w:cs="Arial"/>
        </w:rPr>
        <w:t>e</w:t>
      </w:r>
      <w:r w:rsidRPr="003E3C16">
        <w:rPr>
          <w:rFonts w:ascii="Arial" w:hAnsi="Arial" w:cs="Arial"/>
        </w:rPr>
        <w:t xml:space="preserve"> pro výpočet </w:t>
      </w:r>
      <w:r>
        <w:rPr>
          <w:rFonts w:ascii="Arial" w:hAnsi="Arial" w:cs="Arial"/>
        </w:rPr>
        <w:t>emise CO</w:t>
      </w:r>
      <w:r w:rsidRPr="001501F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ekvivalentu</w:t>
      </w:r>
      <w:r w:rsidR="00363CD8">
        <w:rPr>
          <w:rFonts w:ascii="Arial" w:hAnsi="Arial" w:cs="Arial"/>
        </w:rPr>
        <w:t xml:space="preserve"> z</w:t>
      </w:r>
      <w:r w:rsidR="007570CE">
        <w:rPr>
          <w:rFonts w:ascii="Arial" w:hAnsi="Arial" w:cs="Arial"/>
        </w:rPr>
        <w:t> dotčené osobní dopravy na</w:t>
      </w:r>
      <w:r w:rsidR="00363CD8">
        <w:rPr>
          <w:rFonts w:ascii="Arial" w:hAnsi="Arial" w:cs="Arial"/>
        </w:rPr>
        <w:t> jednotlivé</w:t>
      </w:r>
      <w:r w:rsidR="007570CE">
        <w:rPr>
          <w:rFonts w:ascii="Arial" w:hAnsi="Arial" w:cs="Arial"/>
        </w:rPr>
        <w:t>m</w:t>
      </w:r>
      <w:r w:rsidR="00363CD8">
        <w:rPr>
          <w:rFonts w:ascii="Arial" w:hAnsi="Arial" w:cs="Arial"/>
        </w:rPr>
        <w:t xml:space="preserve"> úseku komunikace</w:t>
      </w:r>
      <w:r>
        <w:rPr>
          <w:rFonts w:ascii="Arial" w:hAnsi="Arial" w:cs="Arial"/>
        </w:rPr>
        <w:t xml:space="preserve"> j</w:t>
      </w:r>
      <w:r w:rsidR="007570CE">
        <w:rPr>
          <w:rFonts w:ascii="Arial" w:hAnsi="Arial" w:cs="Arial"/>
        </w:rPr>
        <w:t>sou</w:t>
      </w:r>
      <w:r>
        <w:rPr>
          <w:rFonts w:ascii="Arial" w:hAnsi="Arial" w:cs="Arial"/>
        </w:rPr>
        <w:t xml:space="preserve"> </w:t>
      </w:r>
      <w:r w:rsidRPr="00870CA4">
        <w:rPr>
          <w:rFonts w:ascii="Arial" w:hAnsi="Arial" w:cs="Arial"/>
        </w:rPr>
        <w:t>následující</w:t>
      </w:r>
      <w:r>
        <w:rPr>
          <w:rFonts w:ascii="Arial" w:hAnsi="Arial" w:cs="Arial"/>
        </w:rPr>
        <w:t>:</w:t>
      </w:r>
    </w:p>
    <w:p w14:paraId="122176BD" w14:textId="17180B94" w:rsidR="007570CE" w:rsidRPr="002D0C85" w:rsidRDefault="007570CE" w:rsidP="00453ACD">
      <w:pPr>
        <w:numPr>
          <w:ilvl w:val="1"/>
          <w:numId w:val="50"/>
        </w:numPr>
        <w:spacing w:before="120" w:after="120"/>
        <w:ind w:left="993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</w:t>
      </w:r>
      <w:r w:rsidR="00B541D0">
        <w:rPr>
          <w:rFonts w:ascii="Arial" w:hAnsi="Arial" w:cs="Arial"/>
        </w:rPr>
        <w:t>autobusovou dopravu,</w:t>
      </w:r>
      <w:r w:rsidR="00453ACD">
        <w:rPr>
          <w:rFonts w:ascii="Arial" w:hAnsi="Arial" w:cs="Arial"/>
        </w:rPr>
        <w:t xml:space="preserve"> </w:t>
      </w:r>
      <w:r w:rsidR="002D0C85" w:rsidRPr="002D0C85">
        <w:rPr>
          <w:rFonts w:ascii="Arial" w:hAnsi="Arial" w:cs="Arial"/>
        </w:rPr>
        <w:t>železniční dopravu v dieselové trakci</w:t>
      </w:r>
      <w:r w:rsidR="002D0C85">
        <w:rPr>
          <w:rFonts w:ascii="Arial" w:hAnsi="Arial" w:cs="Arial"/>
        </w:rPr>
        <w:t xml:space="preserve">, </w:t>
      </w:r>
      <w:r w:rsidR="007A669A">
        <w:rPr>
          <w:rFonts w:ascii="Arial" w:hAnsi="Arial" w:cs="Arial"/>
        </w:rPr>
        <w:t>individuální automobilovou dopravu</w:t>
      </w:r>
      <w:r w:rsidR="00453ACD" w:rsidRPr="002D0C85">
        <w:rPr>
          <w:rFonts w:ascii="Arial" w:hAnsi="Arial" w:cs="Arial"/>
        </w:rPr>
        <w:t>:</w:t>
      </w:r>
    </w:p>
    <w:p w14:paraId="0E6C202C" w14:textId="366FF227" w:rsidR="00B12CCE" w:rsidRPr="001D24D1" w:rsidRDefault="00B12CCE" w:rsidP="00B12CCE">
      <w:pPr>
        <w:spacing w:before="120" w:after="120"/>
        <w:ind w:left="530" w:right="170"/>
        <w:jc w:val="center"/>
        <w:rPr>
          <w:rFonts w:ascii="Arial" w:hAnsi="Arial" w:cs="Arial"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gramStart"/>
      <w:r w:rsidRPr="001501FD">
        <w:rPr>
          <w:rFonts w:ascii="Arial" w:hAnsi="Arial" w:cs="Arial"/>
          <w:b/>
          <w:bCs/>
          <w:vertAlign w:val="subscript"/>
        </w:rPr>
        <w:t>j,kat</w:t>
      </w:r>
      <w:proofErr w:type="gram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 xml:space="preserve"> = EF</w:t>
      </w:r>
      <w:r w:rsidR="004D6026">
        <w:rPr>
          <w:rFonts w:ascii="Arial" w:hAnsi="Arial" w:cs="Arial"/>
          <w:b/>
          <w:bCs/>
          <w:vertAlign w:val="subscript"/>
        </w:rPr>
        <w:t>kat</w:t>
      </w:r>
      <w:r w:rsidRPr="001501FD">
        <w:rPr>
          <w:rFonts w:ascii="Arial" w:hAnsi="Arial" w:cs="Arial"/>
          <w:b/>
          <w:bCs/>
        </w:rPr>
        <w:t xml:space="preserve"> × DI</w:t>
      </w:r>
      <w:r w:rsidRPr="001501FD">
        <w:rPr>
          <w:rFonts w:ascii="Arial" w:hAnsi="Arial" w:cs="Arial"/>
          <w:b/>
          <w:bCs/>
          <w:vertAlign w:val="subscript"/>
        </w:rPr>
        <w:t>j,kat</w:t>
      </w:r>
      <w:r w:rsidRPr="001501FD">
        <w:rPr>
          <w:rFonts w:ascii="Arial" w:hAnsi="Arial" w:cs="Arial"/>
          <w:b/>
          <w:bCs/>
        </w:rPr>
        <w:t xml:space="preserve"> × Délka</w:t>
      </w:r>
      <w:r w:rsidRPr="001501FD">
        <w:rPr>
          <w:rFonts w:ascii="Arial" w:hAnsi="Arial" w:cs="Arial"/>
          <w:b/>
          <w:bCs/>
          <w:vertAlign w:val="subscript"/>
        </w:rPr>
        <w:t>j</w:t>
      </w:r>
      <w:r w:rsidRPr="001501FD">
        <w:rPr>
          <w:rFonts w:ascii="Arial" w:hAnsi="Arial" w:cs="Arial"/>
          <w:b/>
          <w:bCs/>
        </w:rPr>
        <w:t xml:space="preserve"> × 365 / 1 000 000</w:t>
      </w:r>
    </w:p>
    <w:p w14:paraId="651AE4DD" w14:textId="77777777" w:rsidR="00B12CCE" w:rsidRPr="001D24D1" w:rsidRDefault="00B12CCE" w:rsidP="00B12CCE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 xml:space="preserve">kde: </w:t>
      </w:r>
    </w:p>
    <w:p w14:paraId="53CAEAEB" w14:textId="77777777" w:rsidR="00B12CCE" w:rsidRPr="001D24D1" w:rsidRDefault="00B12CCE" w:rsidP="00B12CCE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2e(</w:t>
      </w:r>
      <w:proofErr w:type="gramStart"/>
      <w:r w:rsidRPr="001501FD">
        <w:rPr>
          <w:rFonts w:ascii="Arial" w:hAnsi="Arial" w:cs="Arial"/>
          <w:vertAlign w:val="subscript"/>
        </w:rPr>
        <w:t>j,kat</w:t>
      </w:r>
      <w:proofErr w:type="gramEnd"/>
      <w:r w:rsidRPr="001501FD">
        <w:rPr>
          <w:rFonts w:ascii="Arial" w:hAnsi="Arial" w:cs="Arial"/>
          <w:vertAlign w:val="subscript"/>
        </w:rPr>
        <w:t>)</w:t>
      </w:r>
      <w:r w:rsidRPr="001D24D1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1D24D1">
        <w:rPr>
          <w:rFonts w:ascii="Arial" w:hAnsi="Arial" w:cs="Arial"/>
        </w:rPr>
        <w:t xml:space="preserve"> ekvivalentu pro daný úsek komunikace a kategorii vozidel (t/rok)</w:t>
      </w:r>
    </w:p>
    <w:p w14:paraId="2AA32425" w14:textId="77777777" w:rsidR="00B12CCE" w:rsidRPr="001D24D1" w:rsidRDefault="00B12CCE" w:rsidP="00B12CCE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j = pořadové číslo úseku komunikační sítě</w:t>
      </w:r>
    </w:p>
    <w:p w14:paraId="4FAE7310" w14:textId="0DA27F19" w:rsidR="00B12CCE" w:rsidRPr="001D24D1" w:rsidRDefault="00B12CCE" w:rsidP="00B12CCE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kat = kategorie vozidel (</w:t>
      </w:r>
      <w:r w:rsidR="00870CA4">
        <w:rPr>
          <w:rFonts w:ascii="Arial" w:hAnsi="Arial" w:cs="Arial"/>
        </w:rPr>
        <w:t>autobusy</w:t>
      </w:r>
      <w:r w:rsidR="007A669A">
        <w:rPr>
          <w:rFonts w:ascii="Arial" w:hAnsi="Arial" w:cs="Arial"/>
        </w:rPr>
        <w:t>,</w:t>
      </w:r>
      <w:r w:rsidR="00870CA4">
        <w:rPr>
          <w:rFonts w:ascii="Arial" w:hAnsi="Arial" w:cs="Arial"/>
        </w:rPr>
        <w:t xml:space="preserve"> </w:t>
      </w:r>
      <w:r w:rsidR="005E29B2">
        <w:rPr>
          <w:rFonts w:ascii="Arial" w:hAnsi="Arial" w:cs="Arial"/>
        </w:rPr>
        <w:t xml:space="preserve">motorové osobní vlaky, </w:t>
      </w:r>
      <w:r w:rsidRPr="007A669A">
        <w:rPr>
          <w:rFonts w:ascii="Arial" w:hAnsi="Arial" w:cs="Arial"/>
        </w:rPr>
        <w:t>osobní automobily</w:t>
      </w:r>
      <w:r w:rsidRPr="001D24D1">
        <w:rPr>
          <w:rFonts w:ascii="Arial" w:hAnsi="Arial" w:cs="Arial"/>
        </w:rPr>
        <w:t>)</w:t>
      </w:r>
    </w:p>
    <w:p w14:paraId="511B7BC2" w14:textId="2550DC15" w:rsidR="00B541D0" w:rsidRPr="001D24D1" w:rsidRDefault="00B541D0" w:rsidP="00B541D0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gramStart"/>
      <w:r w:rsidRPr="001D24D1">
        <w:rPr>
          <w:rFonts w:ascii="Arial" w:hAnsi="Arial" w:cs="Arial"/>
        </w:rPr>
        <w:t>DI</w:t>
      </w:r>
      <w:r w:rsidRPr="001501FD">
        <w:rPr>
          <w:rFonts w:ascii="Arial" w:hAnsi="Arial" w:cs="Arial"/>
          <w:vertAlign w:val="subscript"/>
        </w:rPr>
        <w:t>j,kat</w:t>
      </w:r>
      <w:proofErr w:type="gramEnd"/>
      <w:r w:rsidRPr="001D24D1">
        <w:rPr>
          <w:rFonts w:ascii="Arial" w:hAnsi="Arial" w:cs="Arial"/>
        </w:rPr>
        <w:t xml:space="preserve"> = odhadovan</w:t>
      </w:r>
      <w:r w:rsidR="004D6026">
        <w:rPr>
          <w:rFonts w:ascii="Arial" w:hAnsi="Arial" w:cs="Arial"/>
        </w:rPr>
        <w:t>á</w:t>
      </w:r>
      <w:r w:rsidRPr="001D24D1">
        <w:rPr>
          <w:rFonts w:ascii="Arial" w:hAnsi="Arial" w:cs="Arial"/>
        </w:rPr>
        <w:t xml:space="preserve"> </w:t>
      </w:r>
      <w:r w:rsidR="004D6026">
        <w:rPr>
          <w:rFonts w:ascii="Arial" w:hAnsi="Arial" w:cs="Arial"/>
        </w:rPr>
        <w:t>i</w:t>
      </w:r>
      <w:r w:rsidRPr="001D24D1">
        <w:rPr>
          <w:rFonts w:ascii="Arial" w:hAnsi="Arial" w:cs="Arial"/>
        </w:rPr>
        <w:t>ntenzit</w:t>
      </w:r>
      <w:r w:rsidR="004D6026">
        <w:rPr>
          <w:rFonts w:ascii="Arial" w:hAnsi="Arial" w:cs="Arial"/>
        </w:rPr>
        <w:t>a</w:t>
      </w:r>
      <w:r w:rsidRPr="001D24D1">
        <w:rPr>
          <w:rFonts w:ascii="Arial" w:hAnsi="Arial" w:cs="Arial"/>
        </w:rPr>
        <w:t xml:space="preserve"> dopravy příslušné kategorie vozidel na úseku j (počet vozidel za 24 hodin)</w:t>
      </w:r>
    </w:p>
    <w:p w14:paraId="2667A2CF" w14:textId="77777777" w:rsidR="00B541D0" w:rsidRPr="001D24D1" w:rsidRDefault="00B541D0" w:rsidP="00B541D0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Délka</w:t>
      </w:r>
      <w:r w:rsidRPr="001501FD">
        <w:rPr>
          <w:rFonts w:ascii="Arial" w:hAnsi="Arial" w:cs="Arial"/>
          <w:vertAlign w:val="subscript"/>
        </w:rPr>
        <w:t>j</w:t>
      </w:r>
      <w:r w:rsidRPr="001D24D1">
        <w:rPr>
          <w:rFonts w:ascii="Arial" w:hAnsi="Arial" w:cs="Arial"/>
        </w:rPr>
        <w:t xml:space="preserve"> = délka úseku j (km)</w:t>
      </w:r>
    </w:p>
    <w:p w14:paraId="52B2D671" w14:textId="6B3EF180" w:rsidR="007570CE" w:rsidRDefault="00B12CCE" w:rsidP="007570CE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EF</w:t>
      </w:r>
      <w:r w:rsidR="004D6026">
        <w:rPr>
          <w:rFonts w:ascii="Arial" w:hAnsi="Arial" w:cs="Arial"/>
          <w:vertAlign w:val="subscript"/>
        </w:rPr>
        <w:t>kat</w:t>
      </w:r>
      <w:r w:rsidRPr="001D24D1">
        <w:rPr>
          <w:rFonts w:ascii="Arial" w:hAnsi="Arial" w:cs="Arial"/>
        </w:rPr>
        <w:t xml:space="preserve"> = emisní faktor pro </w:t>
      </w:r>
      <w:r w:rsidR="004D6026">
        <w:rPr>
          <w:rFonts w:ascii="Arial" w:hAnsi="Arial" w:cs="Arial"/>
        </w:rPr>
        <w:t>danou ka</w:t>
      </w:r>
      <w:r w:rsidRPr="001D24D1">
        <w:rPr>
          <w:rFonts w:ascii="Arial" w:hAnsi="Arial" w:cs="Arial"/>
        </w:rPr>
        <w:t xml:space="preserve">tegorii vozidel dle </w:t>
      </w:r>
      <w:r>
        <w:rPr>
          <w:rFonts w:ascii="Arial" w:hAnsi="Arial" w:cs="Arial"/>
        </w:rPr>
        <w:t xml:space="preserve">následující </w:t>
      </w:r>
      <w:r w:rsidRPr="001D24D1">
        <w:rPr>
          <w:rFonts w:ascii="Arial" w:hAnsi="Arial" w:cs="Arial"/>
        </w:rPr>
        <w:t>tabulky</w:t>
      </w:r>
      <w:r>
        <w:rPr>
          <w:rFonts w:ascii="Arial" w:hAnsi="Arial" w:cs="Arial"/>
        </w:rPr>
        <w:t xml:space="preserve"> </w:t>
      </w:r>
      <w:r w:rsidRPr="001D24D1">
        <w:rPr>
          <w:rFonts w:ascii="Arial" w:hAnsi="Arial" w:cs="Arial"/>
        </w:rPr>
        <w:t>(g/vozokm)</w:t>
      </w:r>
      <w:r>
        <w:rPr>
          <w:rFonts w:ascii="Arial" w:hAnsi="Arial" w:cs="Arial"/>
        </w:rPr>
        <w:t>:</w:t>
      </w:r>
      <w:r w:rsidR="007570CE">
        <w:rPr>
          <w:rFonts w:ascii="Arial" w:hAnsi="Arial" w:cs="Arial"/>
        </w:rPr>
        <w:t xml:space="preserve"> </w:t>
      </w:r>
    </w:p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</w:tblGrid>
      <w:tr w:rsidR="005C164A" w14:paraId="4C5C11BA" w14:textId="77777777" w:rsidTr="00EE35AA">
        <w:trPr>
          <w:trHeight w:val="856"/>
        </w:trPr>
        <w:tc>
          <w:tcPr>
            <w:tcW w:w="4182" w:type="dxa"/>
            <w:gridSpan w:val="2"/>
            <w:shd w:val="clear" w:color="auto" w:fill="C0D7F1" w:themeFill="text2" w:themeFillTint="33"/>
            <w:vAlign w:val="center"/>
          </w:tcPr>
          <w:p w14:paraId="02F2F52A" w14:textId="5F3F1B75" w:rsidR="005C164A" w:rsidRPr="001501FD" w:rsidRDefault="005C164A" w:rsidP="005C164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Kategorie vozidel – základní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3DB409D9" w14:textId="25FDA558" w:rsidR="005C164A" w:rsidRPr="001501FD" w:rsidRDefault="005C164A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Jednotka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3EEAAF83" w14:textId="54E33B9D" w:rsidR="005C164A" w:rsidRPr="001501FD" w:rsidRDefault="005C164A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Emisní faktor</w:t>
            </w:r>
          </w:p>
        </w:tc>
      </w:tr>
      <w:tr w:rsidR="005C164A" w14:paraId="20BE3303" w14:textId="77777777" w:rsidTr="0067399F">
        <w:trPr>
          <w:trHeight w:val="460"/>
        </w:trPr>
        <w:tc>
          <w:tcPr>
            <w:tcW w:w="4182" w:type="dxa"/>
            <w:gridSpan w:val="2"/>
            <w:shd w:val="clear" w:color="auto" w:fill="auto"/>
            <w:vAlign w:val="center"/>
          </w:tcPr>
          <w:p w14:paraId="362A152B" w14:textId="3CED4CE2" w:rsidR="005C164A" w:rsidRPr="001501FD" w:rsidRDefault="005C164A" w:rsidP="005C16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Autobusy</w:t>
            </w:r>
          </w:p>
        </w:tc>
        <w:tc>
          <w:tcPr>
            <w:tcW w:w="2091" w:type="dxa"/>
            <w:vAlign w:val="center"/>
          </w:tcPr>
          <w:p w14:paraId="077AD6E2" w14:textId="71A22D0E" w:rsidR="005C164A" w:rsidRPr="001501FD" w:rsidRDefault="005C164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0E9261CA" w14:textId="5BF58667" w:rsidR="005C164A" w:rsidRPr="001501FD" w:rsidRDefault="005C164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844,5</w:t>
            </w:r>
          </w:p>
        </w:tc>
      </w:tr>
      <w:tr w:rsidR="002D0C85" w14:paraId="1ECE80E6" w14:textId="77777777" w:rsidTr="0067399F">
        <w:trPr>
          <w:trHeight w:val="460"/>
        </w:trPr>
        <w:tc>
          <w:tcPr>
            <w:tcW w:w="4182" w:type="dxa"/>
            <w:gridSpan w:val="2"/>
            <w:shd w:val="clear" w:color="auto" w:fill="auto"/>
            <w:vAlign w:val="center"/>
          </w:tcPr>
          <w:p w14:paraId="5D9D93A7" w14:textId="38F67822" w:rsidR="002D0C85" w:rsidRDefault="002D0C85" w:rsidP="005C16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Motorov</w:t>
            </w:r>
            <w:r w:rsidR="00092106">
              <w:rPr>
                <w:rFonts w:ascii="Arial" w:hAnsi="Arial" w:cs="Arial"/>
                <w:sz w:val="20"/>
                <w:szCs w:val="20"/>
              </w:rPr>
              <w:t>é</w:t>
            </w:r>
            <w:r>
              <w:rPr>
                <w:rFonts w:ascii="Arial" w:hAnsi="Arial" w:cs="Arial"/>
                <w:sz w:val="20"/>
                <w:szCs w:val="20"/>
              </w:rPr>
              <w:t xml:space="preserve"> osobní vlak</w:t>
            </w:r>
            <w:r w:rsidR="00092106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2091" w:type="dxa"/>
            <w:vAlign w:val="center"/>
          </w:tcPr>
          <w:p w14:paraId="0136457D" w14:textId="07FFF81A" w:rsidR="002D0C85" w:rsidRDefault="00092106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1A147B65" w14:textId="270FC3C1" w:rsidR="002D0C85" w:rsidRDefault="00092106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2 064</w:t>
            </w:r>
          </w:p>
        </w:tc>
      </w:tr>
      <w:tr w:rsidR="00453ACD" w14:paraId="74406263" w14:textId="77777777" w:rsidTr="003B34DF">
        <w:trPr>
          <w:trHeight w:val="460"/>
        </w:trPr>
        <w:tc>
          <w:tcPr>
            <w:tcW w:w="4182" w:type="dxa"/>
            <w:gridSpan w:val="2"/>
            <w:shd w:val="clear" w:color="auto" w:fill="auto"/>
            <w:vAlign w:val="center"/>
          </w:tcPr>
          <w:p w14:paraId="5A603868" w14:textId="09FB5705" w:rsidR="00453ACD" w:rsidRPr="001501FD" w:rsidRDefault="00453ACD" w:rsidP="00453ACD">
            <w:pPr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Osobní automobily</w:t>
            </w:r>
          </w:p>
        </w:tc>
        <w:tc>
          <w:tcPr>
            <w:tcW w:w="2091" w:type="dxa"/>
            <w:vAlign w:val="center"/>
          </w:tcPr>
          <w:p w14:paraId="3860CCA4" w14:textId="64566409" w:rsidR="00453ACD" w:rsidRPr="001501FD" w:rsidRDefault="00453ACD" w:rsidP="005C16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749787C4" w14:textId="250ECCCA" w:rsidR="00453ACD" w:rsidRPr="001501FD" w:rsidRDefault="00453ACD" w:rsidP="005C16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168,1</w:t>
            </w:r>
          </w:p>
        </w:tc>
      </w:tr>
      <w:tr w:rsidR="005C164A" w14:paraId="5427AAAC" w14:textId="77777777" w:rsidTr="007C6FE8">
        <w:trPr>
          <w:trHeight w:val="856"/>
        </w:trPr>
        <w:tc>
          <w:tcPr>
            <w:tcW w:w="4182" w:type="dxa"/>
            <w:gridSpan w:val="2"/>
            <w:shd w:val="clear" w:color="auto" w:fill="C0D7F1" w:themeFill="text2" w:themeFillTint="33"/>
            <w:vAlign w:val="center"/>
          </w:tcPr>
          <w:p w14:paraId="56AB9C36" w14:textId="309EBDEA" w:rsidR="005C164A" w:rsidRPr="001501FD" w:rsidRDefault="005C164A" w:rsidP="007C6F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Kategorie vozidel – podrobná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10949AC3" w14:textId="77777777" w:rsidR="005C164A" w:rsidRPr="001501FD" w:rsidRDefault="005C164A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Jednotka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3001E7D5" w14:textId="77777777" w:rsidR="005C164A" w:rsidRPr="001501FD" w:rsidRDefault="005C164A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Emisní faktor</w:t>
            </w:r>
          </w:p>
        </w:tc>
      </w:tr>
      <w:tr w:rsidR="00122B0D" w:rsidRPr="00885E76" w14:paraId="2B567ED2" w14:textId="77777777" w:rsidTr="007C6FE8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620AFF2A" w14:textId="7E854105" w:rsidR="00122B0D" w:rsidRPr="007C4086" w:rsidRDefault="00122B0D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Autobusy městské</w:t>
            </w:r>
          </w:p>
        </w:tc>
        <w:tc>
          <w:tcPr>
            <w:tcW w:w="2091" w:type="dxa"/>
            <w:vAlign w:val="center"/>
          </w:tcPr>
          <w:p w14:paraId="5AEBE6AB" w14:textId="685A2770" w:rsidR="00122B0D" w:rsidRPr="007C4086" w:rsidRDefault="00122B0D" w:rsidP="000518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Průměr</w:t>
            </w:r>
          </w:p>
        </w:tc>
        <w:tc>
          <w:tcPr>
            <w:tcW w:w="2091" w:type="dxa"/>
            <w:vAlign w:val="center"/>
          </w:tcPr>
          <w:p w14:paraId="26FD03FE" w14:textId="57AD68EB" w:rsidR="00122B0D" w:rsidRPr="007C4086" w:rsidRDefault="00122B0D" w:rsidP="007C6FE8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538EE0E4" w14:textId="13EC7522" w:rsidR="00122B0D" w:rsidRPr="007C4086" w:rsidRDefault="00122B0D" w:rsidP="007C6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862</w:t>
            </w:r>
          </w:p>
        </w:tc>
      </w:tr>
      <w:tr w:rsidR="003B026F" w:rsidRPr="00885E76" w14:paraId="198716A4" w14:textId="77777777" w:rsidTr="007C6FE8">
        <w:trPr>
          <w:trHeight w:val="460"/>
        </w:trPr>
        <w:tc>
          <w:tcPr>
            <w:tcW w:w="2091" w:type="dxa"/>
            <w:vMerge w:val="restart"/>
            <w:shd w:val="clear" w:color="auto" w:fill="auto"/>
            <w:vAlign w:val="center"/>
          </w:tcPr>
          <w:p w14:paraId="4D9517FC" w14:textId="77777777" w:rsidR="003B026F" w:rsidRPr="00575A2F" w:rsidRDefault="003B026F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Autobusy městské s pohonem na naftu</w:t>
            </w:r>
          </w:p>
        </w:tc>
        <w:tc>
          <w:tcPr>
            <w:tcW w:w="2091" w:type="dxa"/>
            <w:vAlign w:val="center"/>
          </w:tcPr>
          <w:p w14:paraId="6BC607AB" w14:textId="41D11475" w:rsidR="003B026F" w:rsidRPr="00575A2F" w:rsidRDefault="003B026F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Menší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7C4086">
              <w:rPr>
                <w:rFonts w:ascii="Arial" w:hAnsi="Arial" w:cs="Arial"/>
                <w:sz w:val="20"/>
              </w:rPr>
              <w:t>≤ 15 t</w:t>
            </w:r>
          </w:p>
        </w:tc>
        <w:tc>
          <w:tcPr>
            <w:tcW w:w="2091" w:type="dxa"/>
            <w:vAlign w:val="center"/>
          </w:tcPr>
          <w:p w14:paraId="27212542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3D9F0B73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705</w:t>
            </w:r>
          </w:p>
        </w:tc>
      </w:tr>
      <w:tr w:rsidR="003B026F" w:rsidRPr="00885E76" w14:paraId="76BB21C0" w14:textId="77777777" w:rsidTr="007C6FE8">
        <w:trPr>
          <w:trHeight w:val="460"/>
        </w:trPr>
        <w:tc>
          <w:tcPr>
            <w:tcW w:w="2091" w:type="dxa"/>
            <w:vMerge/>
            <w:shd w:val="clear" w:color="auto" w:fill="auto"/>
            <w:vAlign w:val="center"/>
          </w:tcPr>
          <w:p w14:paraId="6E7C5F93" w14:textId="77777777" w:rsidR="003B026F" w:rsidRPr="00575A2F" w:rsidRDefault="003B026F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vAlign w:val="center"/>
          </w:tcPr>
          <w:p w14:paraId="346B8DFA" w14:textId="59D60AA6" w:rsidR="003B026F" w:rsidRPr="00575A2F" w:rsidRDefault="003B026F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Standardní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7C4086">
              <w:rPr>
                <w:rFonts w:ascii="Arial" w:hAnsi="Arial" w:cs="Arial"/>
                <w:sz w:val="20"/>
              </w:rPr>
              <w:t>15-18 t</w:t>
            </w:r>
          </w:p>
        </w:tc>
        <w:tc>
          <w:tcPr>
            <w:tcW w:w="2091" w:type="dxa"/>
            <w:vAlign w:val="center"/>
          </w:tcPr>
          <w:p w14:paraId="1D32882A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369E6CA7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952</w:t>
            </w:r>
          </w:p>
        </w:tc>
      </w:tr>
      <w:tr w:rsidR="003B026F" w:rsidRPr="00885E76" w14:paraId="5FD71CCE" w14:textId="77777777" w:rsidTr="007C6FE8">
        <w:trPr>
          <w:trHeight w:val="460"/>
        </w:trPr>
        <w:tc>
          <w:tcPr>
            <w:tcW w:w="2091" w:type="dxa"/>
            <w:vMerge/>
            <w:shd w:val="clear" w:color="auto" w:fill="auto"/>
            <w:vAlign w:val="center"/>
          </w:tcPr>
          <w:p w14:paraId="040AAFD9" w14:textId="77777777" w:rsidR="003B026F" w:rsidRPr="00575A2F" w:rsidRDefault="003B026F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vAlign w:val="center"/>
          </w:tcPr>
          <w:p w14:paraId="2908DD4B" w14:textId="4A713312" w:rsidR="003B026F" w:rsidRPr="00575A2F" w:rsidRDefault="003B026F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Kloubové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, </w:t>
            </w:r>
            <w:r w:rsidRPr="007C4086">
              <w:rPr>
                <w:rFonts w:ascii="Arial" w:hAnsi="Arial" w:cs="Arial"/>
                <w:sz w:val="20"/>
              </w:rPr>
              <w:t>&gt;</w:t>
            </w:r>
            <w:proofErr w:type="gramEnd"/>
            <w:r w:rsidRPr="007C4086">
              <w:rPr>
                <w:rFonts w:ascii="Arial" w:hAnsi="Arial" w:cs="Arial"/>
                <w:sz w:val="20"/>
              </w:rPr>
              <w:t xml:space="preserve"> 18 t</w:t>
            </w:r>
          </w:p>
        </w:tc>
        <w:tc>
          <w:tcPr>
            <w:tcW w:w="2091" w:type="dxa"/>
            <w:vAlign w:val="center"/>
          </w:tcPr>
          <w:p w14:paraId="541E4855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28C9C6A9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1 196</w:t>
            </w:r>
          </w:p>
        </w:tc>
      </w:tr>
      <w:tr w:rsidR="003B026F" w:rsidRPr="00885E76" w14:paraId="3EAE9875" w14:textId="77777777" w:rsidTr="007C6FE8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5A78FBC0" w14:textId="77777777" w:rsidR="003B026F" w:rsidRPr="00575A2F" w:rsidRDefault="003B026F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Autobusy městské s pohonem na CNG</w:t>
            </w:r>
          </w:p>
        </w:tc>
        <w:tc>
          <w:tcPr>
            <w:tcW w:w="2091" w:type="dxa"/>
            <w:vAlign w:val="center"/>
          </w:tcPr>
          <w:p w14:paraId="6E5EEAAF" w14:textId="77777777" w:rsidR="003B026F" w:rsidRPr="00575A2F" w:rsidRDefault="003B026F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Standardní</w:t>
            </w:r>
          </w:p>
        </w:tc>
        <w:tc>
          <w:tcPr>
            <w:tcW w:w="2091" w:type="dxa"/>
            <w:vAlign w:val="center"/>
          </w:tcPr>
          <w:p w14:paraId="4A5E3808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1B985982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1 248</w:t>
            </w:r>
          </w:p>
        </w:tc>
      </w:tr>
      <w:tr w:rsidR="005210CE" w:rsidRPr="00885E76" w14:paraId="4C965FC4" w14:textId="77777777" w:rsidTr="007C6FE8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6396C5D8" w14:textId="105867B8" w:rsidR="005210CE" w:rsidRPr="007C4086" w:rsidRDefault="005210CE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Autobusy městské diesel-hybridní</w:t>
            </w:r>
          </w:p>
        </w:tc>
        <w:tc>
          <w:tcPr>
            <w:tcW w:w="2091" w:type="dxa"/>
            <w:vAlign w:val="center"/>
          </w:tcPr>
          <w:p w14:paraId="2A30DA2B" w14:textId="1315FE00" w:rsidR="005210CE" w:rsidRPr="007C4086" w:rsidRDefault="005210CE" w:rsidP="0005186A">
            <w:pPr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Standardní</w:t>
            </w:r>
          </w:p>
        </w:tc>
        <w:tc>
          <w:tcPr>
            <w:tcW w:w="2091" w:type="dxa"/>
            <w:vAlign w:val="center"/>
          </w:tcPr>
          <w:p w14:paraId="2F2E7046" w14:textId="334308A8" w:rsidR="005210CE" w:rsidRPr="007C4086" w:rsidRDefault="005210CE" w:rsidP="005210CE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2396004D" w14:textId="62A7463F" w:rsidR="005210CE" w:rsidRPr="007C4086" w:rsidRDefault="005210CE" w:rsidP="00521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809</w:t>
            </w:r>
          </w:p>
        </w:tc>
      </w:tr>
      <w:tr w:rsidR="005210CE" w:rsidRPr="00885E76" w14:paraId="2E32F7D2" w14:textId="77777777" w:rsidTr="007C6FE8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4695C92A" w14:textId="5AFCE5A6" w:rsidR="005210CE" w:rsidRDefault="005210CE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lastRenderedPageBreak/>
              <w:t>Autobusy regionální</w:t>
            </w:r>
          </w:p>
        </w:tc>
        <w:tc>
          <w:tcPr>
            <w:tcW w:w="2091" w:type="dxa"/>
            <w:vAlign w:val="center"/>
          </w:tcPr>
          <w:p w14:paraId="7B531F01" w14:textId="6B67BCAC" w:rsidR="005210CE" w:rsidRPr="007C4086" w:rsidRDefault="005210CE" w:rsidP="000518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Průměr</w:t>
            </w:r>
          </w:p>
        </w:tc>
        <w:tc>
          <w:tcPr>
            <w:tcW w:w="2091" w:type="dxa"/>
            <w:vAlign w:val="center"/>
          </w:tcPr>
          <w:p w14:paraId="3ED965E5" w14:textId="7E3722A2" w:rsidR="005210CE" w:rsidRPr="007C4086" w:rsidRDefault="005210CE" w:rsidP="005210CE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3526D7D6" w14:textId="7756FA49" w:rsidR="005210CE" w:rsidRDefault="005210CE" w:rsidP="00521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783</w:t>
            </w:r>
          </w:p>
        </w:tc>
      </w:tr>
      <w:tr w:rsidR="005210CE" w:rsidRPr="00885E76" w14:paraId="46257D6D" w14:textId="77777777" w:rsidTr="007C6FE8">
        <w:trPr>
          <w:trHeight w:val="460"/>
        </w:trPr>
        <w:tc>
          <w:tcPr>
            <w:tcW w:w="2091" w:type="dxa"/>
            <w:vMerge w:val="restart"/>
            <w:shd w:val="clear" w:color="auto" w:fill="auto"/>
            <w:vAlign w:val="center"/>
          </w:tcPr>
          <w:p w14:paraId="0E21595F" w14:textId="77777777" w:rsidR="005210CE" w:rsidRPr="00575A2F" w:rsidRDefault="005210CE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Autobusy regionální s pohonem na naftu</w:t>
            </w:r>
          </w:p>
        </w:tc>
        <w:tc>
          <w:tcPr>
            <w:tcW w:w="2091" w:type="dxa"/>
            <w:vAlign w:val="center"/>
          </w:tcPr>
          <w:p w14:paraId="306E5CF7" w14:textId="06FAE34B" w:rsidR="005210CE" w:rsidRPr="00575A2F" w:rsidRDefault="005210CE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Standardní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7C4086">
              <w:rPr>
                <w:rFonts w:ascii="Arial" w:hAnsi="Arial" w:cs="Arial"/>
                <w:sz w:val="20"/>
              </w:rPr>
              <w:t>≤ 18 t</w:t>
            </w:r>
          </w:p>
        </w:tc>
        <w:tc>
          <w:tcPr>
            <w:tcW w:w="2091" w:type="dxa"/>
            <w:vAlign w:val="center"/>
          </w:tcPr>
          <w:p w14:paraId="14F14633" w14:textId="77777777" w:rsidR="005210CE" w:rsidRPr="00575A2F" w:rsidRDefault="005210CE" w:rsidP="00521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071EDD89" w14:textId="77777777" w:rsidR="005210CE" w:rsidRPr="00575A2F" w:rsidRDefault="005210CE" w:rsidP="00521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746</w:t>
            </w:r>
          </w:p>
        </w:tc>
      </w:tr>
      <w:tr w:rsidR="005210CE" w:rsidRPr="00885E76" w14:paraId="00ADDED9" w14:textId="77777777" w:rsidTr="007C6FE8">
        <w:trPr>
          <w:trHeight w:val="460"/>
        </w:trPr>
        <w:tc>
          <w:tcPr>
            <w:tcW w:w="2091" w:type="dxa"/>
            <w:vMerge/>
            <w:shd w:val="clear" w:color="auto" w:fill="auto"/>
            <w:vAlign w:val="center"/>
          </w:tcPr>
          <w:p w14:paraId="2749A254" w14:textId="77777777" w:rsidR="005210CE" w:rsidRPr="00575A2F" w:rsidRDefault="005210CE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vAlign w:val="center"/>
          </w:tcPr>
          <w:p w14:paraId="4EE5414A" w14:textId="52642A94" w:rsidR="005210CE" w:rsidRPr="00575A2F" w:rsidRDefault="005210CE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Kloubové</w:t>
            </w:r>
            <w:proofErr w:type="gramStart"/>
            <w:r>
              <w:rPr>
                <w:rFonts w:ascii="Arial" w:hAnsi="Arial" w:cs="Arial"/>
                <w:sz w:val="20"/>
              </w:rPr>
              <w:t>,</w:t>
            </w:r>
            <w:r w:rsidRPr="007C4086">
              <w:rPr>
                <w:rFonts w:ascii="Arial" w:hAnsi="Arial" w:cs="Arial"/>
                <w:sz w:val="20"/>
              </w:rPr>
              <w:t xml:space="preserve"> &gt;</w:t>
            </w:r>
            <w:proofErr w:type="gramEnd"/>
            <w:r w:rsidRPr="007C4086">
              <w:rPr>
                <w:rFonts w:ascii="Arial" w:hAnsi="Arial" w:cs="Arial"/>
                <w:sz w:val="20"/>
              </w:rPr>
              <w:t xml:space="preserve"> 18 t</w:t>
            </w:r>
          </w:p>
        </w:tc>
        <w:tc>
          <w:tcPr>
            <w:tcW w:w="2091" w:type="dxa"/>
            <w:vAlign w:val="center"/>
          </w:tcPr>
          <w:p w14:paraId="4C068661" w14:textId="77777777" w:rsidR="005210CE" w:rsidRPr="00575A2F" w:rsidRDefault="005210CE" w:rsidP="00521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g/vozokm</w:t>
            </w:r>
          </w:p>
        </w:tc>
        <w:tc>
          <w:tcPr>
            <w:tcW w:w="2091" w:type="dxa"/>
            <w:vAlign w:val="center"/>
          </w:tcPr>
          <w:p w14:paraId="315E108E" w14:textId="77777777" w:rsidR="005210CE" w:rsidRPr="00575A2F" w:rsidRDefault="005210CE" w:rsidP="00521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844</w:t>
            </w:r>
          </w:p>
        </w:tc>
      </w:tr>
    </w:tbl>
    <w:p w14:paraId="182995FF" w14:textId="7F3B904F" w:rsidR="00B12CCE" w:rsidRDefault="00453ACD" w:rsidP="00C67CED">
      <w:pPr>
        <w:spacing w:before="120" w:after="0"/>
        <w:ind w:left="527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Pozn.: Povinné je použití minimálně základní kategorie vozidel.</w:t>
      </w:r>
    </w:p>
    <w:p w14:paraId="2B1C1E70" w14:textId="77777777" w:rsidR="00453ACD" w:rsidRDefault="00453ACD" w:rsidP="00C67CED">
      <w:pPr>
        <w:spacing w:after="0"/>
        <w:ind w:left="527" w:right="170"/>
        <w:jc w:val="both"/>
        <w:rPr>
          <w:rFonts w:ascii="Arial" w:hAnsi="Arial" w:cs="Arial"/>
        </w:rPr>
      </w:pPr>
    </w:p>
    <w:p w14:paraId="72911555" w14:textId="521DE259" w:rsidR="00453ACD" w:rsidRDefault="00453ACD" w:rsidP="00C67CED">
      <w:pPr>
        <w:numPr>
          <w:ilvl w:val="1"/>
          <w:numId w:val="50"/>
        </w:numPr>
        <w:spacing w:after="120"/>
        <w:ind w:left="992" w:right="17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</w:t>
      </w:r>
      <w:r w:rsidR="007F56B8">
        <w:rPr>
          <w:rFonts w:ascii="Arial" w:hAnsi="Arial" w:cs="Arial"/>
        </w:rPr>
        <w:t xml:space="preserve">veřejnou </w:t>
      </w:r>
      <w:r>
        <w:rPr>
          <w:rFonts w:ascii="Arial" w:hAnsi="Arial" w:cs="Arial"/>
        </w:rPr>
        <w:t>dopravu</w:t>
      </w:r>
      <w:r w:rsidR="007F56B8">
        <w:rPr>
          <w:rFonts w:ascii="Arial" w:hAnsi="Arial" w:cs="Arial"/>
        </w:rPr>
        <w:t xml:space="preserve"> v elektrické trakci</w:t>
      </w:r>
      <w:r>
        <w:rPr>
          <w:rFonts w:ascii="Arial" w:hAnsi="Arial" w:cs="Arial"/>
        </w:rPr>
        <w:t>:</w:t>
      </w:r>
    </w:p>
    <w:p w14:paraId="714A1BC2" w14:textId="189478FC" w:rsidR="007F56B8" w:rsidRPr="007C4086" w:rsidRDefault="007F56B8" w:rsidP="007F56B8">
      <w:pPr>
        <w:spacing w:before="120"/>
        <w:ind w:left="530" w:right="170"/>
        <w:jc w:val="center"/>
        <w:rPr>
          <w:rFonts w:ascii="Arial" w:hAnsi="Arial" w:cs="Arial"/>
          <w:b/>
          <w:bCs/>
        </w:rPr>
      </w:pPr>
      <w:r w:rsidRPr="007C4086">
        <w:rPr>
          <w:rFonts w:ascii="Arial" w:hAnsi="Arial" w:cs="Arial"/>
          <w:b/>
          <w:bCs/>
        </w:rPr>
        <w:t>CO</w:t>
      </w:r>
      <w:r w:rsidR="00E76FEC" w:rsidRPr="001501FD">
        <w:rPr>
          <w:rFonts w:ascii="Arial" w:hAnsi="Arial" w:cs="Arial"/>
          <w:b/>
          <w:bCs/>
          <w:vertAlign w:val="subscript"/>
        </w:rPr>
        <w:t>2e(</w:t>
      </w:r>
      <w:proofErr w:type="gramStart"/>
      <w:r w:rsidR="00E76FEC" w:rsidRPr="001501FD">
        <w:rPr>
          <w:rFonts w:ascii="Arial" w:hAnsi="Arial" w:cs="Arial"/>
          <w:b/>
          <w:bCs/>
          <w:vertAlign w:val="subscript"/>
        </w:rPr>
        <w:t>j,kat</w:t>
      </w:r>
      <w:proofErr w:type="gramEnd"/>
      <w:r w:rsidR="00E76FEC" w:rsidRPr="001501FD">
        <w:rPr>
          <w:rFonts w:ascii="Arial" w:hAnsi="Arial" w:cs="Arial"/>
          <w:b/>
          <w:bCs/>
          <w:vertAlign w:val="subscript"/>
        </w:rPr>
        <w:t>)</w:t>
      </w:r>
      <w:r w:rsidRPr="007C4086">
        <w:rPr>
          <w:rFonts w:ascii="Arial" w:hAnsi="Arial" w:cs="Arial"/>
          <w:b/>
          <w:bCs/>
        </w:rPr>
        <w:t xml:space="preserve"> = EF</w:t>
      </w:r>
      <w:r w:rsidR="00E76FEC">
        <w:rPr>
          <w:rFonts w:ascii="Arial" w:hAnsi="Arial" w:cs="Arial"/>
          <w:b/>
          <w:bCs/>
          <w:vertAlign w:val="subscript"/>
        </w:rPr>
        <w:t>kat</w:t>
      </w:r>
      <w:r w:rsidRPr="007C4086">
        <w:rPr>
          <w:rFonts w:ascii="Arial" w:hAnsi="Arial" w:cs="Arial"/>
          <w:b/>
          <w:bCs/>
        </w:rPr>
        <w:t xml:space="preserve"> × EC</w:t>
      </w:r>
      <w:r w:rsidR="00E5437D" w:rsidRPr="001501FD">
        <w:rPr>
          <w:rFonts w:ascii="Arial" w:hAnsi="Arial" w:cs="Arial"/>
          <w:b/>
          <w:bCs/>
          <w:vertAlign w:val="subscript"/>
        </w:rPr>
        <w:t>j,kat</w:t>
      </w:r>
      <w:r w:rsidRPr="007C4086">
        <w:rPr>
          <w:rFonts w:ascii="Arial" w:hAnsi="Arial" w:cs="Arial"/>
          <w:b/>
          <w:bCs/>
        </w:rPr>
        <w:t xml:space="preserve"> / 1 000 000</w:t>
      </w:r>
    </w:p>
    <w:p w14:paraId="4317D05F" w14:textId="77777777" w:rsidR="007F56B8" w:rsidRPr="00652833" w:rsidRDefault="007F56B8" w:rsidP="007F56B8">
      <w:pPr>
        <w:spacing w:before="120"/>
        <w:ind w:left="530" w:right="170"/>
        <w:jc w:val="both"/>
        <w:rPr>
          <w:rFonts w:ascii="Arial" w:hAnsi="Arial" w:cs="Arial"/>
        </w:rPr>
      </w:pPr>
      <w:r w:rsidRPr="00652833">
        <w:rPr>
          <w:rFonts w:ascii="Arial" w:hAnsi="Arial" w:cs="Arial"/>
        </w:rPr>
        <w:t xml:space="preserve">kde: </w:t>
      </w:r>
    </w:p>
    <w:p w14:paraId="03A19FC3" w14:textId="25D16E5A" w:rsidR="007F56B8" w:rsidRPr="00652833" w:rsidRDefault="007F56B8" w:rsidP="007F56B8">
      <w:pPr>
        <w:spacing w:before="120"/>
        <w:ind w:left="530" w:right="170"/>
        <w:jc w:val="both"/>
        <w:rPr>
          <w:rFonts w:ascii="Arial" w:hAnsi="Arial" w:cs="Arial"/>
        </w:rPr>
      </w:pPr>
      <w:r w:rsidRPr="00652833">
        <w:rPr>
          <w:rFonts w:ascii="Arial" w:hAnsi="Arial" w:cs="Arial"/>
        </w:rPr>
        <w:t>CO</w:t>
      </w:r>
      <w:r w:rsidRPr="007C4086">
        <w:rPr>
          <w:rFonts w:ascii="Arial" w:hAnsi="Arial" w:cs="Arial"/>
          <w:vertAlign w:val="subscript"/>
        </w:rPr>
        <w:t>2e(</w:t>
      </w:r>
      <w:proofErr w:type="gramStart"/>
      <w:r w:rsidR="00E76FEC">
        <w:rPr>
          <w:rFonts w:ascii="Arial" w:hAnsi="Arial" w:cs="Arial"/>
          <w:vertAlign w:val="subscript"/>
        </w:rPr>
        <w:t>j,kat</w:t>
      </w:r>
      <w:proofErr w:type="gramEnd"/>
      <w:r w:rsidRPr="007C4086">
        <w:rPr>
          <w:rFonts w:ascii="Arial" w:hAnsi="Arial" w:cs="Arial"/>
          <w:vertAlign w:val="subscript"/>
        </w:rPr>
        <w:t>)</w:t>
      </w:r>
      <w:r w:rsidRPr="00652833">
        <w:rPr>
          <w:rFonts w:ascii="Arial" w:hAnsi="Arial" w:cs="Arial"/>
        </w:rPr>
        <w:t xml:space="preserve"> = emise CO</w:t>
      </w:r>
      <w:r w:rsidRPr="007C4086">
        <w:rPr>
          <w:rFonts w:ascii="Arial" w:hAnsi="Arial" w:cs="Arial"/>
          <w:vertAlign w:val="subscript"/>
        </w:rPr>
        <w:t>2</w:t>
      </w:r>
      <w:r w:rsidRPr="00652833">
        <w:rPr>
          <w:rFonts w:ascii="Arial" w:hAnsi="Arial" w:cs="Arial"/>
        </w:rPr>
        <w:t xml:space="preserve"> ekvivalentu pro </w:t>
      </w:r>
      <w:r w:rsidR="00E76FEC" w:rsidRPr="001D24D1">
        <w:rPr>
          <w:rFonts w:ascii="Arial" w:hAnsi="Arial" w:cs="Arial"/>
        </w:rPr>
        <w:t>daný úsek komunikace a kategorii vozidel (t/rok)</w:t>
      </w:r>
    </w:p>
    <w:p w14:paraId="7E823528" w14:textId="7060C8E0" w:rsidR="007F56B8" w:rsidRPr="00652833" w:rsidRDefault="007F56B8" w:rsidP="007F56B8">
      <w:pPr>
        <w:spacing w:before="120"/>
        <w:ind w:left="530" w:right="170"/>
        <w:jc w:val="both"/>
        <w:rPr>
          <w:rFonts w:ascii="Arial" w:hAnsi="Arial" w:cs="Arial"/>
        </w:rPr>
      </w:pPr>
      <w:proofErr w:type="gramStart"/>
      <w:r w:rsidRPr="00652833">
        <w:rPr>
          <w:rFonts w:ascii="Arial" w:hAnsi="Arial" w:cs="Arial"/>
        </w:rPr>
        <w:t>EC</w:t>
      </w:r>
      <w:r w:rsidR="00E5437D">
        <w:rPr>
          <w:rFonts w:ascii="Arial" w:hAnsi="Arial" w:cs="Arial"/>
          <w:vertAlign w:val="subscript"/>
        </w:rPr>
        <w:t>j,kat</w:t>
      </w:r>
      <w:proofErr w:type="gramEnd"/>
      <w:r w:rsidRPr="00652833">
        <w:rPr>
          <w:rFonts w:ascii="Arial" w:hAnsi="Arial" w:cs="Arial"/>
        </w:rPr>
        <w:t xml:space="preserve"> = </w:t>
      </w:r>
      <w:r w:rsidR="00E5437D" w:rsidRPr="001D24D1">
        <w:rPr>
          <w:rFonts w:ascii="Arial" w:hAnsi="Arial" w:cs="Arial"/>
        </w:rPr>
        <w:t>odhadovan</w:t>
      </w:r>
      <w:r w:rsidR="00E5437D">
        <w:rPr>
          <w:rFonts w:ascii="Arial" w:hAnsi="Arial" w:cs="Arial"/>
        </w:rPr>
        <w:t>á</w:t>
      </w:r>
      <w:r w:rsidR="00E5437D" w:rsidRPr="001D24D1">
        <w:rPr>
          <w:rFonts w:ascii="Arial" w:hAnsi="Arial" w:cs="Arial"/>
        </w:rPr>
        <w:t xml:space="preserve"> </w:t>
      </w:r>
      <w:r w:rsidR="005E29B2" w:rsidRPr="00652833">
        <w:rPr>
          <w:rFonts w:ascii="Arial" w:hAnsi="Arial" w:cs="Arial"/>
        </w:rPr>
        <w:t xml:space="preserve">celková spotřeba elektrické energie na provoz </w:t>
      </w:r>
      <w:r w:rsidR="00E5437D" w:rsidRPr="001D24D1">
        <w:rPr>
          <w:rFonts w:ascii="Arial" w:hAnsi="Arial" w:cs="Arial"/>
        </w:rPr>
        <w:t xml:space="preserve">příslušné kategorie vozidel na úseku j </w:t>
      </w:r>
      <w:r w:rsidR="005E29B2">
        <w:rPr>
          <w:rFonts w:ascii="Arial" w:hAnsi="Arial" w:cs="Arial"/>
        </w:rPr>
        <w:t xml:space="preserve">za rok </w:t>
      </w:r>
      <w:r w:rsidRPr="00652833">
        <w:rPr>
          <w:rFonts w:ascii="Arial" w:hAnsi="Arial" w:cs="Arial"/>
        </w:rPr>
        <w:t>(kWh/rok)</w:t>
      </w:r>
    </w:p>
    <w:p w14:paraId="16E17808" w14:textId="598C8B06" w:rsidR="00E76FEC" w:rsidRPr="00652833" w:rsidRDefault="00E76FEC" w:rsidP="00E76FEC">
      <w:pPr>
        <w:spacing w:before="120"/>
        <w:ind w:left="530" w:right="170"/>
        <w:jc w:val="both"/>
        <w:rPr>
          <w:rFonts w:ascii="Arial" w:hAnsi="Arial" w:cs="Arial"/>
        </w:rPr>
      </w:pPr>
      <w:r w:rsidRPr="00652833">
        <w:rPr>
          <w:rFonts w:ascii="Arial" w:hAnsi="Arial" w:cs="Arial"/>
        </w:rPr>
        <w:t>EF</w:t>
      </w:r>
      <w:r>
        <w:rPr>
          <w:rFonts w:ascii="Arial" w:hAnsi="Arial" w:cs="Arial"/>
          <w:vertAlign w:val="subscript"/>
        </w:rPr>
        <w:t>kat</w:t>
      </w:r>
      <w:r w:rsidRPr="00652833">
        <w:rPr>
          <w:rFonts w:ascii="Arial" w:hAnsi="Arial" w:cs="Arial"/>
        </w:rPr>
        <w:t xml:space="preserve"> = </w:t>
      </w:r>
      <w:r w:rsidRPr="001D24D1">
        <w:rPr>
          <w:rFonts w:ascii="Arial" w:hAnsi="Arial" w:cs="Arial"/>
        </w:rPr>
        <w:t xml:space="preserve">emisní faktor pro </w:t>
      </w:r>
      <w:r>
        <w:rPr>
          <w:rFonts w:ascii="Arial" w:hAnsi="Arial" w:cs="Arial"/>
        </w:rPr>
        <w:t>danou ka</w:t>
      </w:r>
      <w:r w:rsidRPr="001D24D1">
        <w:rPr>
          <w:rFonts w:ascii="Arial" w:hAnsi="Arial" w:cs="Arial"/>
        </w:rPr>
        <w:t xml:space="preserve">tegorii vozidel dle </w:t>
      </w:r>
      <w:r>
        <w:rPr>
          <w:rFonts w:ascii="Arial" w:hAnsi="Arial" w:cs="Arial"/>
        </w:rPr>
        <w:t xml:space="preserve">následující </w:t>
      </w:r>
      <w:r w:rsidRPr="001D24D1">
        <w:rPr>
          <w:rFonts w:ascii="Arial" w:hAnsi="Arial" w:cs="Arial"/>
        </w:rPr>
        <w:t>tabulky</w:t>
      </w:r>
      <w:r>
        <w:rPr>
          <w:rFonts w:ascii="Arial" w:hAnsi="Arial" w:cs="Arial"/>
        </w:rPr>
        <w:t xml:space="preserve"> </w:t>
      </w:r>
      <w:r w:rsidRPr="00652833">
        <w:rPr>
          <w:rFonts w:ascii="Arial" w:hAnsi="Arial" w:cs="Arial"/>
        </w:rPr>
        <w:t>(</w:t>
      </w:r>
      <w:r w:rsidRPr="00E76FEC">
        <w:rPr>
          <w:rFonts w:ascii="Arial" w:hAnsi="Arial" w:cs="Arial"/>
        </w:rPr>
        <w:t>g/kWh</w:t>
      </w:r>
      <w:r w:rsidRPr="00652833">
        <w:rPr>
          <w:rFonts w:ascii="Arial" w:hAnsi="Arial" w:cs="Arial"/>
        </w:rPr>
        <w:t>)</w:t>
      </w:r>
      <w:r w:rsidR="009C6870">
        <w:rPr>
          <w:rFonts w:ascii="Arial" w:hAnsi="Arial" w:cs="Arial"/>
        </w:rPr>
        <w:t>:</w:t>
      </w:r>
    </w:p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182"/>
        <w:gridCol w:w="2091"/>
        <w:gridCol w:w="2091"/>
      </w:tblGrid>
      <w:tr w:rsidR="00F9134D" w:rsidRPr="00885E76" w14:paraId="749E194A" w14:textId="77777777" w:rsidTr="00C92D02">
        <w:trPr>
          <w:trHeight w:val="879"/>
        </w:trPr>
        <w:tc>
          <w:tcPr>
            <w:tcW w:w="4182" w:type="dxa"/>
            <w:shd w:val="clear" w:color="auto" w:fill="C0D7F1" w:themeFill="text2" w:themeFillTint="33"/>
            <w:vAlign w:val="center"/>
          </w:tcPr>
          <w:p w14:paraId="7F28BA6F" w14:textId="7238D9F6" w:rsidR="00F9134D" w:rsidRPr="007C4086" w:rsidRDefault="00F9134D" w:rsidP="00F9134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4086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vozidel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588521A5" w14:textId="77777777" w:rsidR="00F9134D" w:rsidRPr="007C4086" w:rsidRDefault="00F9134D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Jednotka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06689162" w14:textId="77777777" w:rsidR="00F9134D" w:rsidRPr="007C4086" w:rsidRDefault="00F9134D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Emisní faktor</w:t>
            </w:r>
          </w:p>
        </w:tc>
      </w:tr>
      <w:tr w:rsidR="0005186A" w:rsidRPr="00885E76" w14:paraId="78ED2F00" w14:textId="77777777" w:rsidTr="00520C8A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7875A5C9" w14:textId="7566C32E" w:rsidR="0005186A" w:rsidRPr="007C4086" w:rsidRDefault="0005186A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Trolejbusy</w:t>
            </w:r>
          </w:p>
        </w:tc>
        <w:tc>
          <w:tcPr>
            <w:tcW w:w="2091" w:type="dxa"/>
            <w:vAlign w:val="center"/>
          </w:tcPr>
          <w:p w14:paraId="5465F5EC" w14:textId="77777777" w:rsidR="0005186A" w:rsidRPr="007C4086" w:rsidRDefault="0005186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g/kWh</w:t>
            </w:r>
          </w:p>
        </w:tc>
        <w:tc>
          <w:tcPr>
            <w:tcW w:w="2091" w:type="dxa"/>
            <w:vAlign w:val="center"/>
          </w:tcPr>
          <w:p w14:paraId="669839C5" w14:textId="77777777" w:rsidR="0005186A" w:rsidRPr="007C4086" w:rsidRDefault="0005186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494</w:t>
            </w:r>
          </w:p>
        </w:tc>
      </w:tr>
      <w:tr w:rsidR="0005186A" w:rsidRPr="00885E76" w14:paraId="6A90B49E" w14:textId="77777777" w:rsidTr="00B723B6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29D2008C" w14:textId="13C7F11C" w:rsidR="0005186A" w:rsidRPr="007C4086" w:rsidRDefault="0005186A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Tramvaje</w:t>
            </w:r>
          </w:p>
        </w:tc>
        <w:tc>
          <w:tcPr>
            <w:tcW w:w="2091" w:type="dxa"/>
            <w:vAlign w:val="center"/>
          </w:tcPr>
          <w:p w14:paraId="786BC436" w14:textId="77777777" w:rsidR="0005186A" w:rsidRPr="007C4086" w:rsidRDefault="0005186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g/kWh</w:t>
            </w:r>
          </w:p>
        </w:tc>
        <w:tc>
          <w:tcPr>
            <w:tcW w:w="2091" w:type="dxa"/>
            <w:vAlign w:val="center"/>
          </w:tcPr>
          <w:p w14:paraId="59534526" w14:textId="77777777" w:rsidR="0005186A" w:rsidRPr="007C4086" w:rsidRDefault="0005186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480</w:t>
            </w:r>
          </w:p>
        </w:tc>
      </w:tr>
      <w:tr w:rsidR="0005186A" w:rsidRPr="00885E76" w14:paraId="050F99C8" w14:textId="77777777" w:rsidTr="001F04F5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487D3355" w14:textId="5F20D3B9" w:rsidR="0005186A" w:rsidRPr="007C4086" w:rsidRDefault="0005186A" w:rsidP="000518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Elektrické osobní vlaky</w:t>
            </w:r>
          </w:p>
        </w:tc>
        <w:tc>
          <w:tcPr>
            <w:tcW w:w="2091" w:type="dxa"/>
            <w:vAlign w:val="center"/>
          </w:tcPr>
          <w:p w14:paraId="062718A0" w14:textId="67100036" w:rsidR="0005186A" w:rsidRPr="007C4086" w:rsidRDefault="0005186A" w:rsidP="0005186A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g/kWh</w:t>
            </w:r>
          </w:p>
        </w:tc>
        <w:tc>
          <w:tcPr>
            <w:tcW w:w="2091" w:type="dxa"/>
            <w:vAlign w:val="center"/>
          </w:tcPr>
          <w:p w14:paraId="24E87650" w14:textId="6BE50576" w:rsidR="0005186A" w:rsidRPr="007C4086" w:rsidRDefault="0005186A" w:rsidP="0005186A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480</w:t>
            </w:r>
          </w:p>
        </w:tc>
      </w:tr>
      <w:tr w:rsidR="0005186A" w:rsidRPr="00885E76" w14:paraId="39BF0C6A" w14:textId="77777777" w:rsidTr="00377C98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3186C398" w14:textId="1A376DDD" w:rsidR="0005186A" w:rsidRPr="007C4086" w:rsidRDefault="0005186A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Elektrobusy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091" w:type="dxa"/>
            <w:vAlign w:val="center"/>
          </w:tcPr>
          <w:p w14:paraId="1A0A6DF2" w14:textId="6777496B" w:rsidR="0005186A" w:rsidRPr="007C4086" w:rsidRDefault="0005186A" w:rsidP="0005186A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g/kWh</w:t>
            </w:r>
          </w:p>
        </w:tc>
        <w:tc>
          <w:tcPr>
            <w:tcW w:w="2091" w:type="dxa"/>
            <w:vAlign w:val="center"/>
          </w:tcPr>
          <w:p w14:paraId="1D289A95" w14:textId="6648841B" w:rsidR="0005186A" w:rsidRPr="007C4086" w:rsidRDefault="0005186A" w:rsidP="0005186A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494</w:t>
            </w:r>
          </w:p>
        </w:tc>
      </w:tr>
    </w:tbl>
    <w:p w14:paraId="0A11CF45" w14:textId="77777777" w:rsidR="0005186A" w:rsidRDefault="0005186A" w:rsidP="00C67CED">
      <w:pPr>
        <w:spacing w:after="0"/>
        <w:ind w:left="992" w:right="170"/>
        <w:jc w:val="both"/>
        <w:rPr>
          <w:rFonts w:ascii="Arial" w:hAnsi="Arial" w:cs="Arial"/>
        </w:rPr>
      </w:pPr>
    </w:p>
    <w:p w14:paraId="53B20B82" w14:textId="7426AF44" w:rsidR="0005186A" w:rsidRPr="002D0C85" w:rsidRDefault="0005186A" w:rsidP="00C67CED">
      <w:pPr>
        <w:numPr>
          <w:ilvl w:val="1"/>
          <w:numId w:val="50"/>
        </w:numPr>
        <w:spacing w:after="120"/>
        <w:ind w:left="992" w:right="17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 nemotorovou dopravu</w:t>
      </w:r>
      <w:r w:rsidRPr="002D0C85">
        <w:rPr>
          <w:rFonts w:ascii="Arial" w:hAnsi="Arial" w:cs="Arial"/>
        </w:rPr>
        <w:t>:</w:t>
      </w:r>
    </w:p>
    <w:p w14:paraId="20AEFDD7" w14:textId="13CE5654" w:rsidR="0005186A" w:rsidRPr="001D24D1" w:rsidRDefault="0005186A" w:rsidP="0005186A">
      <w:pPr>
        <w:spacing w:before="120" w:after="120"/>
        <w:ind w:left="530" w:right="170"/>
        <w:jc w:val="center"/>
        <w:rPr>
          <w:rFonts w:ascii="Arial" w:hAnsi="Arial" w:cs="Arial"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gramStart"/>
      <w:r w:rsidRPr="001501FD">
        <w:rPr>
          <w:rFonts w:ascii="Arial" w:hAnsi="Arial" w:cs="Arial"/>
          <w:b/>
          <w:bCs/>
          <w:vertAlign w:val="subscript"/>
        </w:rPr>
        <w:t>j,kat</w:t>
      </w:r>
      <w:proofErr w:type="gram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 xml:space="preserve"> = </w:t>
      </w:r>
      <w:r w:rsidR="00801004">
        <w:rPr>
          <w:rFonts w:ascii="Arial" w:hAnsi="Arial" w:cs="Arial"/>
          <w:b/>
          <w:bCs/>
        </w:rPr>
        <w:t>0</w:t>
      </w:r>
      <w:r w:rsidRPr="001501FD">
        <w:rPr>
          <w:rFonts w:ascii="Arial" w:hAnsi="Arial" w:cs="Arial"/>
          <w:b/>
          <w:bCs/>
        </w:rPr>
        <w:t xml:space="preserve"> × DI</w:t>
      </w:r>
      <w:r w:rsidRPr="001501FD">
        <w:rPr>
          <w:rFonts w:ascii="Arial" w:hAnsi="Arial" w:cs="Arial"/>
          <w:b/>
          <w:bCs/>
          <w:vertAlign w:val="subscript"/>
        </w:rPr>
        <w:t>j,kat</w:t>
      </w:r>
      <w:r w:rsidRPr="001501FD">
        <w:rPr>
          <w:rFonts w:ascii="Arial" w:hAnsi="Arial" w:cs="Arial"/>
          <w:b/>
          <w:bCs/>
        </w:rPr>
        <w:t xml:space="preserve"> × Délka</w:t>
      </w:r>
      <w:r w:rsidRPr="001501FD">
        <w:rPr>
          <w:rFonts w:ascii="Arial" w:hAnsi="Arial" w:cs="Arial"/>
          <w:b/>
          <w:bCs/>
          <w:vertAlign w:val="subscript"/>
        </w:rPr>
        <w:t>j</w:t>
      </w:r>
      <w:r w:rsidRPr="001501FD">
        <w:rPr>
          <w:rFonts w:ascii="Arial" w:hAnsi="Arial" w:cs="Arial"/>
          <w:b/>
          <w:bCs/>
        </w:rPr>
        <w:t xml:space="preserve"> × 365 / 1 000 000</w:t>
      </w:r>
    </w:p>
    <w:p w14:paraId="744CEDE7" w14:textId="77777777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 xml:space="preserve">kde: </w:t>
      </w:r>
    </w:p>
    <w:p w14:paraId="464FBE17" w14:textId="6A11D60A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2e(</w:t>
      </w:r>
      <w:proofErr w:type="gramStart"/>
      <w:r w:rsidRPr="001501FD">
        <w:rPr>
          <w:rFonts w:ascii="Arial" w:hAnsi="Arial" w:cs="Arial"/>
          <w:vertAlign w:val="subscript"/>
        </w:rPr>
        <w:t>j,kat</w:t>
      </w:r>
      <w:proofErr w:type="gramEnd"/>
      <w:r w:rsidRPr="001501FD">
        <w:rPr>
          <w:rFonts w:ascii="Arial" w:hAnsi="Arial" w:cs="Arial"/>
          <w:vertAlign w:val="subscript"/>
        </w:rPr>
        <w:t>)</w:t>
      </w:r>
      <w:r w:rsidRPr="001D24D1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1D24D1">
        <w:rPr>
          <w:rFonts w:ascii="Arial" w:hAnsi="Arial" w:cs="Arial"/>
        </w:rPr>
        <w:t xml:space="preserve"> ekvivalentu pro daný úsek komunikace a kategorii </w:t>
      </w:r>
      <w:r w:rsidR="00801004">
        <w:rPr>
          <w:rFonts w:ascii="Arial" w:hAnsi="Arial" w:cs="Arial"/>
        </w:rPr>
        <w:t xml:space="preserve">vozidel, zde nemotorovou dopravu </w:t>
      </w:r>
      <w:r w:rsidRPr="001D24D1">
        <w:rPr>
          <w:rFonts w:ascii="Arial" w:hAnsi="Arial" w:cs="Arial"/>
        </w:rPr>
        <w:t>(t/rok)</w:t>
      </w:r>
    </w:p>
    <w:p w14:paraId="7C3C45E7" w14:textId="77777777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j = pořadové číslo úseku komunikační sítě</w:t>
      </w:r>
    </w:p>
    <w:p w14:paraId="2F52AF0C" w14:textId="3F03F6E9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kat = kategorie vozidel (</w:t>
      </w:r>
      <w:r w:rsidR="00801004">
        <w:rPr>
          <w:rFonts w:ascii="Arial" w:hAnsi="Arial" w:cs="Arial"/>
        </w:rPr>
        <w:t xml:space="preserve">nemotorová doprava – </w:t>
      </w:r>
      <w:r w:rsidR="00733D36">
        <w:rPr>
          <w:rFonts w:ascii="Arial" w:hAnsi="Arial" w:cs="Arial"/>
        </w:rPr>
        <w:t>chodci</w:t>
      </w:r>
      <w:r w:rsidR="00801004">
        <w:rPr>
          <w:rFonts w:ascii="Arial" w:hAnsi="Arial" w:cs="Arial"/>
        </w:rPr>
        <w:t>, cyklisté</w:t>
      </w:r>
      <w:r w:rsidRPr="001D24D1">
        <w:rPr>
          <w:rFonts w:ascii="Arial" w:hAnsi="Arial" w:cs="Arial"/>
        </w:rPr>
        <w:t>)</w:t>
      </w:r>
    </w:p>
    <w:p w14:paraId="12122A37" w14:textId="1074124C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gramStart"/>
      <w:r w:rsidRPr="001D24D1">
        <w:rPr>
          <w:rFonts w:ascii="Arial" w:hAnsi="Arial" w:cs="Arial"/>
        </w:rPr>
        <w:t>DI</w:t>
      </w:r>
      <w:r w:rsidRPr="001501FD">
        <w:rPr>
          <w:rFonts w:ascii="Arial" w:hAnsi="Arial" w:cs="Arial"/>
          <w:vertAlign w:val="subscript"/>
        </w:rPr>
        <w:t>j,kat</w:t>
      </w:r>
      <w:proofErr w:type="gramEnd"/>
      <w:r w:rsidRPr="001D24D1">
        <w:rPr>
          <w:rFonts w:ascii="Arial" w:hAnsi="Arial" w:cs="Arial"/>
        </w:rPr>
        <w:t xml:space="preserve"> = odhadovan</w:t>
      </w:r>
      <w:r>
        <w:rPr>
          <w:rFonts w:ascii="Arial" w:hAnsi="Arial" w:cs="Arial"/>
        </w:rPr>
        <w:t>á</w:t>
      </w:r>
      <w:r w:rsidRPr="001D24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1D24D1">
        <w:rPr>
          <w:rFonts w:ascii="Arial" w:hAnsi="Arial" w:cs="Arial"/>
        </w:rPr>
        <w:t>ntenzit</w:t>
      </w:r>
      <w:r>
        <w:rPr>
          <w:rFonts w:ascii="Arial" w:hAnsi="Arial" w:cs="Arial"/>
        </w:rPr>
        <w:t>a</w:t>
      </w:r>
      <w:r w:rsidRPr="001D24D1">
        <w:rPr>
          <w:rFonts w:ascii="Arial" w:hAnsi="Arial" w:cs="Arial"/>
        </w:rPr>
        <w:t xml:space="preserve"> dopravy příslušné kategorie vozidel</w:t>
      </w:r>
      <w:r w:rsidR="00801004">
        <w:rPr>
          <w:rFonts w:ascii="Arial" w:hAnsi="Arial" w:cs="Arial"/>
        </w:rPr>
        <w:t xml:space="preserve"> (nemotorové dopravy)</w:t>
      </w:r>
      <w:r w:rsidRPr="001D24D1">
        <w:rPr>
          <w:rFonts w:ascii="Arial" w:hAnsi="Arial" w:cs="Arial"/>
        </w:rPr>
        <w:t xml:space="preserve"> na úseku j (počet </w:t>
      </w:r>
      <w:r w:rsidR="00801004">
        <w:rPr>
          <w:rFonts w:ascii="Arial" w:hAnsi="Arial" w:cs="Arial"/>
        </w:rPr>
        <w:t>osob</w:t>
      </w:r>
      <w:r w:rsidRPr="001D24D1">
        <w:rPr>
          <w:rFonts w:ascii="Arial" w:hAnsi="Arial" w:cs="Arial"/>
        </w:rPr>
        <w:t xml:space="preserve"> za 24 hodin)</w:t>
      </w:r>
    </w:p>
    <w:p w14:paraId="5DEA4510" w14:textId="77777777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Délka</w:t>
      </w:r>
      <w:r w:rsidRPr="001501FD">
        <w:rPr>
          <w:rFonts w:ascii="Arial" w:hAnsi="Arial" w:cs="Arial"/>
          <w:vertAlign w:val="subscript"/>
        </w:rPr>
        <w:t>j</w:t>
      </w:r>
      <w:r w:rsidRPr="001D24D1">
        <w:rPr>
          <w:rFonts w:ascii="Arial" w:hAnsi="Arial" w:cs="Arial"/>
        </w:rPr>
        <w:t xml:space="preserve"> = délka úseku j (km)</w:t>
      </w:r>
    </w:p>
    <w:p w14:paraId="30FDF432" w14:textId="39C8B624" w:rsidR="007D04BA" w:rsidRDefault="007D04BA" w:rsidP="007D04BA">
      <w:pPr>
        <w:spacing w:before="120" w:after="120"/>
        <w:ind w:left="53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2B58F1">
        <w:rPr>
          <w:rFonts w:ascii="Arial" w:hAnsi="Arial" w:cs="Arial"/>
        </w:rPr>
        <w:t xml:space="preserve">Nemotorová doprava je reálně relevantním druhem osobní dopravy v jakémkoliv projektu </w:t>
      </w:r>
      <w:r w:rsidR="0003707B">
        <w:rPr>
          <w:rFonts w:ascii="Arial" w:hAnsi="Arial" w:cs="Arial"/>
        </w:rPr>
        <w:t xml:space="preserve">nového </w:t>
      </w:r>
      <w:r w:rsidR="002B58F1">
        <w:rPr>
          <w:rFonts w:ascii="Arial" w:hAnsi="Arial" w:cs="Arial"/>
        </w:rPr>
        <w:t>přestupního terminálu, její zahrnutí do výpočtu však není povinné</w:t>
      </w:r>
      <w:r w:rsidR="00EE40FD">
        <w:rPr>
          <w:rFonts w:ascii="Arial" w:hAnsi="Arial" w:cs="Arial"/>
        </w:rPr>
        <w:br/>
        <w:t>(i z toho důvodu, že emise z nemotorové dopravy jsou vždy nulové)</w:t>
      </w:r>
      <w:r>
        <w:rPr>
          <w:rFonts w:ascii="Arial" w:hAnsi="Arial" w:cs="Arial"/>
        </w:rPr>
        <w:t>.</w:t>
      </w:r>
      <w:r w:rsidR="002B58F1">
        <w:rPr>
          <w:rFonts w:ascii="Arial" w:hAnsi="Arial" w:cs="Arial"/>
        </w:rPr>
        <w:t xml:space="preserve"> </w:t>
      </w:r>
      <w:r w:rsidR="00540332">
        <w:rPr>
          <w:rFonts w:ascii="Arial" w:hAnsi="Arial" w:cs="Arial"/>
        </w:rPr>
        <w:t xml:space="preserve">Vlivem některých projektů ale může dojít </w:t>
      </w:r>
      <w:r w:rsidR="00FE6EF6">
        <w:rPr>
          <w:rFonts w:ascii="Arial" w:hAnsi="Arial" w:cs="Arial"/>
        </w:rPr>
        <w:t xml:space="preserve">k </w:t>
      </w:r>
      <w:r w:rsidR="00540332">
        <w:rPr>
          <w:rFonts w:ascii="Arial" w:hAnsi="Arial" w:cs="Arial"/>
        </w:rPr>
        <w:t xml:space="preserve">významným </w:t>
      </w:r>
      <w:r w:rsidR="00FE6EF6">
        <w:rPr>
          <w:rFonts w:ascii="Arial" w:hAnsi="Arial" w:cs="Arial"/>
        </w:rPr>
        <w:t xml:space="preserve">přesunům cestujících mezi jednotlivými druhy </w:t>
      </w:r>
      <w:r w:rsidR="00FE6EF6">
        <w:rPr>
          <w:rFonts w:ascii="Arial" w:hAnsi="Arial" w:cs="Arial"/>
        </w:rPr>
        <w:lastRenderedPageBreak/>
        <w:t xml:space="preserve">osobní dopravy včetně dopravy nemotorové, a </w:t>
      </w:r>
      <w:r w:rsidR="00733D36">
        <w:rPr>
          <w:rFonts w:ascii="Arial" w:hAnsi="Arial" w:cs="Arial"/>
        </w:rPr>
        <w:t>na počet chodců/cyklistů tak mohou být navázány hodnoty intenzit ostatních druhů dopravy.</w:t>
      </w:r>
    </w:p>
    <w:p w14:paraId="3CB2EDB6" w14:textId="48068B7D" w:rsidR="00A376F8" w:rsidRDefault="00873254" w:rsidP="00A376F8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každou variantu (aktivní, nulovou) zvlášť se poté provede součet všech příslušných </w:t>
      </w:r>
      <w:r w:rsidRPr="001D24D1">
        <w:rPr>
          <w:rFonts w:ascii="Arial" w:hAnsi="Arial" w:cs="Arial"/>
        </w:rPr>
        <w:t>CO</w:t>
      </w:r>
      <w:r w:rsidRPr="00D41185">
        <w:rPr>
          <w:rFonts w:ascii="Arial" w:hAnsi="Arial" w:cs="Arial"/>
          <w:vertAlign w:val="subscript"/>
        </w:rPr>
        <w:t>2e(</w:t>
      </w:r>
      <w:proofErr w:type="gramStart"/>
      <w:r w:rsidRPr="00D41185">
        <w:rPr>
          <w:rFonts w:ascii="Arial" w:hAnsi="Arial" w:cs="Arial"/>
          <w:vertAlign w:val="subscript"/>
        </w:rPr>
        <w:t>j,kat</w:t>
      </w:r>
      <w:proofErr w:type="gramEnd"/>
      <w:r w:rsidRPr="00D41185">
        <w:rPr>
          <w:rFonts w:ascii="Arial" w:hAnsi="Arial" w:cs="Arial"/>
          <w:vertAlign w:val="subscript"/>
        </w:rPr>
        <w:t>)</w:t>
      </w:r>
      <w:r>
        <w:rPr>
          <w:rFonts w:ascii="Arial" w:hAnsi="Arial" w:cs="Arial"/>
        </w:rPr>
        <w:t>:</w:t>
      </w:r>
    </w:p>
    <w:p w14:paraId="70CE314F" w14:textId="401844BD" w:rsidR="0068559C" w:rsidRPr="001501FD" w:rsidRDefault="0068559C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2es</w:t>
      </w:r>
      <w:r w:rsidRPr="001501FD">
        <w:rPr>
          <w:rFonts w:ascii="Arial" w:hAnsi="Arial" w:cs="Arial"/>
          <w:b/>
          <w:bCs/>
        </w:rPr>
        <w:t xml:space="preserve"> = ∑(CO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gramStart"/>
      <w:r w:rsidRPr="001501FD">
        <w:rPr>
          <w:rFonts w:ascii="Arial" w:hAnsi="Arial" w:cs="Arial"/>
          <w:b/>
          <w:bCs/>
          <w:vertAlign w:val="subscript"/>
        </w:rPr>
        <w:t>j,kat</w:t>
      </w:r>
      <w:proofErr w:type="gram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>)</w:t>
      </w:r>
    </w:p>
    <w:p w14:paraId="763678B9" w14:textId="128668A8" w:rsidR="0068559C" w:rsidRDefault="0068559C" w:rsidP="0068559C">
      <w:pPr>
        <w:spacing w:before="120" w:after="120"/>
        <w:ind w:left="53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68559C">
        <w:rPr>
          <w:rFonts w:ascii="Arial" w:hAnsi="Arial" w:cs="Arial"/>
        </w:rPr>
        <w:t>de</w:t>
      </w:r>
      <w:r>
        <w:rPr>
          <w:rFonts w:ascii="Arial" w:hAnsi="Arial" w:cs="Arial"/>
        </w:rPr>
        <w:t>:</w:t>
      </w:r>
    </w:p>
    <w:p w14:paraId="3E2204AA" w14:textId="60C4CB55" w:rsidR="00873254" w:rsidRDefault="0068559C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68559C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2es</w:t>
      </w:r>
      <w:r w:rsidRPr="0068559C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68559C">
        <w:rPr>
          <w:rFonts w:ascii="Arial" w:hAnsi="Arial" w:cs="Arial"/>
        </w:rPr>
        <w:t xml:space="preserve"> ekvivalentu </w:t>
      </w:r>
      <w:r w:rsidR="00A10AF5" w:rsidRPr="00733D36">
        <w:rPr>
          <w:rFonts w:ascii="Arial" w:hAnsi="Arial" w:cs="Arial"/>
        </w:rPr>
        <w:t xml:space="preserve">z dotčené osobní dopravy </w:t>
      </w:r>
      <w:r w:rsidR="00A10AF5">
        <w:rPr>
          <w:rFonts w:ascii="Arial" w:hAnsi="Arial" w:cs="Arial"/>
        </w:rPr>
        <w:t>na</w:t>
      </w:r>
      <w:r w:rsidRPr="0068559C">
        <w:rPr>
          <w:rFonts w:ascii="Arial" w:hAnsi="Arial" w:cs="Arial"/>
        </w:rPr>
        <w:t xml:space="preserve"> všech </w:t>
      </w:r>
      <w:r w:rsidR="00733D36" w:rsidRPr="00733D36">
        <w:rPr>
          <w:rFonts w:ascii="Arial" w:hAnsi="Arial" w:cs="Arial"/>
        </w:rPr>
        <w:t>úse</w:t>
      </w:r>
      <w:r w:rsidR="00A10AF5">
        <w:rPr>
          <w:rFonts w:ascii="Arial" w:hAnsi="Arial" w:cs="Arial"/>
        </w:rPr>
        <w:t>cích</w:t>
      </w:r>
      <w:r w:rsidR="00733D36" w:rsidRPr="00733D36">
        <w:rPr>
          <w:rFonts w:ascii="Arial" w:hAnsi="Arial" w:cs="Arial"/>
        </w:rPr>
        <w:t xml:space="preserve"> komunikac</w:t>
      </w:r>
      <w:r w:rsidR="00A10AF5">
        <w:rPr>
          <w:rFonts w:ascii="Arial" w:hAnsi="Arial" w:cs="Arial"/>
        </w:rPr>
        <w:t>í</w:t>
      </w:r>
      <w:r w:rsidR="00733D36">
        <w:rPr>
          <w:rFonts w:ascii="Arial" w:hAnsi="Arial" w:cs="Arial"/>
        </w:rPr>
        <w:t xml:space="preserve">     </w:t>
      </w:r>
      <w:r w:rsidRPr="0068559C">
        <w:rPr>
          <w:rFonts w:ascii="Arial" w:hAnsi="Arial" w:cs="Arial"/>
        </w:rPr>
        <w:t>dané varianty (t/rok)</w:t>
      </w:r>
    </w:p>
    <w:p w14:paraId="515E5756" w14:textId="140B51D8" w:rsidR="00816904" w:rsidRPr="002F4BA1" w:rsidRDefault="00D377C2" w:rsidP="001501FD">
      <w:p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Hodnota </w:t>
      </w:r>
      <w:r w:rsidRPr="00BB6C3E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</w:t>
      </w:r>
      <w:r w:rsidR="00A10AF5">
        <w:rPr>
          <w:rFonts w:ascii="Arial" w:hAnsi="Arial" w:cs="Arial"/>
          <w:vertAlign w:val="subscript"/>
        </w:rPr>
        <w:t>s</w:t>
      </w:r>
      <w:r w:rsidRPr="00BB6C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nulové variantě představuje </w:t>
      </w:r>
      <w:r w:rsidR="00A71632">
        <w:rPr>
          <w:rFonts w:ascii="Arial" w:hAnsi="Arial" w:cs="Arial"/>
        </w:rPr>
        <w:t xml:space="preserve">tzv. výchozí emise skleníkových plynů. Hodnota </w:t>
      </w:r>
      <w:r w:rsidR="00A71632" w:rsidRPr="00BB6C3E">
        <w:rPr>
          <w:rFonts w:ascii="Arial" w:hAnsi="Arial" w:cs="Arial"/>
        </w:rPr>
        <w:t>CO</w:t>
      </w:r>
      <w:r w:rsidR="00A71632" w:rsidRPr="001501FD">
        <w:rPr>
          <w:rFonts w:ascii="Arial" w:hAnsi="Arial" w:cs="Arial"/>
          <w:vertAlign w:val="subscript"/>
        </w:rPr>
        <w:t>2e</w:t>
      </w:r>
      <w:r w:rsidR="00A10AF5">
        <w:rPr>
          <w:rFonts w:ascii="Arial" w:hAnsi="Arial" w:cs="Arial"/>
          <w:vertAlign w:val="subscript"/>
        </w:rPr>
        <w:t>s</w:t>
      </w:r>
      <w:r w:rsidR="00A71632" w:rsidRPr="00BB6C3E">
        <w:rPr>
          <w:rFonts w:ascii="Arial" w:hAnsi="Arial" w:cs="Arial"/>
        </w:rPr>
        <w:t xml:space="preserve"> </w:t>
      </w:r>
      <w:r w:rsidR="00A71632">
        <w:rPr>
          <w:rFonts w:ascii="Arial" w:hAnsi="Arial" w:cs="Arial"/>
        </w:rPr>
        <w:t xml:space="preserve">v aktivní variantě představuje tzv. absolutní emise skleníkových plynů. Rozdílem absolutních a výchozích emisí jsou relativní emise skleníkových plynů. </w:t>
      </w:r>
      <w:r w:rsidR="0003707B">
        <w:rPr>
          <w:rFonts w:ascii="Arial" w:hAnsi="Arial" w:cs="Arial"/>
        </w:rPr>
        <w:t xml:space="preserve">S ohledem na specifické (široké) ohraničení projektu ve smyslu Technických pokynů se v případě nových přestupních terminálů </w:t>
      </w:r>
      <w:bookmarkStart w:id="9" w:name="_Hlk111562797"/>
      <w:r w:rsidR="009E6C24">
        <w:rPr>
          <w:rFonts w:ascii="Arial" w:hAnsi="Arial" w:cs="Arial"/>
        </w:rPr>
        <w:t xml:space="preserve">neporovnávají </w:t>
      </w:r>
      <w:r w:rsidR="00F666F2">
        <w:rPr>
          <w:rFonts w:ascii="Arial" w:hAnsi="Arial" w:cs="Arial"/>
        </w:rPr>
        <w:t>absolutní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 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</w:t>
      </w:r>
      <w:r w:rsidR="009E6C24">
        <w:rPr>
          <w:rFonts w:ascii="Arial" w:hAnsi="Arial" w:cs="Arial"/>
        </w:rPr>
        <w:t xml:space="preserve">. Zpracovatel porovná </w:t>
      </w:r>
      <w:r w:rsidR="00F666F2">
        <w:rPr>
          <w:rFonts w:ascii="Arial" w:hAnsi="Arial" w:cs="Arial"/>
        </w:rPr>
        <w:t>relativní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 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(pozitivní nebo negativní změna).</w:t>
      </w:r>
      <w:bookmarkEnd w:id="9"/>
    </w:p>
    <w:p w14:paraId="0E6BA393" w14:textId="30E39F09" w:rsidR="00B54D21" w:rsidRDefault="00B54D21" w:rsidP="001501FD">
      <w:pPr>
        <w:spacing w:before="240"/>
        <w:rPr>
          <w:rFonts w:ascii="Arial" w:hAnsi="Arial" w:cs="Arial"/>
          <w:b/>
          <w:bCs/>
        </w:rPr>
      </w:pPr>
      <w:r w:rsidRPr="00BF0316">
        <w:rPr>
          <w:rFonts w:ascii="Arial" w:hAnsi="Arial" w:cs="Arial"/>
          <w:b/>
          <w:bCs/>
        </w:rPr>
        <w:t>V příslušných případech popište ekonomickou analýzu a použití stínové ceny uhlíku,</w:t>
      </w:r>
      <w:r w:rsidRPr="00B54D21">
        <w:rPr>
          <w:rFonts w:ascii="Arial" w:hAnsi="Arial" w:cs="Arial"/>
          <w:b/>
          <w:bCs/>
        </w:rPr>
        <w:t xml:space="preserve"> jakož i analýzu variant a začlenění zásady „energetická účinnost v první řadě“</w:t>
      </w:r>
    </w:p>
    <w:p w14:paraId="4F3820D4" w14:textId="07A5BB8E" w:rsidR="00BF1187" w:rsidRDefault="00B54D21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kapitolu pouze v případě, kdy </w:t>
      </w:r>
      <w:r w:rsidRPr="00B54D21">
        <w:rPr>
          <w:rFonts w:ascii="Arial" w:hAnsi="Arial" w:cs="Arial"/>
        </w:rPr>
        <w:t xml:space="preserve">relativní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(pozitivní nebo negativní změna).</w:t>
      </w:r>
    </w:p>
    <w:p w14:paraId="5DDD8F02" w14:textId="77777777" w:rsidR="00C42BB3" w:rsidRDefault="00C42BB3" w:rsidP="00B54D21">
      <w:pPr>
        <w:jc w:val="both"/>
        <w:rPr>
          <w:rFonts w:ascii="Arial" w:hAnsi="Arial" w:cs="Arial"/>
          <w:b/>
          <w:bCs/>
        </w:rPr>
      </w:pPr>
      <w:r w:rsidRPr="00C42BB3">
        <w:rPr>
          <w:rFonts w:ascii="Arial" w:hAnsi="Arial" w:cs="Arial"/>
          <w:b/>
          <w:bCs/>
        </w:rPr>
        <w:t>Popište soulad projektu s příslušnými unijními a vnitrostátními plány v oblasti energetiky a klimatu, s cílem EU pro snížení emisí do roku 2030 a dosažením klimatické neutrality do roku 2050</w:t>
      </w:r>
    </w:p>
    <w:p w14:paraId="75D629B0" w14:textId="77777777" w:rsidR="00F419E4" w:rsidRDefault="0034149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při popisu</w:t>
      </w:r>
      <w:r w:rsidR="00C42BB3" w:rsidRPr="00341499">
        <w:rPr>
          <w:rFonts w:ascii="Arial" w:hAnsi="Arial" w:cs="Arial"/>
        </w:rPr>
        <w:t>, jak projekt přispívá k cílům těchto plánů a úkolům</w:t>
      </w:r>
      <w:r w:rsidRPr="00341499">
        <w:rPr>
          <w:rFonts w:ascii="Arial" w:hAnsi="Arial" w:cs="Arial"/>
        </w:rPr>
        <w:t>, vyjde zejména z hodnoty relativních emisí skleníkových plynů.</w:t>
      </w:r>
    </w:p>
    <w:p w14:paraId="035990D2" w14:textId="634566A3" w:rsidR="00B54D21" w:rsidRDefault="00341499" w:rsidP="00B54D21">
      <w:pPr>
        <w:jc w:val="both"/>
        <w:rPr>
          <w:rFonts w:ascii="Arial" w:hAnsi="Arial" w:cs="Arial"/>
        </w:rPr>
      </w:pPr>
      <w:r w:rsidRPr="00341499">
        <w:rPr>
          <w:rFonts w:ascii="Arial" w:hAnsi="Arial" w:cs="Arial"/>
        </w:rPr>
        <w:t>V případě kladné hodnoty relativních emisí skleníkových plynů není projekt v souladu s cílem</w:t>
      </w:r>
      <w:r w:rsidRPr="00341499">
        <w:t xml:space="preserve"> </w:t>
      </w:r>
      <w:r w:rsidRPr="00341499">
        <w:rPr>
          <w:rFonts w:ascii="Arial" w:hAnsi="Arial" w:cs="Arial"/>
        </w:rPr>
        <w:t xml:space="preserve">snížení emisí do roku 2030 </w:t>
      </w:r>
      <w:r>
        <w:rPr>
          <w:rFonts w:ascii="Arial" w:hAnsi="Arial" w:cs="Arial"/>
        </w:rPr>
        <w:t>a cílem</w:t>
      </w:r>
      <w:r w:rsidRPr="00341499">
        <w:rPr>
          <w:rFonts w:ascii="Arial" w:hAnsi="Arial" w:cs="Arial"/>
        </w:rPr>
        <w:t xml:space="preserve"> klimatické neutrality do roku 2050</w:t>
      </w:r>
      <w:r w:rsidR="00F419E4">
        <w:rPr>
          <w:rFonts w:ascii="Arial" w:hAnsi="Arial" w:cs="Arial"/>
        </w:rPr>
        <w:t>, a nesplňuje tak specifické kritérium přijatelnosti „</w:t>
      </w:r>
      <w:r w:rsidR="00F419E4" w:rsidRPr="00F419E4">
        <w:rPr>
          <w:rFonts w:ascii="Arial" w:hAnsi="Arial" w:cs="Arial"/>
        </w:rPr>
        <w:t>Infrastruktura/výstupy projektu nejsou zranitelné z hlediska potenciálních dlouhodobých důsledků změny klimatu a úroveň emisí skleníkových plynů, které při projektů vzniknou, je v souladu s cílem klimatické neutrality do roku 2050.</w:t>
      </w:r>
      <w:r w:rsidR="00F419E4">
        <w:rPr>
          <w:rFonts w:ascii="Arial" w:hAnsi="Arial" w:cs="Arial"/>
        </w:rPr>
        <w:t>“</w:t>
      </w:r>
    </w:p>
    <w:p w14:paraId="787F684F" w14:textId="51979E4C" w:rsidR="001B18ED" w:rsidRDefault="001C0A44" w:rsidP="00B54D21">
      <w:pPr>
        <w:jc w:val="both"/>
        <w:rPr>
          <w:rFonts w:ascii="Arial" w:hAnsi="Arial" w:cs="Arial"/>
          <w:b/>
          <w:bCs/>
        </w:rPr>
      </w:pPr>
      <w:r w:rsidRPr="001C0A44">
        <w:rPr>
          <w:rFonts w:ascii="Arial" w:hAnsi="Arial" w:cs="Arial"/>
          <w:b/>
          <w:bCs/>
        </w:rPr>
        <w:t xml:space="preserve">U projektů s plánovanou životností delší než do roku 2050 popište </w:t>
      </w:r>
      <w:bookmarkStart w:id="10" w:name="_Hlk111614687"/>
      <w:r w:rsidRPr="001C0A44">
        <w:rPr>
          <w:rFonts w:ascii="Arial" w:hAnsi="Arial" w:cs="Arial"/>
          <w:b/>
          <w:bCs/>
        </w:rPr>
        <w:t>kompatibilitu s</w:t>
      </w:r>
      <w:r w:rsidR="00F829AA">
        <w:rPr>
          <w:rFonts w:ascii="Arial" w:hAnsi="Arial" w:cs="Arial"/>
          <w:b/>
          <w:bCs/>
        </w:rPr>
        <w:t> </w:t>
      </w:r>
      <w:r w:rsidRPr="001C0A44">
        <w:rPr>
          <w:rFonts w:ascii="Arial" w:hAnsi="Arial" w:cs="Arial"/>
          <w:b/>
          <w:bCs/>
        </w:rPr>
        <w:t>provozem, údržbou a eventuálním vyřazením z provozu za okolností klimatické neutrality</w:t>
      </w:r>
    </w:p>
    <w:bookmarkEnd w:id="10"/>
    <w:p w14:paraId="34DAEFDD" w14:textId="19192FA9" w:rsidR="001C0A44" w:rsidRDefault="001C0A44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popíše</w:t>
      </w:r>
      <w:r w:rsidR="004C6C22">
        <w:rPr>
          <w:rFonts w:ascii="Arial" w:hAnsi="Arial" w:cs="Arial"/>
        </w:rPr>
        <w:t xml:space="preserve">, jak bude </w:t>
      </w:r>
      <w:r w:rsidR="00FD56E3" w:rsidRPr="00FD56E3">
        <w:rPr>
          <w:rFonts w:ascii="Arial" w:hAnsi="Arial" w:cs="Arial"/>
        </w:rPr>
        <w:t>infrastruktur</w:t>
      </w:r>
      <w:r w:rsidR="00FD56E3">
        <w:rPr>
          <w:rFonts w:ascii="Arial" w:hAnsi="Arial" w:cs="Arial"/>
        </w:rPr>
        <w:t>a</w:t>
      </w:r>
      <w:r w:rsidR="004C6C22">
        <w:rPr>
          <w:rFonts w:ascii="Arial" w:hAnsi="Arial" w:cs="Arial"/>
        </w:rPr>
        <w:t>, která je výstupem projektu</w:t>
      </w:r>
      <w:r w:rsidR="00FD56E3">
        <w:rPr>
          <w:rFonts w:ascii="Arial" w:hAnsi="Arial" w:cs="Arial"/>
        </w:rPr>
        <w:t xml:space="preserve"> </w:t>
      </w:r>
      <w:r w:rsidR="00FD56E3" w:rsidRPr="00FD56E3">
        <w:rPr>
          <w:rFonts w:ascii="Arial" w:hAnsi="Arial" w:cs="Arial"/>
        </w:rPr>
        <w:t>(nov</w:t>
      </w:r>
      <w:r w:rsidR="00FD56E3">
        <w:rPr>
          <w:rFonts w:ascii="Arial" w:hAnsi="Arial" w:cs="Arial"/>
        </w:rPr>
        <w:t>ý</w:t>
      </w:r>
      <w:r w:rsidR="00FD56E3" w:rsidRPr="00FD56E3">
        <w:rPr>
          <w:rFonts w:ascii="Arial" w:hAnsi="Arial" w:cs="Arial"/>
        </w:rPr>
        <w:t xml:space="preserve"> přestupní terminál)</w:t>
      </w:r>
      <w:r w:rsidR="004C6C22">
        <w:rPr>
          <w:rFonts w:ascii="Arial" w:hAnsi="Arial" w:cs="Arial"/>
        </w:rPr>
        <w:t>, připravena na</w:t>
      </w:r>
      <w:r w:rsidRPr="001C0A44">
        <w:rPr>
          <w:rFonts w:ascii="Arial" w:hAnsi="Arial" w:cs="Arial"/>
        </w:rPr>
        <w:t xml:space="preserve"> provoz, údržbu a eventuální vyřazení z provozu za okolností klimatické neutrality</w:t>
      </w:r>
      <w:r w:rsidR="004C6C22">
        <w:rPr>
          <w:rFonts w:ascii="Arial" w:hAnsi="Arial" w:cs="Arial"/>
        </w:rPr>
        <w:t>.</w:t>
      </w:r>
    </w:p>
    <w:p w14:paraId="76461F90" w14:textId="6D42C9B3" w:rsidR="00B26690" w:rsidRDefault="00B26690" w:rsidP="00B54D21">
      <w:pPr>
        <w:jc w:val="both"/>
        <w:rPr>
          <w:rFonts w:ascii="Arial" w:hAnsi="Arial" w:cs="Arial"/>
        </w:rPr>
      </w:pPr>
    </w:p>
    <w:p w14:paraId="3640D10A" w14:textId="77777777" w:rsidR="00B26690" w:rsidRDefault="00B26690" w:rsidP="00B54D21">
      <w:pPr>
        <w:jc w:val="both"/>
        <w:rPr>
          <w:rFonts w:ascii="Arial" w:hAnsi="Arial" w:cs="Arial"/>
        </w:rPr>
      </w:pPr>
    </w:p>
    <w:p w14:paraId="4DAA18C8" w14:textId="0FDE493C" w:rsidR="004C6C22" w:rsidRDefault="00653CB9" w:rsidP="00B54D21">
      <w:pPr>
        <w:jc w:val="both"/>
        <w:rPr>
          <w:rFonts w:ascii="Arial" w:hAnsi="Arial" w:cs="Arial"/>
          <w:b/>
          <w:bCs/>
        </w:rPr>
      </w:pPr>
      <w:r w:rsidRPr="00653CB9">
        <w:rPr>
          <w:rFonts w:ascii="Arial" w:hAnsi="Arial" w:cs="Arial"/>
          <w:b/>
          <w:bCs/>
        </w:rPr>
        <w:lastRenderedPageBreak/>
        <w:t xml:space="preserve">Uveďte další podstatné informace, například o výchozím stavu u uhlíkové stopy </w:t>
      </w:r>
    </w:p>
    <w:p w14:paraId="51951505" w14:textId="6A78AB02" w:rsidR="00653CB9" w:rsidRDefault="00653CB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vypracuje kapitolu pouze v případě využití ekonomické analýzy a stínové ceny uhlíku, a to v souladu s kapitolou 3.2.2.3 Technických pokynů.</w:t>
      </w:r>
    </w:p>
    <w:p w14:paraId="2B61859C" w14:textId="09F6544C" w:rsidR="00C53ABC" w:rsidRPr="00672F8E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1" w:name="_Toc124164942"/>
      <w:r w:rsidRPr="00672F8E">
        <w:rPr>
          <w:rFonts w:ascii="Arial" w:hAnsi="Arial" w:cs="Arial"/>
          <w:caps/>
          <w:sz w:val="26"/>
          <w:szCs w:val="26"/>
        </w:rPr>
        <w:t>Přizpůsobení se změně klimatu</w:t>
      </w:r>
      <w:bookmarkEnd w:id="11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AF0113">
      <w:pPr>
        <w:pStyle w:val="Nadpis1"/>
        <w:spacing w:before="240"/>
        <w:jc w:val="both"/>
        <w:rPr>
          <w:rFonts w:ascii="Arial" w:hAnsi="Arial" w:cs="Arial"/>
          <w:caps/>
          <w:sz w:val="22"/>
          <w:szCs w:val="22"/>
        </w:rPr>
      </w:pPr>
      <w:bookmarkStart w:id="12" w:name="_Toc124164943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12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42882BF1" w:rsidR="00345C6C" w:rsidRDefault="00E22541" w:rsidP="00FA20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734651">
        <w:rPr>
          <w:rFonts w:ascii="Arial" w:hAnsi="Arial" w:cs="Arial"/>
        </w:rPr>
        <w:t xml:space="preserve">infrastruktury </w:t>
      </w:r>
      <w:r w:rsidR="00FA203C">
        <w:rPr>
          <w:rFonts w:ascii="Arial" w:hAnsi="Arial" w:cs="Arial"/>
        </w:rPr>
        <w:t xml:space="preserve">multimodální osobní dopravy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2229"/>
        <w:gridCol w:w="2229"/>
        <w:gridCol w:w="2230"/>
      </w:tblGrid>
      <w:tr w:rsidR="007A0D63" w14:paraId="063F70E1" w14:textId="77777777" w:rsidTr="00B42011">
        <w:trPr>
          <w:trHeight w:val="638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1ABAAB04" w14:textId="77777777" w:rsidR="007A0D63" w:rsidRDefault="007A0D63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7A0D63" w14:paraId="7892F4A1" w14:textId="77777777" w:rsidTr="00B42011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7A0D63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2B084D87" w14:textId="77777777" w:rsidR="007A0D63" w:rsidRDefault="007A0D63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7A0D63" w14:paraId="01FC03F8" w14:textId="77777777" w:rsidTr="00B42011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7A0D63" w:rsidRPr="0003526A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7A0D63" w14:paraId="31C009B1" w14:textId="77777777" w:rsidTr="00B42011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7A0D63" w:rsidRPr="0003526A" w:rsidRDefault="007A0D63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B0CAEC5" w14:textId="77777777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2229" w:type="dxa"/>
            <w:vAlign w:val="center"/>
          </w:tcPr>
          <w:p w14:paraId="709984D8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C8A4509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6F8739C4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519A3050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7A0D63" w:rsidRPr="0003526A" w:rsidRDefault="007A0D63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5CF8342A" w14:textId="0134570C" w:rsidR="007A0D63" w:rsidRPr="001501FD" w:rsidRDefault="007A0D63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 pro provoz a údržbu infrastruktury)</w:t>
            </w:r>
          </w:p>
        </w:tc>
        <w:tc>
          <w:tcPr>
            <w:tcW w:w="2229" w:type="dxa"/>
            <w:vAlign w:val="center"/>
          </w:tcPr>
          <w:p w14:paraId="38F614A3" w14:textId="41B0A572" w:rsidR="007A0D63" w:rsidRPr="00946463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538281D6" w14:textId="7C01D12A" w:rsidR="007A0D63" w:rsidRPr="00946463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0BBD9AA" w14:textId="72C04FD1" w:rsidR="007A0D63" w:rsidRPr="00EB2A50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6DB39F18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7A0D63" w:rsidRPr="0003526A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5D52FCBD" w14:textId="77777777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2229" w:type="dxa"/>
            <w:vAlign w:val="center"/>
          </w:tcPr>
          <w:p w14:paraId="53B6D379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29" w:type="dxa"/>
            <w:vAlign w:val="center"/>
          </w:tcPr>
          <w:p w14:paraId="27DBA99E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30" w:type="dxa"/>
            <w:vAlign w:val="center"/>
          </w:tcPr>
          <w:p w14:paraId="3106D204" w14:textId="77777777" w:rsidR="007A0D63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A0D63" w14:paraId="4D1ACDB1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7A0D63" w:rsidRPr="0003526A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3D0D9E6" w14:textId="04F8965F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29" w:type="dxa"/>
            <w:vAlign w:val="center"/>
          </w:tcPr>
          <w:p w14:paraId="3E442439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572E661D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2A104459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68E319CE" w14:textId="77777777" w:rsidTr="00B42011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7A0D63" w:rsidRPr="0003526A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18B61839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1CCC13A2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C19E7EB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03A7BB23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3B2B12">
        <w:rPr>
          <w:rFonts w:ascii="Arial" w:hAnsi="Arial" w:cs="Arial"/>
        </w:rPr>
        <w:t xml:space="preserve">infrastruktury multimodální osobní dopravy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2229"/>
        <w:gridCol w:w="2229"/>
        <w:gridCol w:w="2230"/>
      </w:tblGrid>
      <w:tr w:rsidR="003B2B12" w14:paraId="592E2CC8" w14:textId="77777777" w:rsidTr="00B42011">
        <w:trPr>
          <w:trHeight w:val="646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4749116C" w14:textId="77777777" w:rsidR="003B2B12" w:rsidRDefault="003B2B12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3B2B12" w14:paraId="0B0548D5" w14:textId="77777777" w:rsidTr="00B42011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3B2B12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461ABE59" w14:textId="77777777" w:rsidR="003B2B12" w:rsidRDefault="003B2B12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3B2B12" w14:paraId="4E567F71" w14:textId="77777777" w:rsidTr="00B42011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3B2B12" w:rsidRPr="001501FD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3B2B12" w:rsidRPr="001501FD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3B2B12" w:rsidRPr="0003526A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3B2B12" w14:paraId="2EB1BFD3" w14:textId="77777777" w:rsidTr="00B42011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3B2B12" w:rsidRPr="0003526A" w:rsidRDefault="003B2B12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015464DF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2229" w:type="dxa"/>
            <w:vAlign w:val="center"/>
          </w:tcPr>
          <w:p w14:paraId="1DAE79C2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981CA8A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1343E4EB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B2B12" w14:paraId="6DE8C7BD" w14:textId="77777777" w:rsidTr="00B42011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3B2B12" w:rsidRPr="0003526A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3C3FAD4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2229" w:type="dxa"/>
            <w:vAlign w:val="center"/>
          </w:tcPr>
          <w:p w14:paraId="407A90A0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390B1C79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7A501955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B2B12" w14:paraId="3A40F4EE" w14:textId="77777777" w:rsidTr="00B42011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3B2B12" w:rsidRPr="0003526A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3973CB66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A4ECBCB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2BECE604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SustES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71D723B2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6E633C2B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nebezpeční povodní 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F829AA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>které jsou v datovém skladu 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</w:t>
      </w:r>
      <w:r w:rsidR="00824E77">
        <w:rPr>
          <w:rFonts w:ascii="Arial" w:hAnsi="Arial" w:cs="Arial"/>
        </w:rPr>
        <w:lastRenderedPageBreak/>
        <w:t>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13" w:name="_Hlk114750275"/>
      <w:r w:rsidRPr="00651B34">
        <w:rPr>
          <w:rFonts w:ascii="Arial" w:hAnsi="Arial" w:cs="Arial"/>
        </w:rPr>
        <w:t>je skóre expozice hodnoceno jako střední</w:t>
      </w:r>
      <w:bookmarkEnd w:id="13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3DE7A16A" w:rsidR="00864C7E" w:rsidRPr="00C943CB" w:rsidRDefault="00864C7E" w:rsidP="00C943CB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4" w:name="_Hlk114751494"/>
      <w:r w:rsidRPr="00651B34">
        <w:rPr>
          <w:rFonts w:ascii="Arial" w:hAnsi="Arial" w:cs="Arial"/>
        </w:rPr>
        <w:t>skóre expozice hodnoceno jako střední</w:t>
      </w:r>
      <w:bookmarkEnd w:id="14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40D93397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034D1D">
        <w:rPr>
          <w:rFonts w:ascii="Arial" w:hAnsi="Arial" w:cs="Arial"/>
        </w:rPr>
        <w:t xml:space="preserve">infrastruktury multimodální osobní dopravy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65F75930" w:rsidR="00914A08" w:rsidRDefault="00914A08" w:rsidP="00167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5" w:name="_Hlk111638967"/>
      <w:r w:rsidR="003D369C">
        <w:rPr>
          <w:rFonts w:ascii="Arial" w:hAnsi="Arial" w:cs="Arial"/>
        </w:rPr>
        <w:t>s </w:t>
      </w:r>
      <w:r w:rsidR="003D369C" w:rsidRPr="00651B34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5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6" w:name="_Toc12416494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6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051D9D99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651B34">
        <w:rPr>
          <w:rFonts w:ascii="Arial" w:hAnsi="Arial" w:cs="Arial"/>
        </w:rPr>
        <w:t xml:space="preserve">kvalifikovaný </w:t>
      </w:r>
      <w:r w:rsidRPr="00651B34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="00FD6706" w:rsidRPr="00FD6706">
        <w:rPr>
          <w:rFonts w:ascii="Arial" w:hAnsi="Arial" w:cs="Arial"/>
        </w:rPr>
        <w:t>infrastruktury multimodální osobní dopravy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0FDAD0E9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651B34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651B34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Pr="00C8027F">
        <w:rPr>
          <w:rFonts w:ascii="Arial" w:hAnsi="Arial" w:cs="Arial"/>
        </w:rPr>
        <w:t>infrastruktury</w:t>
      </w:r>
      <w:r w:rsidR="005D28D7">
        <w:rPr>
          <w:rFonts w:ascii="Arial" w:hAnsi="Arial" w:cs="Arial"/>
        </w:rPr>
        <w:t xml:space="preserve"> </w:t>
      </w:r>
      <w:r w:rsidR="005D28D7" w:rsidRPr="00FD6706">
        <w:rPr>
          <w:rFonts w:ascii="Arial" w:hAnsi="Arial" w:cs="Arial"/>
        </w:rPr>
        <w:t>multimodální osobní dopravy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7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7"/>
      <w:r>
        <w:rPr>
          <w:rFonts w:ascii="Arial" w:hAnsi="Arial" w:cs="Arial"/>
        </w:rPr>
        <w:t>.</w:t>
      </w:r>
    </w:p>
    <w:p w14:paraId="0DBDC1DF" w14:textId="463E05B9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651B34">
        <w:rPr>
          <w:rFonts w:ascii="Arial" w:hAnsi="Arial" w:cs="Arial"/>
        </w:rPr>
        <w:t>ýstupem analýzy rizik v případě projektu infrastruktury</w:t>
      </w:r>
      <w:r w:rsidR="00870C95">
        <w:rPr>
          <w:rFonts w:ascii="Arial" w:hAnsi="Arial" w:cs="Arial"/>
        </w:rPr>
        <w:t xml:space="preserve"> </w:t>
      </w:r>
      <w:r w:rsidR="00870C95" w:rsidRPr="00FD6706">
        <w:rPr>
          <w:rFonts w:ascii="Arial" w:hAnsi="Arial" w:cs="Arial"/>
        </w:rPr>
        <w:t>multimodální osobní dopravy</w:t>
      </w:r>
      <w:r w:rsidRPr="00651B34">
        <w:rPr>
          <w:rFonts w:ascii="Arial" w:hAnsi="Arial" w:cs="Arial"/>
        </w:rPr>
        <w:t xml:space="preserve"> bude následující tabulka:</w:t>
      </w:r>
    </w:p>
    <w:p w14:paraId="546E670B" w14:textId="615E9398" w:rsidR="00B26690" w:rsidRDefault="00B26690" w:rsidP="00D425F8">
      <w:pPr>
        <w:jc w:val="both"/>
        <w:rPr>
          <w:rFonts w:ascii="Arial" w:hAnsi="Arial" w:cs="Arial"/>
        </w:rPr>
      </w:pPr>
    </w:p>
    <w:p w14:paraId="04511B65" w14:textId="50F75E34" w:rsidR="00B26690" w:rsidRDefault="00B26690" w:rsidP="00D425F8">
      <w:pPr>
        <w:jc w:val="both"/>
        <w:rPr>
          <w:rFonts w:ascii="Arial" w:hAnsi="Arial" w:cs="Arial"/>
        </w:rPr>
      </w:pPr>
    </w:p>
    <w:p w14:paraId="3CE5C470" w14:textId="3F24A503" w:rsidR="00B26690" w:rsidRDefault="00B26690" w:rsidP="00D425F8">
      <w:pPr>
        <w:jc w:val="both"/>
        <w:rPr>
          <w:rFonts w:ascii="Arial" w:hAnsi="Arial" w:cs="Arial"/>
        </w:rPr>
      </w:pPr>
    </w:p>
    <w:p w14:paraId="7BDB421F" w14:textId="50D92752" w:rsidR="00B26690" w:rsidRDefault="00B26690" w:rsidP="00D425F8">
      <w:pPr>
        <w:jc w:val="both"/>
        <w:rPr>
          <w:rFonts w:ascii="Arial" w:hAnsi="Arial" w:cs="Arial"/>
        </w:rPr>
      </w:pPr>
    </w:p>
    <w:p w14:paraId="35C64304" w14:textId="59C86FF5" w:rsidR="00B26690" w:rsidRDefault="00B26690" w:rsidP="00D425F8">
      <w:pPr>
        <w:jc w:val="both"/>
        <w:rPr>
          <w:rFonts w:ascii="Arial" w:hAnsi="Arial" w:cs="Arial"/>
        </w:rPr>
      </w:pPr>
    </w:p>
    <w:p w14:paraId="797BE38A" w14:textId="40C60724" w:rsidR="00B26690" w:rsidRDefault="00B26690" w:rsidP="00D425F8">
      <w:pPr>
        <w:jc w:val="both"/>
        <w:rPr>
          <w:rFonts w:ascii="Arial" w:hAnsi="Arial" w:cs="Arial"/>
        </w:rPr>
      </w:pPr>
    </w:p>
    <w:p w14:paraId="080CD5D6" w14:textId="4C479298" w:rsidR="00B26690" w:rsidRDefault="00B26690" w:rsidP="00D425F8">
      <w:pPr>
        <w:jc w:val="both"/>
        <w:rPr>
          <w:rFonts w:ascii="Arial" w:hAnsi="Arial" w:cs="Arial"/>
        </w:rPr>
      </w:pPr>
    </w:p>
    <w:p w14:paraId="70CFB459" w14:textId="77777777" w:rsidR="00B26690" w:rsidRDefault="00B26690" w:rsidP="00D425F8">
      <w:pPr>
        <w:jc w:val="both"/>
        <w:rPr>
          <w:rFonts w:ascii="Arial" w:hAnsi="Arial" w:cs="Arial"/>
        </w:rPr>
      </w:pP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8" w:name="_Hlk111642822"/>
      <w:r w:rsidR="0019652A" w:rsidRPr="00651B34">
        <w:rPr>
          <w:rFonts w:ascii="Arial" w:hAnsi="Arial" w:cs="Arial"/>
        </w:rPr>
        <w:t>rizika extrémní a vysoké úrovně</w:t>
      </w:r>
      <w:bookmarkEnd w:id="18"/>
      <w:r w:rsidR="0019652A" w:rsidRPr="00651B34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651B34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03DC92EB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3FFCF632" w14:textId="77777777" w:rsidR="00B26690" w:rsidRDefault="00B26690" w:rsidP="002705EC">
      <w:pPr>
        <w:jc w:val="both"/>
        <w:rPr>
          <w:rFonts w:ascii="Arial" w:hAnsi="Arial" w:cs="Arial"/>
        </w:rPr>
      </w:pP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9" w:name="_Toc12416494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9"/>
    </w:p>
    <w:p w14:paraId="7DB62D8C" w14:textId="07DF51E7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</w:t>
      </w:r>
      <w:r w:rsidR="00F829AA">
        <w:rPr>
          <w:rFonts w:ascii="Arial" w:hAnsi="Arial" w:cs="Arial"/>
        </w:rPr>
        <w:t> </w:t>
      </w:r>
      <w:r>
        <w:rPr>
          <w:rFonts w:ascii="Arial" w:hAnsi="Arial" w:cs="Arial"/>
        </w:rPr>
        <w:t>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20" w:name="_Toc124164946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20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651B34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3D6E8" w14:textId="77777777" w:rsidR="00F7454F" w:rsidRDefault="00F7454F" w:rsidP="00634381">
      <w:pPr>
        <w:spacing w:after="0" w:line="240" w:lineRule="auto"/>
      </w:pPr>
      <w:r>
        <w:separator/>
      </w:r>
    </w:p>
  </w:endnote>
  <w:endnote w:type="continuationSeparator" w:id="0">
    <w:p w14:paraId="323C3096" w14:textId="77777777" w:rsidR="00F7454F" w:rsidRDefault="00F7454F" w:rsidP="00634381">
      <w:pPr>
        <w:spacing w:after="0" w:line="240" w:lineRule="auto"/>
      </w:pPr>
      <w:r>
        <w:continuationSeparator/>
      </w:r>
    </w:p>
  </w:endnote>
  <w:endnote w:type="continuationNotice" w:id="1">
    <w:p w14:paraId="6591A8A1" w14:textId="77777777" w:rsidR="00F7454F" w:rsidRDefault="00F745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1939" w14:textId="77777777" w:rsidR="00F7454F" w:rsidRDefault="00F7454F" w:rsidP="00634381">
      <w:pPr>
        <w:spacing w:after="0" w:line="240" w:lineRule="auto"/>
      </w:pPr>
      <w:r>
        <w:separator/>
      </w:r>
    </w:p>
  </w:footnote>
  <w:footnote w:type="continuationSeparator" w:id="0">
    <w:p w14:paraId="02F91BB7" w14:textId="77777777" w:rsidR="00F7454F" w:rsidRDefault="00F7454F" w:rsidP="00634381">
      <w:pPr>
        <w:spacing w:after="0" w:line="240" w:lineRule="auto"/>
      </w:pPr>
      <w:r>
        <w:continuationSeparator/>
      </w:r>
    </w:p>
  </w:footnote>
  <w:footnote w:type="continuationNotice" w:id="1">
    <w:p w14:paraId="51C9F455" w14:textId="77777777" w:rsidR="00F7454F" w:rsidRDefault="00F745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10806700">
    <w:abstractNumId w:val="22"/>
  </w:num>
  <w:num w:numId="2" w16cid:durableId="1321155808">
    <w:abstractNumId w:val="23"/>
  </w:num>
  <w:num w:numId="3" w16cid:durableId="1882593039">
    <w:abstractNumId w:val="27"/>
  </w:num>
  <w:num w:numId="4" w16cid:durableId="804353477">
    <w:abstractNumId w:val="44"/>
  </w:num>
  <w:num w:numId="5" w16cid:durableId="1197036248">
    <w:abstractNumId w:val="11"/>
  </w:num>
  <w:num w:numId="6" w16cid:durableId="1239024677">
    <w:abstractNumId w:val="35"/>
  </w:num>
  <w:num w:numId="7" w16cid:durableId="2000116712">
    <w:abstractNumId w:val="13"/>
  </w:num>
  <w:num w:numId="8" w16cid:durableId="1135877565">
    <w:abstractNumId w:val="15"/>
  </w:num>
  <w:num w:numId="9" w16cid:durableId="523861656">
    <w:abstractNumId w:val="28"/>
  </w:num>
  <w:num w:numId="10" w16cid:durableId="648823821">
    <w:abstractNumId w:val="6"/>
  </w:num>
  <w:num w:numId="11" w16cid:durableId="1173641908">
    <w:abstractNumId w:val="46"/>
  </w:num>
  <w:num w:numId="12" w16cid:durableId="1236092160">
    <w:abstractNumId w:val="31"/>
  </w:num>
  <w:num w:numId="13" w16cid:durableId="397821397">
    <w:abstractNumId w:val="13"/>
    <w:lvlOverride w:ilvl="0">
      <w:startOverride w:val="1"/>
    </w:lvlOverride>
  </w:num>
  <w:num w:numId="14" w16cid:durableId="472530583">
    <w:abstractNumId w:val="36"/>
  </w:num>
  <w:num w:numId="15" w16cid:durableId="1391921212">
    <w:abstractNumId w:val="16"/>
  </w:num>
  <w:num w:numId="16" w16cid:durableId="283925411">
    <w:abstractNumId w:val="34"/>
  </w:num>
  <w:num w:numId="17" w16cid:durableId="1759712661">
    <w:abstractNumId w:val="33"/>
  </w:num>
  <w:num w:numId="18" w16cid:durableId="543761551">
    <w:abstractNumId w:val="21"/>
  </w:num>
  <w:num w:numId="19" w16cid:durableId="275136806">
    <w:abstractNumId w:val="37"/>
  </w:num>
  <w:num w:numId="20" w16cid:durableId="1602032552">
    <w:abstractNumId w:val="45"/>
  </w:num>
  <w:num w:numId="21" w16cid:durableId="2084136622">
    <w:abstractNumId w:val="18"/>
  </w:num>
  <w:num w:numId="22" w16cid:durableId="1921135520">
    <w:abstractNumId w:val="25"/>
  </w:num>
  <w:num w:numId="23" w16cid:durableId="878862186">
    <w:abstractNumId w:val="19"/>
  </w:num>
  <w:num w:numId="24" w16cid:durableId="2092240739">
    <w:abstractNumId w:val="40"/>
  </w:num>
  <w:num w:numId="25" w16cid:durableId="2080594273">
    <w:abstractNumId w:val="48"/>
  </w:num>
  <w:num w:numId="26" w16cid:durableId="1176657016">
    <w:abstractNumId w:val="4"/>
  </w:num>
  <w:num w:numId="27" w16cid:durableId="1963686572">
    <w:abstractNumId w:val="42"/>
  </w:num>
  <w:num w:numId="28" w16cid:durableId="1855069328">
    <w:abstractNumId w:val="1"/>
  </w:num>
  <w:num w:numId="29" w16cid:durableId="349376845">
    <w:abstractNumId w:val="29"/>
  </w:num>
  <w:num w:numId="30" w16cid:durableId="1246569562">
    <w:abstractNumId w:val="30"/>
  </w:num>
  <w:num w:numId="31" w16cid:durableId="677585845">
    <w:abstractNumId w:val="20"/>
  </w:num>
  <w:num w:numId="32" w16cid:durableId="1634403852">
    <w:abstractNumId w:val="32"/>
  </w:num>
  <w:num w:numId="33" w16cid:durableId="1996297898">
    <w:abstractNumId w:val="17"/>
  </w:num>
  <w:num w:numId="34" w16cid:durableId="179779534">
    <w:abstractNumId w:val="5"/>
  </w:num>
  <w:num w:numId="35" w16cid:durableId="787165299">
    <w:abstractNumId w:val="10"/>
  </w:num>
  <w:num w:numId="36" w16cid:durableId="1921719873">
    <w:abstractNumId w:val="8"/>
  </w:num>
  <w:num w:numId="37" w16cid:durableId="1307079824">
    <w:abstractNumId w:val="39"/>
  </w:num>
  <w:num w:numId="38" w16cid:durableId="186456525">
    <w:abstractNumId w:val="24"/>
  </w:num>
  <w:num w:numId="39" w16cid:durableId="192811221">
    <w:abstractNumId w:val="26"/>
  </w:num>
  <w:num w:numId="40" w16cid:durableId="620963396">
    <w:abstractNumId w:val="9"/>
  </w:num>
  <w:num w:numId="41" w16cid:durableId="1119832498">
    <w:abstractNumId w:val="0"/>
  </w:num>
  <w:num w:numId="42" w16cid:durableId="1123034298">
    <w:abstractNumId w:val="43"/>
  </w:num>
  <w:num w:numId="43" w16cid:durableId="107822504">
    <w:abstractNumId w:val="49"/>
  </w:num>
  <w:num w:numId="44" w16cid:durableId="1846819340">
    <w:abstractNumId w:val="3"/>
  </w:num>
  <w:num w:numId="45" w16cid:durableId="1791782829">
    <w:abstractNumId w:val="12"/>
  </w:num>
  <w:num w:numId="46" w16cid:durableId="604309324">
    <w:abstractNumId w:val="41"/>
  </w:num>
  <w:num w:numId="47" w16cid:durableId="329254960">
    <w:abstractNumId w:val="47"/>
  </w:num>
  <w:num w:numId="48" w16cid:durableId="533230656">
    <w:abstractNumId w:val="14"/>
  </w:num>
  <w:num w:numId="49" w16cid:durableId="1395280103">
    <w:abstractNumId w:val="38"/>
  </w:num>
  <w:num w:numId="50" w16cid:durableId="2042782267">
    <w:abstractNumId w:val="2"/>
  </w:num>
  <w:num w:numId="51" w16cid:durableId="2032368957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67D3B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4E3"/>
    <w:rsid w:val="0016668A"/>
    <w:rsid w:val="00167A4E"/>
    <w:rsid w:val="00167F31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2511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5F86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3175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6E7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65EA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68B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1D3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0113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2CCE"/>
    <w:rsid w:val="00B140C1"/>
    <w:rsid w:val="00B16D42"/>
    <w:rsid w:val="00B17C16"/>
    <w:rsid w:val="00B2545F"/>
    <w:rsid w:val="00B26690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B5C"/>
    <w:rsid w:val="00BF0316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362D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97FE5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40FD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B92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9AA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6E3"/>
    <w:rsid w:val="00FD5D20"/>
    <w:rsid w:val="00FD5FD2"/>
    <w:rsid w:val="00FD6706"/>
    <w:rsid w:val="00FD6A45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3738</TotalTime>
  <Pages>13</Pages>
  <Words>3273</Words>
  <Characters>19311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442</cp:revision>
  <cp:lastPrinted>2022-04-14T06:45:00Z</cp:lastPrinted>
  <dcterms:created xsi:type="dcterms:W3CDTF">2022-04-25T09:24:00Z</dcterms:created>
  <dcterms:modified xsi:type="dcterms:W3CDTF">2023-04-27T12:53:00Z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