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273D3E"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273D3E">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273D3E">
        <w:rPr>
          <w:rFonts w:ascii="Arial" w:eastAsia="Calibri" w:hAnsi="Arial" w:cs="Arial"/>
          <w:b/>
          <w:bCs/>
          <w:color w:val="0B5294"/>
          <w:sz w:val="56"/>
          <w:szCs w:val="56"/>
          <w:lang w:eastAsia="en-US"/>
        </w:rPr>
        <w:t>INTEGROVANÝ REGIONÁLNÍ OPERAČNÍ PROGRAM</w:t>
      </w:r>
    </w:p>
    <w:p w14:paraId="7599F267" w14:textId="77777777" w:rsidR="00E71619" w:rsidRPr="00273D3E" w:rsidRDefault="00E71619" w:rsidP="00E37230">
      <w:pPr>
        <w:spacing w:before="120" w:after="120"/>
        <w:jc w:val="center"/>
        <w:rPr>
          <w:rFonts w:ascii="Arial" w:eastAsia="Calibri" w:hAnsi="Arial" w:cs="Arial"/>
          <w:b/>
          <w:bCs/>
          <w:color w:val="0B5294"/>
          <w:sz w:val="48"/>
          <w:szCs w:val="48"/>
          <w:lang w:eastAsia="en-US"/>
        </w:rPr>
      </w:pPr>
      <w:r w:rsidRPr="00273D3E">
        <w:rPr>
          <w:rFonts w:ascii="Arial" w:eastAsia="Calibri" w:hAnsi="Arial" w:cs="Arial"/>
          <w:b/>
          <w:bCs/>
          <w:color w:val="0B5294"/>
          <w:sz w:val="48"/>
          <w:szCs w:val="48"/>
          <w:lang w:eastAsia="en-US"/>
        </w:rPr>
        <w:t>2021</w:t>
      </w:r>
      <w:r w:rsidRPr="00273D3E">
        <w:rPr>
          <w:rFonts w:ascii="Arial" w:eastAsia="SimSun" w:hAnsi="Arial" w:cs="Arial"/>
          <w:b/>
          <w:bCs/>
          <w:color w:val="2F5496"/>
          <w:sz w:val="48"/>
          <w:szCs w:val="48"/>
          <w:lang w:eastAsia="zh-CN"/>
        </w:rPr>
        <w:t>–</w:t>
      </w:r>
      <w:r w:rsidRPr="00273D3E">
        <w:rPr>
          <w:rFonts w:ascii="Arial" w:eastAsia="Calibri" w:hAnsi="Arial" w:cs="Arial"/>
          <w:b/>
          <w:bCs/>
          <w:color w:val="0B5294"/>
          <w:sz w:val="48"/>
          <w:szCs w:val="48"/>
          <w:lang w:eastAsia="en-US"/>
        </w:rPr>
        <w:t>2027</w:t>
      </w:r>
    </w:p>
    <w:p w14:paraId="2DF54C5C" w14:textId="77777777" w:rsidR="00E71619" w:rsidRPr="00273D3E"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273D3E"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273D3E">
        <w:rPr>
          <w:rFonts w:ascii="Arial" w:eastAsia="MS Mincho" w:hAnsi="Arial" w:cs="Arial"/>
          <w:b/>
          <w:bCs/>
          <w:color w:val="0B5294"/>
          <w:sz w:val="56"/>
          <w:szCs w:val="56"/>
          <w:lang w:eastAsia="ja-JP"/>
        </w:rPr>
        <w:t>SPECIFICKÁ PRAVIDLA PRO ŽADATELE A PŘÍJEMCE</w:t>
      </w:r>
    </w:p>
    <w:p w14:paraId="50D29399" w14:textId="500A1717" w:rsidR="00E71619" w:rsidRPr="00273D3E"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273D3E">
        <w:rPr>
          <w:rFonts w:ascii="Arial" w:eastAsia="MS Mincho" w:hAnsi="Arial" w:cs="Arial"/>
          <w:b/>
          <w:bCs/>
          <w:color w:val="0B5294"/>
          <w:sz w:val="44"/>
          <w:szCs w:val="44"/>
          <w:lang w:eastAsia="ja-JP"/>
        </w:rPr>
        <w:t xml:space="preserve">PŘÍLOHA </w:t>
      </w:r>
      <w:r w:rsidR="00202E72" w:rsidRPr="00273D3E">
        <w:rPr>
          <w:rFonts w:ascii="Arial" w:eastAsia="MS Mincho" w:hAnsi="Arial" w:cs="Arial"/>
          <w:b/>
          <w:bCs/>
          <w:color w:val="0B5294"/>
          <w:sz w:val="44"/>
          <w:szCs w:val="44"/>
          <w:lang w:eastAsia="ja-JP"/>
        </w:rPr>
        <w:t>1</w:t>
      </w:r>
    </w:p>
    <w:p w14:paraId="39752A9A" w14:textId="2E24B116" w:rsidR="00E71619" w:rsidRPr="00273D3E"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273D3E">
        <w:rPr>
          <w:rFonts w:ascii="Arial" w:eastAsia="MS Mincho" w:hAnsi="Arial" w:cs="Arial"/>
          <w:b/>
          <w:bCs/>
          <w:color w:val="0B5294"/>
          <w:sz w:val="44"/>
          <w:szCs w:val="44"/>
          <w:lang w:eastAsia="ja-JP"/>
        </w:rPr>
        <w:t>METODICKÉ LISTY INDIKÁTORŮ</w:t>
      </w:r>
    </w:p>
    <w:p w14:paraId="6E63D103" w14:textId="1E4A3A56" w:rsidR="002A6E80" w:rsidRPr="00273D3E" w:rsidRDefault="004E19A6" w:rsidP="00E37230">
      <w:pPr>
        <w:pStyle w:val="Zkladnodstavec"/>
        <w:spacing w:before="120" w:after="120"/>
        <w:jc w:val="center"/>
        <w:rPr>
          <w:rFonts w:ascii="Arial" w:hAnsi="Arial" w:cs="Arial"/>
          <w:caps/>
          <w:sz w:val="32"/>
          <w:szCs w:val="32"/>
        </w:rPr>
      </w:pPr>
      <w:r w:rsidRPr="00273D3E">
        <w:rPr>
          <w:rFonts w:ascii="Arial" w:hAnsi="Arial" w:cs="Arial"/>
          <w:caps/>
          <w:sz w:val="32"/>
          <w:szCs w:val="32"/>
        </w:rPr>
        <w:t>83</w:t>
      </w:r>
      <w:r w:rsidR="002A6E80" w:rsidRPr="00273D3E">
        <w:rPr>
          <w:rFonts w:ascii="Arial" w:hAnsi="Arial" w:cs="Arial"/>
          <w:caps/>
          <w:sz w:val="32"/>
          <w:szCs w:val="32"/>
        </w:rPr>
        <w:t xml:space="preserve">. výzva </w:t>
      </w:r>
      <w:proofErr w:type="gramStart"/>
      <w:r w:rsidR="002A6E80" w:rsidRPr="00273D3E">
        <w:rPr>
          <w:rFonts w:ascii="Arial" w:hAnsi="Arial" w:cs="Arial"/>
          <w:caps/>
          <w:sz w:val="32"/>
          <w:szCs w:val="32"/>
        </w:rPr>
        <w:t>irop - PODPORA</w:t>
      </w:r>
      <w:proofErr w:type="gramEnd"/>
      <w:r w:rsidR="002A6E80" w:rsidRPr="00273D3E">
        <w:rPr>
          <w:rFonts w:ascii="Arial" w:hAnsi="Arial" w:cs="Arial"/>
          <w:caps/>
          <w:sz w:val="32"/>
          <w:szCs w:val="32"/>
        </w:rPr>
        <w:t xml:space="preserve"> </w:t>
      </w:r>
      <w:r w:rsidRPr="00273D3E">
        <w:rPr>
          <w:rFonts w:ascii="Arial" w:hAnsi="Arial" w:cs="Arial"/>
          <w:caps/>
          <w:sz w:val="32"/>
          <w:szCs w:val="32"/>
        </w:rPr>
        <w:t>ochrany veřejného zdraví</w:t>
      </w:r>
      <w:r w:rsidR="002A6E80" w:rsidRPr="00273D3E">
        <w:rPr>
          <w:rFonts w:ascii="Arial" w:hAnsi="Arial" w:cs="Arial"/>
          <w:caps/>
          <w:sz w:val="32"/>
          <w:szCs w:val="32"/>
        </w:rPr>
        <w:t xml:space="preserve"> - SC 4.3</w:t>
      </w:r>
      <w:r w:rsidR="0081583C" w:rsidRPr="00273D3E">
        <w:rPr>
          <w:rFonts w:ascii="Arial" w:hAnsi="Arial" w:cs="Arial"/>
          <w:caps/>
          <w:sz w:val="32"/>
          <w:szCs w:val="32"/>
        </w:rPr>
        <w:t xml:space="preserve"> </w:t>
      </w:r>
      <w:r w:rsidR="002A6E80" w:rsidRPr="00273D3E">
        <w:rPr>
          <w:rFonts w:ascii="Arial" w:hAnsi="Arial" w:cs="Arial"/>
          <w:caps/>
          <w:sz w:val="32"/>
          <w:szCs w:val="32"/>
        </w:rPr>
        <w:t>(MRR)</w:t>
      </w:r>
    </w:p>
    <w:p w14:paraId="248B929F" w14:textId="304F6C7C" w:rsidR="00E37230" w:rsidRPr="00273D3E" w:rsidRDefault="004E19A6" w:rsidP="00E37230">
      <w:pPr>
        <w:spacing w:before="120" w:after="120"/>
        <w:jc w:val="center"/>
        <w:rPr>
          <w:rFonts w:ascii="Arial" w:hAnsi="Arial" w:cs="Arial"/>
          <w:caps/>
          <w:sz w:val="32"/>
          <w:szCs w:val="32"/>
        </w:rPr>
      </w:pPr>
      <w:r w:rsidRPr="00273D3E">
        <w:rPr>
          <w:rFonts w:ascii="Arial" w:hAnsi="Arial" w:cs="Arial"/>
          <w:caps/>
          <w:sz w:val="32"/>
          <w:szCs w:val="32"/>
        </w:rPr>
        <w:t>84</w:t>
      </w:r>
      <w:r w:rsidR="002A6E80" w:rsidRPr="00273D3E">
        <w:rPr>
          <w:rFonts w:ascii="Arial" w:hAnsi="Arial" w:cs="Arial"/>
          <w:caps/>
          <w:sz w:val="32"/>
          <w:szCs w:val="32"/>
        </w:rPr>
        <w:t xml:space="preserve">. výzva </w:t>
      </w:r>
      <w:proofErr w:type="gramStart"/>
      <w:r w:rsidR="002A6E80" w:rsidRPr="00273D3E">
        <w:rPr>
          <w:rFonts w:ascii="Arial" w:hAnsi="Arial" w:cs="Arial"/>
          <w:caps/>
          <w:sz w:val="32"/>
          <w:szCs w:val="32"/>
        </w:rPr>
        <w:t>irop - PODPORA</w:t>
      </w:r>
      <w:proofErr w:type="gramEnd"/>
      <w:r w:rsidR="002A6E80" w:rsidRPr="00273D3E">
        <w:rPr>
          <w:rFonts w:ascii="Arial" w:hAnsi="Arial" w:cs="Arial"/>
          <w:caps/>
          <w:sz w:val="32"/>
          <w:szCs w:val="32"/>
        </w:rPr>
        <w:t xml:space="preserve"> </w:t>
      </w:r>
      <w:r w:rsidRPr="00273D3E">
        <w:rPr>
          <w:rFonts w:ascii="Arial" w:hAnsi="Arial" w:cs="Arial"/>
          <w:caps/>
          <w:sz w:val="32"/>
          <w:szCs w:val="32"/>
        </w:rPr>
        <w:t xml:space="preserve">ochrany veřejného zdraví </w:t>
      </w:r>
      <w:r w:rsidR="002A6E80" w:rsidRPr="00273D3E">
        <w:rPr>
          <w:rFonts w:ascii="Arial" w:hAnsi="Arial" w:cs="Arial"/>
          <w:caps/>
          <w:sz w:val="32"/>
          <w:szCs w:val="32"/>
        </w:rPr>
        <w:t>- SC 4.3 (PR)</w:t>
      </w:r>
    </w:p>
    <w:p w14:paraId="3DB6E7D0" w14:textId="0F3BEC58" w:rsidR="004E19A6" w:rsidRPr="00273D3E" w:rsidRDefault="004E19A6" w:rsidP="00E37230">
      <w:pPr>
        <w:spacing w:before="120" w:after="120"/>
        <w:jc w:val="center"/>
        <w:rPr>
          <w:rFonts w:ascii="Arial" w:hAnsi="Arial" w:cs="Arial"/>
          <w:caps/>
          <w:sz w:val="32"/>
          <w:szCs w:val="32"/>
        </w:rPr>
      </w:pPr>
      <w:r w:rsidRPr="00273D3E">
        <w:rPr>
          <w:rFonts w:ascii="Arial" w:hAnsi="Arial" w:cs="Arial"/>
          <w:caps/>
          <w:sz w:val="32"/>
          <w:szCs w:val="32"/>
        </w:rPr>
        <w:t>85. výzva IROP – podpora ochrany veřejného zdraví – SC 4.3 (ČR)</w:t>
      </w:r>
    </w:p>
    <w:p w14:paraId="29F7EAC3" w14:textId="17B78089" w:rsidR="00E71619" w:rsidRPr="00273D3E" w:rsidRDefault="00E71619" w:rsidP="00E37230">
      <w:pPr>
        <w:spacing w:before="120" w:after="120"/>
        <w:jc w:val="center"/>
        <w:rPr>
          <w:rFonts w:ascii="Arial" w:eastAsia="Calibri" w:hAnsi="Arial" w:cs="Arial"/>
          <w:caps/>
          <w:color w:val="7F7F7F"/>
          <w:sz w:val="32"/>
          <w:szCs w:val="32"/>
          <w:lang w:eastAsia="en-US"/>
        </w:rPr>
        <w:sectPr w:rsidR="00E71619" w:rsidRPr="00273D3E" w:rsidSect="00111F89">
          <w:headerReference w:type="default" r:id="rId12"/>
          <w:headerReference w:type="first" r:id="rId13"/>
          <w:pgSz w:w="11906" w:h="16838"/>
          <w:pgMar w:top="1418" w:right="1418" w:bottom="1418" w:left="1418" w:header="709" w:footer="709" w:gutter="0"/>
          <w:cols w:space="708"/>
          <w:docGrid w:linePitch="360"/>
        </w:sectPr>
      </w:pPr>
      <w:r w:rsidRPr="00273D3E">
        <w:rPr>
          <w:rFonts w:ascii="Arial" w:eastAsia="Calibri" w:hAnsi="Arial" w:cs="Arial"/>
          <w:caps/>
          <w:color w:val="7F7F7F"/>
          <w:lang w:eastAsia="en-US"/>
        </w:rPr>
        <w:t>VERZE</w:t>
      </w:r>
      <w:r w:rsidRPr="00273D3E">
        <w:rPr>
          <w:rFonts w:ascii="Arial" w:eastAsia="Calibri" w:hAnsi="Arial" w:cs="Arial"/>
          <w:caps/>
          <w:color w:val="7F7F7F"/>
          <w:sz w:val="32"/>
          <w:szCs w:val="32"/>
          <w:lang w:eastAsia="en-US"/>
        </w:rPr>
        <w:t xml:space="preserve"> </w:t>
      </w:r>
      <w:r w:rsidR="00E918E3" w:rsidRPr="00273D3E">
        <w:rPr>
          <w:rFonts w:ascii="Arial" w:eastAsia="Calibri" w:hAnsi="Arial" w:cs="Arial"/>
          <w:caps/>
          <w:color w:val="7F7F7F"/>
          <w:sz w:val="32"/>
          <w:szCs w:val="32"/>
          <w:lang w:eastAsia="en-US"/>
        </w:rPr>
        <w:t xml:space="preserve"> </w:t>
      </w:r>
      <w:r w:rsidR="002F6038">
        <w:rPr>
          <w:rFonts w:ascii="Arial" w:eastAsia="Calibri" w:hAnsi="Arial" w:cs="Arial"/>
          <w:caps/>
          <w:color w:val="7F7F7F"/>
          <w:sz w:val="32"/>
          <w:szCs w:val="32"/>
          <w:lang w:eastAsia="en-US"/>
        </w:rPr>
        <w:t>4</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273D3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273D3E" w:rsidRDefault="00461D6A" w:rsidP="00461D6A">
            <w:pPr>
              <w:spacing w:line="276" w:lineRule="auto"/>
              <w:ind w:left="170"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lastRenderedPageBreak/>
              <w:t>METODICKÝ LIST INDIKÁTORU</w:t>
            </w:r>
          </w:p>
        </w:tc>
      </w:tr>
      <w:tr w:rsidR="00461D6A" w:rsidRPr="00273D3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273D3E"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273D3E">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C3227" w14:textId="6B96D1B0" w:rsidR="00594A6E" w:rsidRPr="00273D3E" w:rsidRDefault="00EE36B8"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562011</w:t>
            </w:r>
            <w:r w:rsidRPr="00273D3E">
              <w:rPr>
                <w:rFonts w:ascii="Arial" w:eastAsiaTheme="minorHAnsi" w:hAnsi="Arial" w:cs="Arial"/>
                <w:b/>
                <w:bCs/>
                <w:color w:val="000000"/>
                <w:lang w:eastAsia="en-US"/>
              </w:rPr>
              <w:t xml:space="preserve"> </w:t>
            </w:r>
            <w:r w:rsidR="00461D6A" w:rsidRPr="00273D3E">
              <w:rPr>
                <w:rFonts w:ascii="Arial" w:eastAsiaTheme="minorHAnsi" w:hAnsi="Arial" w:cs="Arial"/>
                <w:b/>
                <w:bCs/>
                <w:color w:val="000000"/>
                <w:lang w:eastAsia="en-US"/>
              </w:rPr>
              <w:t xml:space="preserve">- Kapacita </w:t>
            </w:r>
            <w:r>
              <w:rPr>
                <w:rFonts w:ascii="Arial" w:eastAsiaTheme="minorHAnsi" w:hAnsi="Arial" w:cs="Arial"/>
                <w:b/>
                <w:bCs/>
                <w:color w:val="000000"/>
                <w:lang w:eastAsia="en-US"/>
              </w:rPr>
              <w:t>modernizovaných</w:t>
            </w:r>
            <w:r w:rsidRPr="00B950D6">
              <w:rPr>
                <w:rFonts w:ascii="Arial" w:eastAsiaTheme="minorHAnsi" w:hAnsi="Arial" w:cs="Arial"/>
                <w:b/>
                <w:bCs/>
                <w:color w:val="000000"/>
                <w:lang w:eastAsia="en-US"/>
              </w:rPr>
              <w:t xml:space="preserve"> </w:t>
            </w:r>
          </w:p>
          <w:p w14:paraId="1438B80E" w14:textId="3D1E97D4" w:rsidR="00461D6A" w:rsidRPr="00273D3E" w:rsidRDefault="00EA3B96" w:rsidP="00461D6A">
            <w:pPr>
              <w:spacing w:before="80" w:after="80" w:line="276" w:lineRule="auto"/>
              <w:ind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t>orgánů ochrany veřejného zdraví</w:t>
            </w:r>
            <w:r w:rsidR="00461D6A" w:rsidRPr="00273D3E">
              <w:rPr>
                <w:rFonts w:ascii="Arial" w:eastAsiaTheme="minorHAnsi" w:hAnsi="Arial" w:cs="Arial"/>
                <w:b/>
                <w:bCs/>
                <w:color w:val="000000"/>
                <w:lang w:eastAsia="en-US"/>
              </w:rPr>
              <w:t xml:space="preserve"> </w:t>
            </w:r>
            <w:bookmarkEnd w:id="1"/>
          </w:p>
        </w:tc>
      </w:tr>
      <w:tr w:rsidR="00461D6A" w:rsidRPr="00273D3E"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273D3E" w:rsidRDefault="00461D6A" w:rsidP="00461D6A">
            <w:pPr>
              <w:pStyle w:val="Nadpis1"/>
              <w:spacing w:before="0" w:after="0"/>
              <w:ind w:left="57" w:right="57"/>
              <w:rPr>
                <w:rFonts w:ascii="Arial" w:hAnsi="Arial" w:cs="Arial"/>
              </w:rPr>
            </w:pPr>
            <w:bookmarkStart w:id="2" w:name="_Toc97720338"/>
            <w:r w:rsidRPr="00273D3E">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273D3E" w:rsidRDefault="00461D6A" w:rsidP="00461D6A">
            <w:pPr>
              <w:pStyle w:val="Nadpis1"/>
              <w:spacing w:before="0" w:after="0"/>
              <w:ind w:left="57" w:right="57"/>
              <w:rPr>
                <w:rFonts w:ascii="Arial" w:hAnsi="Arial" w:cs="Arial"/>
                <w:caps w:val="0"/>
                <w:sz w:val="22"/>
                <w:szCs w:val="22"/>
              </w:rPr>
            </w:pPr>
            <w:bookmarkStart w:id="3" w:name="_Toc97720339"/>
            <w:r w:rsidRPr="00273D3E">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273D3E" w:rsidRDefault="00461D6A" w:rsidP="00461D6A">
            <w:pPr>
              <w:pStyle w:val="Nadpis1"/>
              <w:spacing w:before="0" w:after="0"/>
              <w:ind w:left="57" w:right="57"/>
              <w:rPr>
                <w:rFonts w:ascii="Arial" w:hAnsi="Arial" w:cs="Arial"/>
                <w:caps w:val="0"/>
                <w:sz w:val="22"/>
                <w:szCs w:val="22"/>
              </w:rPr>
            </w:pPr>
            <w:bookmarkStart w:id="4" w:name="_Toc97720340"/>
            <w:r w:rsidRPr="00273D3E">
              <w:rPr>
                <w:rFonts w:ascii="Arial" w:hAnsi="Arial" w:cs="Arial"/>
                <w:caps w:val="0"/>
                <w:sz w:val="22"/>
                <w:szCs w:val="22"/>
              </w:rPr>
              <w:t>Typ indikátoru</w:t>
            </w:r>
            <w:bookmarkEnd w:id="4"/>
          </w:p>
        </w:tc>
      </w:tr>
      <w:tr w:rsidR="00461D6A" w:rsidRPr="00273D3E" w14:paraId="468A25E7" w14:textId="29602783"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6BF7C7CA" w:rsidR="00461D6A" w:rsidRPr="00273D3E" w:rsidRDefault="00461D6A" w:rsidP="00461D6A">
            <w:pPr>
              <w:pStyle w:val="Nadpis1"/>
              <w:spacing w:before="0" w:after="0"/>
              <w:ind w:left="57" w:right="57"/>
              <w:rPr>
                <w:rFonts w:ascii="Arial" w:hAnsi="Arial" w:cs="Arial"/>
                <w:caps w:val="0"/>
                <w:sz w:val="22"/>
                <w:szCs w:val="22"/>
              </w:rPr>
            </w:pPr>
            <w:bookmarkStart w:id="5" w:name="_Toc97720341"/>
            <w:r w:rsidRPr="00273D3E">
              <w:rPr>
                <w:rFonts w:ascii="Arial" w:hAnsi="Arial" w:cs="Arial"/>
                <w:caps w:val="0"/>
                <w:sz w:val="22"/>
                <w:szCs w:val="22"/>
              </w:rPr>
              <w:t xml:space="preserve">IROP </w:t>
            </w:r>
            <w:bookmarkEnd w:id="5"/>
            <w:r w:rsidRPr="00273D3E">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9ED4F8D" w:rsidR="00461D6A" w:rsidRPr="00273D3E" w:rsidRDefault="00EA3B96" w:rsidP="00461D6A">
            <w:pPr>
              <w:pStyle w:val="Nadpis1"/>
              <w:spacing w:before="0" w:after="0"/>
              <w:ind w:left="57" w:right="57"/>
              <w:rPr>
                <w:rFonts w:ascii="Arial" w:hAnsi="Arial" w:cs="Arial"/>
                <w:caps w:val="0"/>
                <w:sz w:val="22"/>
                <w:szCs w:val="22"/>
              </w:rPr>
            </w:pPr>
            <w:r w:rsidRPr="00273D3E">
              <w:rPr>
                <w:rFonts w:ascii="Arial" w:hAnsi="Arial" w:cs="Arial"/>
                <w:caps w:val="0"/>
              </w:rPr>
              <w:t>úkon</w:t>
            </w:r>
            <w:r w:rsidR="00594A6E" w:rsidRPr="00273D3E">
              <w:rPr>
                <w:rFonts w:ascii="Arial" w:hAnsi="Arial" w:cs="Arial"/>
                <w:caps w:val="0"/>
              </w:rPr>
              <w:t>y</w:t>
            </w:r>
            <w:r w:rsidR="00461D6A" w:rsidRPr="00273D3E">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4F73D285" w:rsidR="00461D6A" w:rsidRPr="00273D3E" w:rsidRDefault="00461D6A" w:rsidP="00461D6A">
            <w:pPr>
              <w:pStyle w:val="Nadpis1"/>
              <w:spacing w:before="0" w:after="0"/>
              <w:ind w:left="57" w:right="57"/>
              <w:rPr>
                <w:rFonts w:ascii="Arial" w:hAnsi="Arial" w:cs="Arial"/>
                <w:caps w:val="0"/>
                <w:sz w:val="22"/>
                <w:szCs w:val="22"/>
              </w:rPr>
            </w:pPr>
            <w:r w:rsidRPr="00273D3E">
              <w:rPr>
                <w:rFonts w:ascii="Arial" w:hAnsi="Arial" w:cs="Arial"/>
                <w:caps w:val="0"/>
                <w:sz w:val="22"/>
                <w:szCs w:val="22"/>
              </w:rPr>
              <w:t>výstup</w:t>
            </w:r>
          </w:p>
        </w:tc>
      </w:tr>
      <w:bookmarkEnd w:id="0"/>
    </w:tbl>
    <w:p w14:paraId="2DDAB7B8" w14:textId="342C86B0" w:rsidR="00FA73A7" w:rsidRPr="00273D3E" w:rsidRDefault="00FA73A7" w:rsidP="00822000">
      <w:pPr>
        <w:spacing w:after="200" w:line="276" w:lineRule="auto"/>
        <w:jc w:val="both"/>
        <w:rPr>
          <w:rFonts w:ascii="Arial" w:hAnsi="Arial" w:cs="Arial"/>
          <w:sz w:val="22"/>
          <w:szCs w:val="22"/>
        </w:rPr>
      </w:pPr>
    </w:p>
    <w:p w14:paraId="09AC900B" w14:textId="77777777" w:rsidR="00FA73A7" w:rsidRPr="00273D3E" w:rsidRDefault="00FA73A7" w:rsidP="00FA73A7">
      <w:pPr>
        <w:rPr>
          <w:sz w:val="16"/>
          <w:szCs w:val="16"/>
        </w:rPr>
      </w:pPr>
    </w:p>
    <w:p w14:paraId="3C1EB84F" w14:textId="77777777" w:rsidR="00FA73A7" w:rsidRPr="00273D3E" w:rsidRDefault="00FA73A7" w:rsidP="00FA73A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Definice indikátoru </w:t>
      </w:r>
    </w:p>
    <w:p w14:paraId="01917F07" w14:textId="0AD5F888"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Maximální roční počet úkonů definovaných dle obsahu projektu, které mohou být v modernizovaném</w:t>
      </w:r>
      <w:r w:rsidR="00594A6E" w:rsidRPr="00273D3E">
        <w:rPr>
          <w:rFonts w:ascii="Arial" w:hAnsi="Arial" w:cs="Arial"/>
          <w:sz w:val="22"/>
          <w:szCs w:val="22"/>
        </w:rPr>
        <w:t xml:space="preserve"> pracovišti</w:t>
      </w:r>
      <w:r w:rsidRPr="00273D3E">
        <w:rPr>
          <w:rFonts w:ascii="Arial" w:hAnsi="Arial" w:cs="Arial"/>
          <w:sz w:val="22"/>
          <w:szCs w:val="22"/>
        </w:rPr>
        <w:t xml:space="preserve"> orgán</w:t>
      </w:r>
      <w:r w:rsidR="00594A6E" w:rsidRPr="00273D3E">
        <w:rPr>
          <w:rFonts w:ascii="Arial" w:hAnsi="Arial" w:cs="Arial"/>
          <w:sz w:val="22"/>
          <w:szCs w:val="22"/>
        </w:rPr>
        <w:t>u</w:t>
      </w:r>
      <w:r w:rsidRPr="00273D3E">
        <w:rPr>
          <w:rFonts w:ascii="Arial" w:hAnsi="Arial" w:cs="Arial"/>
          <w:sz w:val="22"/>
          <w:szCs w:val="22"/>
        </w:rPr>
        <w:t xml:space="preserve"> ochrany veřejného zdraví provedeny</w:t>
      </w:r>
      <w:r w:rsidR="00594A6E" w:rsidRPr="00273D3E">
        <w:rPr>
          <w:rFonts w:ascii="Arial" w:hAnsi="Arial" w:cs="Arial"/>
          <w:sz w:val="22"/>
          <w:szCs w:val="22"/>
        </w:rPr>
        <w:t>, a to</w:t>
      </w:r>
      <w:r w:rsidR="008A0700" w:rsidRPr="00273D3E">
        <w:rPr>
          <w:rFonts w:ascii="Arial" w:hAnsi="Arial" w:cs="Arial"/>
          <w:sz w:val="22"/>
          <w:szCs w:val="22"/>
        </w:rPr>
        <w:t xml:space="preserve"> </w:t>
      </w:r>
      <w:r w:rsidRPr="00273D3E">
        <w:rPr>
          <w:rFonts w:ascii="Arial" w:hAnsi="Arial" w:cs="Arial"/>
          <w:sz w:val="22"/>
          <w:szCs w:val="22"/>
        </w:rPr>
        <w:t xml:space="preserve">za období jednoho roku. Mezi </w:t>
      </w:r>
      <w:r w:rsidR="0075277C" w:rsidRPr="00273D3E">
        <w:rPr>
          <w:rFonts w:ascii="Arial" w:hAnsi="Arial" w:cs="Arial"/>
          <w:sz w:val="22"/>
          <w:szCs w:val="22"/>
        </w:rPr>
        <w:t xml:space="preserve">orgány ochrany veřejného zdraví </w:t>
      </w:r>
      <w:proofErr w:type="gramStart"/>
      <w:r w:rsidR="0075277C" w:rsidRPr="00273D3E">
        <w:rPr>
          <w:rFonts w:ascii="Arial" w:hAnsi="Arial" w:cs="Arial"/>
          <w:sz w:val="22"/>
          <w:szCs w:val="22"/>
        </w:rPr>
        <w:t>patří</w:t>
      </w:r>
      <w:proofErr w:type="gramEnd"/>
      <w:r w:rsidR="0075277C" w:rsidRPr="00273D3E">
        <w:rPr>
          <w:rFonts w:ascii="Arial" w:hAnsi="Arial" w:cs="Arial"/>
          <w:sz w:val="22"/>
          <w:szCs w:val="22"/>
        </w:rPr>
        <w:t xml:space="preserve"> krajské hygienické stanice a Státní zdravotní ústav. </w:t>
      </w:r>
      <w:r w:rsidRPr="00273D3E">
        <w:rPr>
          <w:rFonts w:ascii="Arial" w:hAnsi="Arial" w:cs="Arial"/>
          <w:sz w:val="22"/>
          <w:szCs w:val="22"/>
        </w:rPr>
        <w:t>Modernizace nezahrnuje energetickou inovaci ani údržbu a opravy.</w:t>
      </w:r>
    </w:p>
    <w:p w14:paraId="0682CCFF" w14:textId="77777777" w:rsidR="00FA73A7" w:rsidRPr="00273D3E" w:rsidRDefault="00FA73A7" w:rsidP="00FA73A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Upřesňující informace</w:t>
      </w:r>
    </w:p>
    <w:p w14:paraId="62FEF913" w14:textId="1E058CB3" w:rsidR="00FA73A7" w:rsidRPr="00273D3E" w:rsidRDefault="00FA73A7" w:rsidP="00FA73A7">
      <w:pPr>
        <w:spacing w:after="240" w:line="276" w:lineRule="auto"/>
        <w:jc w:val="both"/>
        <w:rPr>
          <w:rFonts w:ascii="Arial" w:hAnsi="Arial" w:cs="Arial"/>
          <w:sz w:val="22"/>
          <w:szCs w:val="22"/>
        </w:rPr>
      </w:pPr>
      <w:r w:rsidRPr="00273D3E">
        <w:rPr>
          <w:rFonts w:ascii="Arial" w:hAnsi="Arial" w:cs="Arial"/>
          <w:sz w:val="22"/>
          <w:szCs w:val="22"/>
        </w:rPr>
        <w:t xml:space="preserve">Indikátor je povinný k výběru a naplnění pro všechny žádosti o podporu, tj. žádosti o podporu, u kterých vzniká nová infrastruktura nebo dochází k modernizaci </w:t>
      </w:r>
      <w:r w:rsidR="0075277C" w:rsidRPr="00273D3E">
        <w:rPr>
          <w:rFonts w:ascii="Arial" w:hAnsi="Arial" w:cs="Arial"/>
          <w:sz w:val="22"/>
          <w:szCs w:val="22"/>
        </w:rPr>
        <w:t xml:space="preserve">infrastruktury krajské hygienické stanice nebo Státního zdravotního ústavu. </w:t>
      </w:r>
      <w:r w:rsidRPr="00273D3E">
        <w:rPr>
          <w:rFonts w:ascii="Arial" w:hAnsi="Arial" w:cs="Arial"/>
          <w:sz w:val="22"/>
          <w:szCs w:val="22"/>
        </w:rPr>
        <w:t>V případě nestavebních projektů je za modernizaci považováno pořízení či obnova vybavení.</w:t>
      </w:r>
    </w:p>
    <w:p w14:paraId="34D3FA93" w14:textId="03DDBAC9" w:rsidR="001140D8" w:rsidRDefault="00FA73A7" w:rsidP="001140D8">
      <w:pPr>
        <w:spacing w:after="200" w:line="276" w:lineRule="auto"/>
        <w:jc w:val="both"/>
        <w:rPr>
          <w:rFonts w:ascii="Arial" w:hAnsi="Arial" w:cs="Arial"/>
          <w:sz w:val="22"/>
          <w:szCs w:val="22"/>
        </w:rPr>
      </w:pPr>
      <w:r w:rsidRPr="00273D3E">
        <w:rPr>
          <w:rFonts w:ascii="Arial" w:hAnsi="Arial" w:cs="Arial"/>
          <w:sz w:val="22"/>
          <w:szCs w:val="22"/>
        </w:rPr>
        <w:t>V případě, že součástí projektu budou aktivity přispívající k rozvoji celé</w:t>
      </w:r>
      <w:r w:rsidR="00C13074" w:rsidRPr="00273D3E">
        <w:rPr>
          <w:rFonts w:ascii="Arial" w:hAnsi="Arial" w:cs="Arial"/>
          <w:sz w:val="22"/>
          <w:szCs w:val="22"/>
        </w:rPr>
        <w:t xml:space="preserve"> krajské hygienické stanice nebo Státního zdravotního ústavu </w:t>
      </w:r>
      <w:r w:rsidRPr="00273D3E">
        <w:rPr>
          <w:rFonts w:ascii="Arial" w:hAnsi="Arial" w:cs="Arial"/>
          <w:sz w:val="22"/>
          <w:szCs w:val="22"/>
        </w:rPr>
        <w:t xml:space="preserve">např. bezbariérová úprava, nebude uvedena kapacita připadající na stávající infrastrukturu v rámci celého zařízení ale pouze za projektem podpořená pracoviště.  </w:t>
      </w:r>
    </w:p>
    <w:p w14:paraId="537BF5A5" w14:textId="44B93047" w:rsidR="00C35F06" w:rsidRPr="00273D3E" w:rsidRDefault="00C35F06" w:rsidP="00C35F06">
      <w:pPr>
        <w:ind w:left="720"/>
        <w:contextualSpacing/>
      </w:pPr>
    </w:p>
    <w:p w14:paraId="558B9E98" w14:textId="0013ED05"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UPOZORNĚNÍ</w:t>
      </w:r>
    </w:p>
    <w:p w14:paraId="360C1B08" w14:textId="77777777"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1A49FB28" w14:textId="6C374715" w:rsidR="00C35F06" w:rsidRPr="00490AD1" w:rsidRDefault="00C35F06" w:rsidP="00490AD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90AD1">
        <w:rPr>
          <w:rFonts w:ascii="Arial" w:hAnsi="Arial" w:cs="Arial"/>
          <w:sz w:val="22"/>
          <w:szCs w:val="22"/>
        </w:rPr>
        <w:t xml:space="preserve">Úkon žadatel transparentně definuje ve Studii proveditelnosti na základě obsahu a cílů projektu, může se jednat např. o správní řízení, kontrolu na místě, realizované programy prevence zdraví či provedená laboratorní analýza. V případě, že je v rámci projektu modernizovaná infrastruktura pro více činností, nastaví žadatel jako indikátor úkony té z nich, kterou považuje za nejpřínosnější z pohledu nastavených cílů.  </w:t>
      </w:r>
    </w:p>
    <w:p w14:paraId="12C0DE25" w14:textId="77777777"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32449F18" w14:textId="77777777" w:rsidR="00C35F06" w:rsidRPr="00490AD1" w:rsidRDefault="00C35F06" w:rsidP="00490AD1">
      <w:pPr>
        <w:spacing w:after="200" w:line="276" w:lineRule="auto"/>
        <w:jc w:val="both"/>
        <w:rPr>
          <w:rFonts w:ascii="Arial" w:hAnsi="Arial" w:cs="Arial"/>
          <w:sz w:val="22"/>
          <w:szCs w:val="22"/>
          <w:u w:val="single"/>
        </w:rPr>
      </w:pPr>
    </w:p>
    <w:p w14:paraId="045AC9AC" w14:textId="631CF66F" w:rsidR="00FA73A7" w:rsidRPr="00273D3E" w:rsidRDefault="00FA73A7" w:rsidP="00FA73A7">
      <w:pPr>
        <w:spacing w:after="240" w:line="276" w:lineRule="auto"/>
        <w:jc w:val="both"/>
        <w:rPr>
          <w:rFonts w:ascii="Arial" w:hAnsi="Arial" w:cs="Arial"/>
          <w:sz w:val="22"/>
          <w:szCs w:val="22"/>
        </w:rPr>
      </w:pPr>
      <w:r w:rsidRPr="00273D3E">
        <w:rPr>
          <w:rFonts w:ascii="Arial" w:hAnsi="Arial" w:cs="Arial"/>
          <w:sz w:val="22"/>
          <w:szCs w:val="22"/>
        </w:rPr>
        <w:t xml:space="preserve">Hodnota indikátoru odpovídá projektem nově vytvořené nebo modernizované </w:t>
      </w:r>
      <w:r w:rsidRPr="00273D3E">
        <w:rPr>
          <w:rFonts w:ascii="Arial" w:hAnsi="Arial" w:cs="Arial"/>
          <w:sz w:val="22"/>
          <w:szCs w:val="22"/>
          <w:u w:val="single"/>
        </w:rPr>
        <w:t>roční</w:t>
      </w:r>
      <w:r w:rsidRPr="00273D3E">
        <w:rPr>
          <w:rFonts w:ascii="Arial" w:hAnsi="Arial" w:cs="Arial"/>
          <w:sz w:val="22"/>
          <w:szCs w:val="22"/>
        </w:rPr>
        <w:t xml:space="preserve"> kapacitě zařízení, tedy maximálnímu odhadovanému počtu </w:t>
      </w:r>
      <w:r w:rsidR="005A3A23" w:rsidRPr="00273D3E">
        <w:rPr>
          <w:rFonts w:ascii="Arial" w:hAnsi="Arial" w:cs="Arial"/>
          <w:sz w:val="22"/>
          <w:szCs w:val="22"/>
        </w:rPr>
        <w:t>ú</w:t>
      </w:r>
      <w:r w:rsidR="00C13074" w:rsidRPr="00273D3E">
        <w:rPr>
          <w:rFonts w:ascii="Arial" w:hAnsi="Arial" w:cs="Arial"/>
          <w:sz w:val="22"/>
          <w:szCs w:val="22"/>
        </w:rPr>
        <w:t xml:space="preserve">konů, </w:t>
      </w:r>
      <w:r w:rsidRPr="00273D3E">
        <w:rPr>
          <w:rFonts w:ascii="Arial" w:hAnsi="Arial" w:cs="Arial"/>
          <w:sz w:val="22"/>
          <w:szCs w:val="22"/>
        </w:rPr>
        <w:t>které</w:t>
      </w:r>
      <w:r w:rsidR="00BB5E58" w:rsidRPr="00273D3E">
        <w:rPr>
          <w:rFonts w:ascii="Arial" w:hAnsi="Arial" w:cs="Arial"/>
          <w:sz w:val="22"/>
          <w:szCs w:val="22"/>
        </w:rPr>
        <w:t xml:space="preserve"> bude</w:t>
      </w:r>
      <w:r w:rsidRPr="00273D3E">
        <w:rPr>
          <w:rFonts w:ascii="Arial" w:hAnsi="Arial" w:cs="Arial"/>
          <w:sz w:val="22"/>
          <w:szCs w:val="22"/>
        </w:rPr>
        <w:t xml:space="preserve"> zařízení schopno</w:t>
      </w:r>
      <w:r w:rsidR="00BB5E58" w:rsidRPr="00273D3E">
        <w:rPr>
          <w:rFonts w:ascii="Arial" w:hAnsi="Arial" w:cs="Arial"/>
          <w:sz w:val="22"/>
          <w:szCs w:val="22"/>
        </w:rPr>
        <w:t xml:space="preserve"> nově či lépe</w:t>
      </w:r>
      <w:r w:rsidRPr="00273D3E">
        <w:rPr>
          <w:rFonts w:ascii="Arial" w:hAnsi="Arial" w:cs="Arial"/>
          <w:sz w:val="22"/>
          <w:szCs w:val="22"/>
        </w:rPr>
        <w:t xml:space="preserve"> </w:t>
      </w:r>
      <w:r w:rsidR="00C13074" w:rsidRPr="00273D3E">
        <w:rPr>
          <w:rFonts w:ascii="Arial" w:hAnsi="Arial" w:cs="Arial"/>
          <w:sz w:val="22"/>
          <w:szCs w:val="22"/>
        </w:rPr>
        <w:t>realizovat</w:t>
      </w:r>
      <w:r w:rsidR="00594A6E" w:rsidRPr="00273D3E">
        <w:rPr>
          <w:rFonts w:ascii="Arial" w:hAnsi="Arial" w:cs="Arial"/>
          <w:sz w:val="22"/>
          <w:szCs w:val="22"/>
        </w:rPr>
        <w:t xml:space="preserve"> díky obdržené podpoře</w:t>
      </w:r>
      <w:r w:rsidRPr="00273D3E">
        <w:rPr>
          <w:rFonts w:ascii="Arial" w:hAnsi="Arial" w:cs="Arial"/>
          <w:sz w:val="22"/>
          <w:szCs w:val="22"/>
          <w:u w:val="single"/>
        </w:rPr>
        <w:t>. Hodnota indikátoru je přímo vázána na konkrétní projektem podpořené či vybudované kapacity</w:t>
      </w:r>
      <w:r w:rsidRPr="00273D3E">
        <w:rPr>
          <w:rFonts w:ascii="Arial" w:hAnsi="Arial" w:cs="Arial"/>
          <w:sz w:val="22"/>
          <w:szCs w:val="22"/>
        </w:rPr>
        <w:t xml:space="preserve">, nikoliv na celé zařízení či všechny hypoteticky podporované </w:t>
      </w:r>
      <w:r w:rsidR="00447D09" w:rsidRPr="00273D3E">
        <w:rPr>
          <w:rFonts w:ascii="Arial" w:hAnsi="Arial" w:cs="Arial"/>
          <w:sz w:val="22"/>
          <w:szCs w:val="22"/>
        </w:rPr>
        <w:t xml:space="preserve">úkony. </w:t>
      </w:r>
      <w:r w:rsidRPr="00273D3E">
        <w:rPr>
          <w:rFonts w:ascii="Arial" w:hAnsi="Arial" w:cs="Arial"/>
          <w:sz w:val="22"/>
          <w:szCs w:val="22"/>
        </w:rPr>
        <w:t xml:space="preserve">Hodnoty jsou vykazovány jako prostý součet </w:t>
      </w:r>
      <w:r w:rsidRPr="00273D3E">
        <w:rPr>
          <w:rFonts w:ascii="Arial" w:hAnsi="Arial" w:cs="Arial"/>
          <w:sz w:val="22"/>
          <w:szCs w:val="22"/>
          <w:u w:val="single"/>
        </w:rPr>
        <w:t>nové či zlepšené nominální kapacity daného zařízení v důsledku realizace projektu.</w:t>
      </w:r>
      <w:r w:rsidRPr="00273D3E">
        <w:rPr>
          <w:rFonts w:ascii="Arial" w:hAnsi="Arial" w:cs="Arial"/>
          <w:sz w:val="22"/>
          <w:szCs w:val="22"/>
        </w:rPr>
        <w:t xml:space="preserve"> </w:t>
      </w:r>
    </w:p>
    <w:p w14:paraId="29F77EE3" w14:textId="2212DE1A" w:rsidR="00FA73A7" w:rsidRPr="00273D3E" w:rsidRDefault="00FA73A7" w:rsidP="00FA73A7">
      <w:pPr>
        <w:spacing w:before="240" w:after="240" w:line="276" w:lineRule="auto"/>
        <w:jc w:val="both"/>
        <w:rPr>
          <w:rFonts w:ascii="Arial" w:hAnsi="Arial" w:cs="Arial"/>
          <w:sz w:val="22"/>
          <w:szCs w:val="22"/>
          <w:u w:val="single"/>
        </w:rPr>
      </w:pPr>
      <w:r w:rsidRPr="00273D3E">
        <w:rPr>
          <w:rFonts w:ascii="Arial" w:hAnsi="Arial" w:cs="Arial"/>
          <w:sz w:val="22"/>
          <w:szCs w:val="22"/>
        </w:rPr>
        <w:t xml:space="preserve">Hodnota je vykazována s přesností na celé </w:t>
      </w:r>
      <w:r w:rsidR="00413F13" w:rsidRPr="00273D3E">
        <w:rPr>
          <w:rFonts w:ascii="Arial" w:hAnsi="Arial" w:cs="Arial"/>
          <w:sz w:val="22"/>
          <w:szCs w:val="22"/>
        </w:rPr>
        <w:t>ú</w:t>
      </w:r>
      <w:r w:rsidR="00447D09" w:rsidRPr="00273D3E">
        <w:rPr>
          <w:rFonts w:ascii="Arial" w:hAnsi="Arial" w:cs="Arial"/>
          <w:sz w:val="22"/>
          <w:szCs w:val="22"/>
        </w:rPr>
        <w:t>kony</w:t>
      </w:r>
      <w:r w:rsidRPr="00273D3E">
        <w:rPr>
          <w:rFonts w:ascii="Arial" w:hAnsi="Arial" w:cs="Arial"/>
          <w:sz w:val="22"/>
          <w:szCs w:val="22"/>
        </w:rPr>
        <w:t xml:space="preserve"> </w:t>
      </w:r>
      <w:r w:rsidRPr="00273D3E">
        <w:rPr>
          <w:rFonts w:ascii="Arial" w:hAnsi="Arial" w:cs="Arial"/>
          <w:sz w:val="22"/>
          <w:szCs w:val="22"/>
          <w:u w:val="single"/>
        </w:rPr>
        <w:t>(není možné vykázat desetinné číslo).</w:t>
      </w:r>
    </w:p>
    <w:p w14:paraId="16CB952C" w14:textId="77777777" w:rsidR="00FA73A7" w:rsidRPr="00273D3E" w:rsidRDefault="00FA73A7" w:rsidP="00FA73A7">
      <w:pPr>
        <w:keepNext/>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lastRenderedPageBreak/>
        <w:t>postup vykazování</w:t>
      </w:r>
    </w:p>
    <w:p w14:paraId="1B267022" w14:textId="77777777" w:rsidR="00FA73A7" w:rsidRPr="00273D3E" w:rsidRDefault="00FA73A7" w:rsidP="00FA73A7">
      <w:pPr>
        <w:spacing w:line="276" w:lineRule="auto"/>
        <w:jc w:val="both"/>
        <w:rPr>
          <w:rFonts w:ascii="Arial" w:hAnsi="Arial" w:cs="Arial"/>
          <w:sz w:val="22"/>
          <w:szCs w:val="22"/>
        </w:rPr>
      </w:pPr>
      <w:r w:rsidRPr="00273D3E">
        <w:rPr>
          <w:rFonts w:ascii="Arial" w:hAnsi="Arial" w:cs="Arial"/>
          <w:b/>
          <w:bCs/>
          <w:sz w:val="22"/>
          <w:szCs w:val="22"/>
        </w:rPr>
        <w:t xml:space="preserve">Výchozí hodnota: </w:t>
      </w:r>
      <w:r w:rsidRPr="00273D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CA89634" w14:textId="25B8D547" w:rsidR="00FA73A7" w:rsidRPr="00273D3E" w:rsidRDefault="00FA73A7" w:rsidP="00FA73A7">
      <w:pPr>
        <w:spacing w:before="240" w:after="240" w:line="276" w:lineRule="auto"/>
        <w:jc w:val="both"/>
        <w:rPr>
          <w:rFonts w:ascii="Arial" w:hAnsi="Arial" w:cs="Arial"/>
          <w:sz w:val="22"/>
          <w:szCs w:val="22"/>
        </w:rPr>
      </w:pPr>
      <w:r w:rsidRPr="00273D3E">
        <w:rPr>
          <w:rFonts w:ascii="Arial" w:hAnsi="Arial" w:cs="Arial"/>
          <w:b/>
          <w:bCs/>
          <w:sz w:val="22"/>
          <w:szCs w:val="22"/>
        </w:rPr>
        <w:t>Cílová hodnota:</w:t>
      </w:r>
      <w:r w:rsidRPr="00273D3E">
        <w:rPr>
          <w:rFonts w:ascii="Arial" w:hAnsi="Arial" w:cs="Arial"/>
          <w:sz w:val="22"/>
          <w:szCs w:val="22"/>
        </w:rPr>
        <w:t xml:space="preserve"> Plánovaná nominální kapacita zařízení, kterou se žadatel zavazuje vybudovat či modernizovat</w:t>
      </w:r>
      <w:r w:rsidRPr="00273D3E">
        <w:rPr>
          <w:rFonts w:ascii="Arial" w:hAnsi="Arial" w:cs="Arial"/>
          <w:color w:val="000000" w:themeColor="text1"/>
          <w:sz w:val="22"/>
          <w:szCs w:val="22"/>
        </w:rPr>
        <w:t xml:space="preserve">. </w:t>
      </w:r>
      <w:r w:rsidRPr="00273D3E">
        <w:rPr>
          <w:rFonts w:ascii="Arial" w:hAnsi="Arial" w:cs="Arial"/>
          <w:sz w:val="22"/>
          <w:szCs w:val="22"/>
        </w:rPr>
        <w:t xml:space="preserve">Žadatel uvede jako cílovou hodnotu maximální roční počet </w:t>
      </w:r>
      <w:r w:rsidR="005A3A23" w:rsidRPr="00273D3E">
        <w:rPr>
          <w:rFonts w:ascii="Arial" w:hAnsi="Arial" w:cs="Arial"/>
          <w:sz w:val="22"/>
          <w:szCs w:val="22"/>
        </w:rPr>
        <w:t>úkonů</w:t>
      </w:r>
      <w:r w:rsidRPr="00273D3E">
        <w:rPr>
          <w:rFonts w:ascii="Arial" w:hAnsi="Arial" w:cs="Arial"/>
          <w:sz w:val="22"/>
          <w:szCs w:val="22"/>
        </w:rPr>
        <w:t xml:space="preserve">, které mohou být v novém nebo modernizovaném zařízení </w:t>
      </w:r>
      <w:r w:rsidR="00413F13" w:rsidRPr="00273D3E">
        <w:rPr>
          <w:rFonts w:ascii="Arial" w:hAnsi="Arial" w:cs="Arial"/>
          <w:sz w:val="22"/>
          <w:szCs w:val="22"/>
        </w:rPr>
        <w:t xml:space="preserve">realizovány za období jednoho roku. </w:t>
      </w:r>
    </w:p>
    <w:p w14:paraId="5A97182A" w14:textId="77777777" w:rsidR="00FA73A7" w:rsidRPr="00273D3E" w:rsidRDefault="00FA73A7" w:rsidP="00FA73A7">
      <w:pPr>
        <w:ind w:left="720"/>
        <w:contextualSpacing/>
      </w:pPr>
    </w:p>
    <w:p w14:paraId="5EDF8E1D" w14:textId="743A140C" w:rsidR="00FA73A7" w:rsidRPr="00273D3E" w:rsidRDefault="00FA73A7" w:rsidP="00FA73A7">
      <w:pPr>
        <w:pBdr>
          <w:top w:val="single" w:sz="4" w:space="1" w:color="auto"/>
          <w:left w:val="single" w:sz="4" w:space="4" w:color="auto"/>
          <w:bottom w:val="single" w:sz="4" w:space="1" w:color="auto"/>
          <w:right w:val="single" w:sz="4" w:space="4" w:color="auto"/>
        </w:pBdr>
        <w:rPr>
          <w:rFonts w:ascii="Arial" w:hAnsi="Arial" w:cs="Arial"/>
          <w:sz w:val="22"/>
          <w:szCs w:val="22"/>
        </w:rPr>
      </w:pPr>
      <w:r w:rsidRPr="00273D3E">
        <w:rPr>
          <w:rFonts w:ascii="Arial" w:hAnsi="Arial" w:cs="Arial"/>
          <w:b/>
          <w:bCs/>
          <w:sz w:val="22"/>
          <w:szCs w:val="22"/>
        </w:rPr>
        <w:t>PŘÍKLADY</w:t>
      </w:r>
    </w:p>
    <w:p w14:paraId="415BD4AA" w14:textId="1E1B562B" w:rsidR="00FA73A7" w:rsidRPr="00273D3E" w:rsidRDefault="00FA73A7" w:rsidP="00FA73A7">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273D3E">
        <w:rPr>
          <w:rFonts w:ascii="Arial" w:hAnsi="Arial" w:cs="Arial"/>
          <w:sz w:val="22"/>
          <w:szCs w:val="22"/>
        </w:rPr>
        <w:t xml:space="preserve">Žadatel plánuje </w:t>
      </w:r>
      <w:r w:rsidR="007C2544" w:rsidRPr="00273D3E">
        <w:rPr>
          <w:rFonts w:ascii="Arial" w:hAnsi="Arial" w:cs="Arial"/>
          <w:sz w:val="22"/>
          <w:szCs w:val="22"/>
        </w:rPr>
        <w:t xml:space="preserve">pořídit </w:t>
      </w:r>
      <w:proofErr w:type="gramStart"/>
      <w:r w:rsidR="001140D8">
        <w:rPr>
          <w:rFonts w:ascii="Arial" w:hAnsi="Arial" w:cs="Arial"/>
          <w:sz w:val="22"/>
          <w:szCs w:val="22"/>
        </w:rPr>
        <w:t>čtyři  nové</w:t>
      </w:r>
      <w:proofErr w:type="gramEnd"/>
      <w:r w:rsidR="00360B20" w:rsidRPr="00273D3E">
        <w:rPr>
          <w:rFonts w:ascii="Arial" w:hAnsi="Arial" w:cs="Arial"/>
          <w:sz w:val="22"/>
          <w:szCs w:val="22"/>
        </w:rPr>
        <w:t xml:space="preserve"> automobily</w:t>
      </w:r>
      <w:r w:rsidR="001140D8">
        <w:rPr>
          <w:rFonts w:ascii="Arial" w:hAnsi="Arial" w:cs="Arial"/>
          <w:sz w:val="22"/>
          <w:szCs w:val="22"/>
        </w:rPr>
        <w:t xml:space="preserve"> (fungující jako </w:t>
      </w:r>
      <w:r w:rsidR="00360B20" w:rsidRPr="00273D3E">
        <w:rPr>
          <w:rFonts w:ascii="Arial" w:hAnsi="Arial" w:cs="Arial"/>
          <w:sz w:val="22"/>
          <w:szCs w:val="22"/>
        </w:rPr>
        <w:t>mobilní kanceláře</w:t>
      </w:r>
      <w:r w:rsidR="001140D8">
        <w:rPr>
          <w:rFonts w:ascii="Arial" w:hAnsi="Arial" w:cs="Arial"/>
          <w:sz w:val="22"/>
          <w:szCs w:val="22"/>
        </w:rPr>
        <w:t>)</w:t>
      </w:r>
      <w:r w:rsidR="00413071" w:rsidRPr="00273D3E">
        <w:rPr>
          <w:rFonts w:ascii="Arial" w:hAnsi="Arial" w:cs="Arial"/>
          <w:sz w:val="22"/>
          <w:szCs w:val="22"/>
        </w:rPr>
        <w:t xml:space="preserve">, díky nimž bude moci zajistit </w:t>
      </w:r>
      <w:r w:rsidR="0033217D">
        <w:rPr>
          <w:rFonts w:ascii="Arial" w:hAnsi="Arial" w:cs="Arial"/>
          <w:sz w:val="22"/>
          <w:szCs w:val="22"/>
        </w:rPr>
        <w:t xml:space="preserve">provedení </w:t>
      </w:r>
      <w:r w:rsidR="00413071" w:rsidRPr="00273D3E">
        <w:rPr>
          <w:rFonts w:ascii="Arial" w:hAnsi="Arial" w:cs="Arial"/>
          <w:sz w:val="22"/>
          <w:szCs w:val="22"/>
        </w:rPr>
        <w:t>kontrol</w:t>
      </w:r>
      <w:r w:rsidR="0033217D">
        <w:rPr>
          <w:rFonts w:ascii="Arial" w:hAnsi="Arial" w:cs="Arial"/>
          <w:sz w:val="22"/>
          <w:szCs w:val="22"/>
        </w:rPr>
        <w:t xml:space="preserve"> </w:t>
      </w:r>
      <w:r w:rsidR="00413071" w:rsidRPr="00273D3E">
        <w:rPr>
          <w:rFonts w:ascii="Arial" w:hAnsi="Arial" w:cs="Arial"/>
          <w:sz w:val="22"/>
          <w:szCs w:val="22"/>
        </w:rPr>
        <w:t xml:space="preserve">v odlehlých částech kraje. </w:t>
      </w:r>
      <w:r w:rsidR="00227ADA" w:rsidRPr="00273D3E">
        <w:rPr>
          <w:rFonts w:ascii="Arial" w:hAnsi="Arial" w:cs="Arial"/>
          <w:sz w:val="22"/>
          <w:szCs w:val="22"/>
        </w:rPr>
        <w:t>V současné době již vlastní dva automobily s mobilními kancelářemi</w:t>
      </w:r>
      <w:r w:rsidR="001140D8">
        <w:rPr>
          <w:rFonts w:ascii="Arial" w:hAnsi="Arial" w:cs="Arial"/>
          <w:sz w:val="22"/>
          <w:szCs w:val="22"/>
        </w:rPr>
        <w:t xml:space="preserve">, které budou nahrazeny novými (kus za kus) a dva zbývající automobily </w:t>
      </w:r>
      <w:proofErr w:type="gramStart"/>
      <w:r w:rsidR="001140D8">
        <w:rPr>
          <w:rFonts w:ascii="Arial" w:hAnsi="Arial" w:cs="Arial"/>
          <w:sz w:val="22"/>
          <w:szCs w:val="22"/>
        </w:rPr>
        <w:t>zvýší</w:t>
      </w:r>
      <w:proofErr w:type="gramEnd"/>
      <w:r w:rsidR="001140D8">
        <w:rPr>
          <w:rFonts w:ascii="Arial" w:hAnsi="Arial" w:cs="Arial"/>
          <w:sz w:val="22"/>
          <w:szCs w:val="22"/>
        </w:rPr>
        <w:t xml:space="preserve"> kapacity zařízení.</w:t>
      </w:r>
      <w:r w:rsidR="00227ADA" w:rsidRPr="00273D3E">
        <w:rPr>
          <w:rFonts w:ascii="Arial" w:hAnsi="Arial" w:cs="Arial"/>
          <w:sz w:val="22"/>
          <w:szCs w:val="22"/>
        </w:rPr>
        <w:t xml:space="preserve"> </w:t>
      </w:r>
      <w:r w:rsidR="00413071" w:rsidRPr="00273D3E">
        <w:rPr>
          <w:rFonts w:ascii="Arial" w:hAnsi="Arial" w:cs="Arial"/>
          <w:sz w:val="22"/>
          <w:szCs w:val="22"/>
        </w:rPr>
        <w:t xml:space="preserve">Max. denní počet provedených kontrol je stanoven na </w:t>
      </w:r>
      <w:r w:rsidR="00626409" w:rsidRPr="00273D3E">
        <w:rPr>
          <w:rFonts w:ascii="Arial" w:hAnsi="Arial" w:cs="Arial"/>
          <w:sz w:val="22"/>
          <w:szCs w:val="22"/>
        </w:rPr>
        <w:t>2</w:t>
      </w:r>
      <w:r w:rsidR="00413071" w:rsidRPr="00273D3E">
        <w:rPr>
          <w:rFonts w:ascii="Arial" w:hAnsi="Arial" w:cs="Arial"/>
          <w:sz w:val="22"/>
          <w:szCs w:val="22"/>
        </w:rPr>
        <w:t xml:space="preserve"> pro každou kontrolní skupinu, tj. celkem je možno denně provést max. </w:t>
      </w:r>
      <w:r w:rsidR="00626409" w:rsidRPr="00273D3E">
        <w:rPr>
          <w:rFonts w:ascii="Arial" w:hAnsi="Arial" w:cs="Arial"/>
          <w:sz w:val="22"/>
          <w:szCs w:val="22"/>
        </w:rPr>
        <w:t>8</w:t>
      </w:r>
      <w:r w:rsidR="00413071" w:rsidRPr="00273D3E">
        <w:rPr>
          <w:rFonts w:ascii="Arial" w:hAnsi="Arial" w:cs="Arial"/>
          <w:sz w:val="22"/>
          <w:szCs w:val="22"/>
        </w:rPr>
        <w:t xml:space="preserve"> kontrol. Kontroly jsou realizovány pravidelně ve dvou dnech pracovního týdne v období cca 48 týdnů v roce. Teoretická kapacita bude tedy činit </w:t>
      </w:r>
      <w:r w:rsidR="00626409" w:rsidRPr="00273D3E">
        <w:rPr>
          <w:rFonts w:ascii="Arial" w:hAnsi="Arial" w:cs="Arial"/>
          <w:sz w:val="22"/>
          <w:szCs w:val="22"/>
        </w:rPr>
        <w:t>8</w:t>
      </w:r>
      <w:r w:rsidR="00413071" w:rsidRPr="00273D3E">
        <w:rPr>
          <w:rFonts w:ascii="Arial" w:hAnsi="Arial" w:cs="Arial"/>
          <w:sz w:val="22"/>
          <w:szCs w:val="22"/>
        </w:rPr>
        <w:t xml:space="preserve">*2*48 = </w:t>
      </w:r>
      <w:r w:rsidR="00626409" w:rsidRPr="00273D3E">
        <w:rPr>
          <w:rFonts w:ascii="Arial" w:hAnsi="Arial" w:cs="Arial"/>
          <w:sz w:val="22"/>
          <w:szCs w:val="22"/>
        </w:rPr>
        <w:t>768</w:t>
      </w:r>
      <w:r w:rsidRPr="00273D3E">
        <w:rPr>
          <w:rFonts w:ascii="Arial" w:hAnsi="Arial" w:cs="Arial"/>
          <w:sz w:val="22"/>
          <w:szCs w:val="22"/>
        </w:rPr>
        <w:t>, což je cílová hodnota indikátoru. Výchozí hodnota indikátoru bude vždy 0.</w:t>
      </w:r>
    </w:p>
    <w:p w14:paraId="158686CF" w14:textId="19C55F94" w:rsidR="00FA73A7" w:rsidRPr="00273D3E" w:rsidRDefault="00FA73A7" w:rsidP="00EA3B96">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273D3E">
        <w:rPr>
          <w:rFonts w:ascii="Arial" w:hAnsi="Arial" w:cs="Arial"/>
          <w:sz w:val="22"/>
          <w:szCs w:val="22"/>
        </w:rPr>
        <w:t xml:space="preserve">Žadatel plánuje </w:t>
      </w:r>
      <w:r w:rsidR="00670B43" w:rsidRPr="00273D3E">
        <w:rPr>
          <w:rFonts w:ascii="Arial" w:hAnsi="Arial" w:cs="Arial"/>
          <w:sz w:val="22"/>
          <w:szCs w:val="22"/>
        </w:rPr>
        <w:t xml:space="preserve">pořídit laboratorní přístroje, jejichž souhrnná denní kapacita je </w:t>
      </w:r>
      <w:r w:rsidR="00D0038C" w:rsidRPr="00273D3E">
        <w:rPr>
          <w:rFonts w:ascii="Arial" w:hAnsi="Arial" w:cs="Arial"/>
          <w:sz w:val="22"/>
          <w:szCs w:val="22"/>
        </w:rPr>
        <w:t>8</w:t>
      </w:r>
      <w:r w:rsidR="00670B43" w:rsidRPr="00273D3E">
        <w:rPr>
          <w:rFonts w:ascii="Arial" w:hAnsi="Arial" w:cs="Arial"/>
          <w:sz w:val="22"/>
          <w:szCs w:val="22"/>
        </w:rPr>
        <w:t>0</w:t>
      </w:r>
      <w:r w:rsidR="0033217D">
        <w:rPr>
          <w:rFonts w:ascii="Arial" w:hAnsi="Arial" w:cs="Arial"/>
          <w:sz w:val="22"/>
          <w:szCs w:val="22"/>
        </w:rPr>
        <w:t xml:space="preserve"> laboratorních analýz</w:t>
      </w:r>
      <w:r w:rsidR="00670B43" w:rsidRPr="00273D3E">
        <w:rPr>
          <w:rFonts w:ascii="Arial" w:hAnsi="Arial" w:cs="Arial"/>
          <w:sz w:val="22"/>
          <w:szCs w:val="22"/>
        </w:rPr>
        <w:t xml:space="preserve">. Práce na přístrojích probíhá v pracovní dny v období cca 48 týdnů v roce. Teoretická kapacita tedy bude činit </w:t>
      </w:r>
      <w:r w:rsidR="00D0038C" w:rsidRPr="00273D3E">
        <w:rPr>
          <w:rFonts w:ascii="Arial" w:hAnsi="Arial" w:cs="Arial"/>
          <w:sz w:val="22"/>
          <w:szCs w:val="22"/>
        </w:rPr>
        <w:t xml:space="preserve">80*5*48 = 19 200, což </w:t>
      </w:r>
      <w:r w:rsidRPr="00273D3E">
        <w:rPr>
          <w:rFonts w:ascii="Arial" w:hAnsi="Arial" w:cs="Arial"/>
          <w:sz w:val="22"/>
          <w:szCs w:val="22"/>
        </w:rPr>
        <w:t xml:space="preserve">je cílová hodnota indikátoru. Výchozí hodnota indikátoru bude vždy nula. </w:t>
      </w:r>
      <w:r w:rsidR="001140D8">
        <w:rPr>
          <w:rFonts w:ascii="Arial" w:hAnsi="Arial" w:cs="Arial"/>
          <w:sz w:val="22"/>
          <w:szCs w:val="22"/>
        </w:rPr>
        <w:t xml:space="preserve"> </w:t>
      </w:r>
    </w:p>
    <w:p w14:paraId="27871C4D" w14:textId="52E22C56" w:rsidR="00FA73A7" w:rsidRPr="00273D3E" w:rsidRDefault="00FA73A7" w:rsidP="00FA73A7">
      <w:pPr>
        <w:spacing w:before="240" w:after="240" w:line="276" w:lineRule="auto"/>
        <w:jc w:val="both"/>
        <w:rPr>
          <w:rFonts w:ascii="Arial" w:hAnsi="Arial" w:cs="Arial"/>
          <w:sz w:val="22"/>
          <w:szCs w:val="22"/>
        </w:rPr>
      </w:pPr>
      <w:r w:rsidRPr="00273D3E">
        <w:rPr>
          <w:rFonts w:ascii="Arial" w:hAnsi="Arial" w:cs="Arial"/>
          <w:b/>
          <w:bCs/>
          <w:sz w:val="22"/>
          <w:szCs w:val="22"/>
        </w:rPr>
        <w:t xml:space="preserve">Žadatel ve studii proveditelnosti uvede způsob výpočtu tak, aby jeho výsledek odpovídal cílové hodnotě a bylo možné ho ověřit. </w:t>
      </w:r>
      <w:r w:rsidRPr="00273D3E">
        <w:rPr>
          <w:rFonts w:ascii="Arial" w:hAnsi="Arial" w:cs="Arial"/>
          <w:sz w:val="22"/>
          <w:szCs w:val="22"/>
        </w:rPr>
        <w:t xml:space="preserve">Tuto hodnotu se příjemce zavazuje naplnit k datu </w:t>
      </w:r>
      <w:r w:rsidRPr="00273D3E">
        <w:rPr>
          <w:rFonts w:ascii="Arial" w:hAnsi="Arial" w:cs="Arial"/>
          <w:color w:val="000000" w:themeColor="text1"/>
          <w:sz w:val="22"/>
          <w:szCs w:val="22"/>
        </w:rPr>
        <w:t xml:space="preserve">ukončení realizace projektu </w:t>
      </w:r>
      <w:r w:rsidRPr="00273D3E">
        <w:rPr>
          <w:rFonts w:ascii="Arial" w:hAnsi="Arial" w:cs="Arial"/>
          <w:sz w:val="22"/>
          <w:szCs w:val="22"/>
        </w:rPr>
        <w:t xml:space="preserve">a od tohoto okamžiku udržet až do konce udržitelnosti projektu. </w:t>
      </w:r>
    </w:p>
    <w:p w14:paraId="05556D0D" w14:textId="77777777" w:rsidR="00FA73A7" w:rsidRPr="00273D3E" w:rsidRDefault="00FA73A7" w:rsidP="00FA73A7">
      <w:pPr>
        <w:spacing w:after="200" w:line="276" w:lineRule="auto"/>
        <w:jc w:val="both"/>
        <w:rPr>
          <w:rFonts w:ascii="Arial" w:hAnsi="Arial" w:cs="Arial"/>
          <w:color w:val="FF0000"/>
          <w:sz w:val="22"/>
          <w:szCs w:val="22"/>
        </w:rPr>
      </w:pPr>
      <w:r w:rsidRPr="00273D3E">
        <w:rPr>
          <w:rFonts w:ascii="Arial" w:hAnsi="Arial" w:cs="Arial"/>
          <w:b/>
          <w:bCs/>
          <w:sz w:val="22"/>
          <w:szCs w:val="22"/>
        </w:rPr>
        <w:t>Datum cílové hodnoty:</w:t>
      </w:r>
      <w:r w:rsidRPr="00273D3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9452C3E"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Datum je nutné při případném prodloužení realizace projektu udržovat aktuální, tj. v souladu s výše uvedeným.</w:t>
      </w:r>
    </w:p>
    <w:p w14:paraId="2DBF19EC"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b/>
          <w:bCs/>
          <w:sz w:val="22"/>
          <w:szCs w:val="22"/>
        </w:rPr>
        <w:t>Dosažená hodnota:</w:t>
      </w:r>
      <w:r w:rsidRPr="00273D3E">
        <w:rPr>
          <w:rFonts w:ascii="Arial" w:hAnsi="Arial" w:cs="Arial"/>
          <w:sz w:val="22"/>
          <w:szCs w:val="22"/>
        </w:rPr>
        <w:t xml:space="preserve"> Skutečně modernizovaná nebo nově vybudovaná nominální kapacita zařízení. Hodnotu je nutné poprvé vykázat nejpozději k Rozhodnému datu, tedy v Závěrečné zprávě o realizaci projektu k datu ukončení realizace projektu.</w:t>
      </w:r>
    </w:p>
    <w:p w14:paraId="17522C95"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6850C4C" w14:textId="77777777" w:rsidR="00FA73A7" w:rsidRPr="00273D3E" w:rsidRDefault="00FA73A7" w:rsidP="00FA73A7">
      <w:pPr>
        <w:spacing w:line="276" w:lineRule="auto"/>
        <w:jc w:val="both"/>
        <w:rPr>
          <w:rFonts w:ascii="Arial" w:eastAsiaTheme="minorHAnsi" w:hAnsi="Arial" w:cs="Arial"/>
          <w:b/>
          <w:bCs/>
          <w:i/>
          <w:iCs/>
          <w:caps/>
          <w:color w:val="31849B" w:themeColor="accent5" w:themeShade="BF"/>
          <w:lang w:eastAsia="en-US"/>
        </w:rPr>
      </w:pPr>
    </w:p>
    <w:p w14:paraId="793593FA" w14:textId="77777777" w:rsidR="00FA73A7" w:rsidRDefault="00FA73A7" w:rsidP="00FA73A7">
      <w:pPr>
        <w:spacing w:line="276" w:lineRule="auto"/>
        <w:jc w:val="both"/>
        <w:rPr>
          <w:rFonts w:ascii="Arial" w:eastAsiaTheme="minorHAnsi" w:hAnsi="Arial"/>
          <w:i/>
          <w:iCs/>
          <w:caps/>
          <w:color w:val="31849B" w:themeColor="accent5" w:themeShade="BF"/>
        </w:rPr>
      </w:pPr>
    </w:p>
    <w:p w14:paraId="5B82DC4E" w14:textId="77777777" w:rsidR="00490AD1" w:rsidRDefault="00490AD1" w:rsidP="00FA73A7">
      <w:pPr>
        <w:spacing w:line="276" w:lineRule="auto"/>
        <w:jc w:val="both"/>
        <w:rPr>
          <w:rFonts w:ascii="Arial" w:eastAsiaTheme="minorHAnsi" w:hAnsi="Arial"/>
          <w:i/>
          <w:iCs/>
          <w:caps/>
          <w:color w:val="31849B" w:themeColor="accent5" w:themeShade="BF"/>
        </w:rPr>
      </w:pPr>
    </w:p>
    <w:p w14:paraId="0D72CAEC" w14:textId="77777777" w:rsidR="001C1FAD" w:rsidRDefault="001C1FAD" w:rsidP="00FA73A7">
      <w:pPr>
        <w:spacing w:line="276" w:lineRule="auto"/>
        <w:jc w:val="both"/>
        <w:rPr>
          <w:rFonts w:ascii="Arial" w:eastAsiaTheme="minorHAnsi" w:hAnsi="Arial"/>
          <w:i/>
          <w:iCs/>
          <w:caps/>
          <w:color w:val="31849B" w:themeColor="accent5" w:themeShade="BF"/>
        </w:rPr>
      </w:pPr>
    </w:p>
    <w:p w14:paraId="1E9E01D5" w14:textId="77777777" w:rsidR="001C1FAD" w:rsidRPr="00273D3E" w:rsidRDefault="001C1FAD" w:rsidP="00FA73A7">
      <w:pPr>
        <w:spacing w:line="276" w:lineRule="auto"/>
        <w:jc w:val="both"/>
        <w:rPr>
          <w:rFonts w:ascii="Arial" w:eastAsiaTheme="minorHAnsi" w:hAnsi="Arial"/>
          <w:i/>
          <w:iCs/>
          <w:caps/>
          <w:color w:val="31849B" w:themeColor="accent5" w:themeShade="BF"/>
        </w:rPr>
      </w:pPr>
    </w:p>
    <w:p w14:paraId="177ACBE5" w14:textId="77777777" w:rsidR="00FA73A7" w:rsidRPr="00273D3E" w:rsidRDefault="00FA73A7" w:rsidP="00FA73A7">
      <w:pPr>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FA73A7" w:rsidRPr="00273D3E" w14:paraId="0395D713" w14:textId="77777777" w:rsidTr="00EA3B96">
        <w:trPr>
          <w:trHeight w:val="699"/>
        </w:trPr>
        <w:tc>
          <w:tcPr>
            <w:tcW w:w="5297" w:type="dxa"/>
          </w:tcPr>
          <w:p w14:paraId="5CECBD39" w14:textId="77777777" w:rsidR="00FA73A7" w:rsidRPr="00273D3E" w:rsidRDefault="00FA73A7" w:rsidP="00FA73A7">
            <w:pPr>
              <w:spacing w:before="120" w:after="120" w:line="271" w:lineRule="auto"/>
              <w:ind w:left="52"/>
              <w:jc w:val="both"/>
              <w:rPr>
                <w:rFonts w:ascii="Arial" w:hAnsi="Arial" w:cs="Arial"/>
                <w:b/>
                <w:bCs/>
                <w:sz w:val="22"/>
                <w:szCs w:val="22"/>
              </w:rPr>
            </w:pPr>
            <w:r w:rsidRPr="00273D3E">
              <w:rPr>
                <w:rFonts w:ascii="Arial" w:hAnsi="Arial" w:cs="Arial"/>
                <w:b/>
                <w:bCs/>
                <w:sz w:val="22"/>
                <w:szCs w:val="22"/>
              </w:rPr>
              <w:t>V Závěrečné zprávě o realizaci projektu:</w:t>
            </w:r>
          </w:p>
          <w:p w14:paraId="012413EB" w14:textId="77777777" w:rsidR="00FA73A7" w:rsidRPr="00273D3E" w:rsidRDefault="00FA73A7" w:rsidP="00FA73A7">
            <w:pPr>
              <w:numPr>
                <w:ilvl w:val="0"/>
                <w:numId w:val="36"/>
              </w:numPr>
              <w:spacing w:before="120" w:after="120" w:line="271" w:lineRule="auto"/>
              <w:ind w:left="694"/>
              <w:contextualSpacing/>
              <w:jc w:val="both"/>
              <w:rPr>
                <w:rFonts w:ascii="Arial" w:hAnsi="Arial" w:cs="Arial"/>
                <w:sz w:val="22"/>
                <w:szCs w:val="22"/>
              </w:rPr>
            </w:pPr>
            <w:r w:rsidRPr="00273D3E">
              <w:rPr>
                <w:rFonts w:ascii="Arial" w:hAnsi="Arial" w:cs="Arial"/>
                <w:sz w:val="22"/>
                <w:szCs w:val="22"/>
              </w:rPr>
              <w:t xml:space="preserve">Fotodokumentace </w:t>
            </w:r>
          </w:p>
          <w:p w14:paraId="601CDA89" w14:textId="77777777" w:rsidR="00FA73A7" w:rsidRPr="00273D3E" w:rsidRDefault="00FA73A7" w:rsidP="00FA73A7">
            <w:pPr>
              <w:numPr>
                <w:ilvl w:val="0"/>
                <w:numId w:val="36"/>
              </w:numPr>
              <w:spacing w:before="120" w:after="120" w:line="271" w:lineRule="auto"/>
              <w:contextualSpacing/>
              <w:jc w:val="both"/>
              <w:rPr>
                <w:rFonts w:ascii="Arial" w:hAnsi="Arial" w:cs="Arial"/>
                <w:sz w:val="22"/>
                <w:szCs w:val="22"/>
              </w:rPr>
            </w:pPr>
            <w:r w:rsidRPr="00273D3E">
              <w:rPr>
                <w:rFonts w:ascii="Arial" w:hAnsi="Arial" w:cs="Arial"/>
                <w:sz w:val="22"/>
                <w:szCs w:val="22"/>
              </w:rPr>
              <w:t>Doklad o předání a převzetí díla</w:t>
            </w:r>
          </w:p>
          <w:p w14:paraId="59318C08" w14:textId="5B5006C5" w:rsidR="00FA73A7" w:rsidRPr="00273D3E" w:rsidRDefault="00FA73A7" w:rsidP="00D0038C">
            <w:pPr>
              <w:numPr>
                <w:ilvl w:val="0"/>
                <w:numId w:val="36"/>
              </w:numPr>
              <w:spacing w:before="120" w:after="120" w:line="271" w:lineRule="auto"/>
              <w:contextualSpacing/>
              <w:jc w:val="both"/>
              <w:rPr>
                <w:rFonts w:ascii="Arial" w:hAnsi="Arial" w:cs="Arial"/>
                <w:sz w:val="22"/>
                <w:szCs w:val="22"/>
              </w:rPr>
            </w:pPr>
            <w:r w:rsidRPr="00273D3E">
              <w:rPr>
                <w:rFonts w:ascii="Arial" w:hAnsi="Arial" w:cs="Arial"/>
                <w:sz w:val="22"/>
                <w:szCs w:val="22"/>
              </w:rPr>
              <w:t>Kolaudační souhlas nebo kolaudační rozhodnutí nebo rozhodnutí o povolení zkušebního provozu nebo rozhodnutí o povolení k předčasnému užívání stavby</w:t>
            </w:r>
            <w:r w:rsidR="00D0038C" w:rsidRPr="00273D3E">
              <w:rPr>
                <w:rFonts w:ascii="Arial" w:hAnsi="Arial" w:cs="Arial"/>
                <w:sz w:val="22"/>
                <w:szCs w:val="22"/>
              </w:rPr>
              <w:t xml:space="preserve"> </w:t>
            </w:r>
          </w:p>
        </w:tc>
        <w:tc>
          <w:tcPr>
            <w:tcW w:w="3969" w:type="dxa"/>
          </w:tcPr>
          <w:p w14:paraId="5CD60092" w14:textId="77777777" w:rsidR="00FA73A7" w:rsidRPr="00273D3E" w:rsidRDefault="00FA73A7" w:rsidP="00FA73A7">
            <w:pPr>
              <w:spacing w:before="120" w:after="120" w:line="271" w:lineRule="auto"/>
              <w:jc w:val="both"/>
              <w:rPr>
                <w:rFonts w:ascii="Arial" w:hAnsi="Arial" w:cs="Arial"/>
                <w:b/>
                <w:bCs/>
                <w:sz w:val="22"/>
                <w:szCs w:val="22"/>
              </w:rPr>
            </w:pPr>
            <w:r w:rsidRPr="00273D3E">
              <w:rPr>
                <w:rFonts w:ascii="Arial" w:hAnsi="Arial" w:cs="Arial"/>
                <w:b/>
                <w:bCs/>
                <w:sz w:val="22"/>
                <w:szCs w:val="22"/>
              </w:rPr>
              <w:t>V 1. Zprávě o udržitelnosti projektu:</w:t>
            </w:r>
            <w:r w:rsidRPr="00273D3E">
              <w:rPr>
                <w:rFonts w:ascii="Arial" w:hAnsi="Arial" w:cs="Arial"/>
                <w:b/>
                <w:bCs/>
                <w:sz w:val="28"/>
                <w:szCs w:val="28"/>
              </w:rPr>
              <w:t xml:space="preserve"> </w:t>
            </w:r>
          </w:p>
          <w:p w14:paraId="18E0CFF0" w14:textId="77777777" w:rsidR="00FA73A7" w:rsidRPr="00273D3E" w:rsidRDefault="00FA73A7" w:rsidP="00FA73A7">
            <w:pPr>
              <w:numPr>
                <w:ilvl w:val="0"/>
                <w:numId w:val="36"/>
              </w:numPr>
              <w:spacing w:before="120" w:after="120" w:line="271" w:lineRule="auto"/>
              <w:contextualSpacing/>
              <w:rPr>
                <w:rFonts w:ascii="Arial" w:hAnsi="Arial" w:cs="Arial"/>
                <w:b/>
                <w:bCs/>
                <w:sz w:val="22"/>
                <w:szCs w:val="22"/>
              </w:rPr>
            </w:pPr>
            <w:r w:rsidRPr="00273D3E">
              <w:rPr>
                <w:rFonts w:ascii="Arial" w:hAnsi="Arial" w:cs="Arial"/>
                <w:sz w:val="22"/>
                <w:szCs w:val="22"/>
              </w:rPr>
              <w:t xml:space="preserve">Indikátor je dokládán vždy v Závěrečné zprávě o realizaci, 1. </w:t>
            </w:r>
            <w:proofErr w:type="spellStart"/>
            <w:r w:rsidRPr="00273D3E">
              <w:rPr>
                <w:rFonts w:ascii="Arial" w:hAnsi="Arial" w:cs="Arial"/>
                <w:sz w:val="22"/>
                <w:szCs w:val="22"/>
              </w:rPr>
              <w:t>ZoU</w:t>
            </w:r>
            <w:proofErr w:type="spellEnd"/>
            <w:r w:rsidRPr="00273D3E">
              <w:rPr>
                <w:rFonts w:ascii="Arial" w:hAnsi="Arial" w:cs="Arial"/>
                <w:sz w:val="22"/>
                <w:szCs w:val="22"/>
              </w:rPr>
              <w:t xml:space="preserve"> nemá žádné pevně stanovené materiály</w:t>
            </w:r>
          </w:p>
        </w:tc>
      </w:tr>
    </w:tbl>
    <w:p w14:paraId="26689FD0" w14:textId="77777777" w:rsidR="00FA73A7" w:rsidRPr="00273D3E" w:rsidRDefault="00FA73A7" w:rsidP="00FA73A7">
      <w:pPr>
        <w:spacing w:before="120" w:after="200" w:line="276" w:lineRule="auto"/>
        <w:jc w:val="both"/>
        <w:rPr>
          <w:rFonts w:ascii="Arial" w:hAnsi="Arial" w:cs="Arial"/>
          <w:sz w:val="22"/>
          <w:szCs w:val="22"/>
        </w:rPr>
      </w:pPr>
      <w:r w:rsidRPr="00273D3E">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16C7B2FA" w14:textId="77777777" w:rsidR="00FA73A7" w:rsidRPr="00273D3E" w:rsidRDefault="00FA73A7" w:rsidP="00FA73A7">
      <w:pPr>
        <w:keepNext/>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TOLERANCE DOSAŽENÍ a udržení indikátoru </w:t>
      </w:r>
    </w:p>
    <w:p w14:paraId="0629CE15" w14:textId="6926E44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Toleranční pásmo činí 1</w:t>
      </w:r>
      <w:r w:rsidR="00594A6E" w:rsidRPr="00273D3E">
        <w:rPr>
          <w:rFonts w:ascii="Arial" w:hAnsi="Arial" w:cs="Arial"/>
          <w:sz w:val="22"/>
          <w:szCs w:val="22"/>
        </w:rPr>
        <w:t>5</w:t>
      </w:r>
      <w:r w:rsidRPr="00273D3E">
        <w:rPr>
          <w:rFonts w:ascii="Arial" w:hAnsi="Arial" w:cs="Arial"/>
          <w:sz w:val="22"/>
          <w:szCs w:val="22"/>
        </w:rPr>
        <w:t xml:space="preserve"> % cílové hodnoty indikátoru. Toto pásmo je pevně navázáno na cílovou hodnotu naplňovanou k Rozhodnému datu, ale platí tedy i pro období udržitelnosti po Rozhodném datu</w:t>
      </w:r>
      <w:r w:rsidRPr="00273D3E">
        <w:rPr>
          <w:rFonts w:ascii="Arial" w:hAnsi="Arial" w:cs="Arial"/>
          <w:sz w:val="22"/>
          <w:szCs w:val="22"/>
          <w:vertAlign w:val="superscript"/>
        </w:rPr>
        <w:footnoteReference w:id="2"/>
      </w:r>
      <w:r w:rsidRPr="00273D3E">
        <w:rPr>
          <w:rFonts w:ascii="Arial" w:hAnsi="Arial" w:cs="Arial"/>
          <w:sz w:val="22"/>
          <w:szCs w:val="22"/>
        </w:rPr>
        <w:t>. Překročení stanovené cílové hodnoty není sankcionováno.</w:t>
      </w:r>
    </w:p>
    <w:p w14:paraId="0CD3A405"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E48039F"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BBFC042"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 xml:space="preserve">V době udržitelnosti již </w:t>
      </w:r>
      <w:r w:rsidRPr="00273D3E">
        <w:rPr>
          <w:rFonts w:ascii="Arial" w:hAnsi="Arial" w:cs="Arial"/>
          <w:b/>
          <w:bCs/>
          <w:sz w:val="22"/>
          <w:szCs w:val="22"/>
          <w:u w:val="single"/>
        </w:rPr>
        <w:t>nelze cílovou hodnotu upravit</w:t>
      </w:r>
      <w:r w:rsidRPr="00273D3E">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FE53EAF" w14:textId="77777777" w:rsidR="00FA73A7" w:rsidRPr="00273D3E" w:rsidRDefault="00FA73A7" w:rsidP="00822000">
      <w:pPr>
        <w:spacing w:after="200" w:line="276" w:lineRule="auto"/>
        <w:jc w:val="both"/>
        <w:rPr>
          <w:rFonts w:ascii="Arial" w:hAnsi="Arial" w:cs="Arial"/>
          <w:sz w:val="22"/>
          <w:szCs w:val="22"/>
        </w:rPr>
      </w:pPr>
    </w:p>
    <w:p w14:paraId="7F1DEBF6" w14:textId="77777777" w:rsidR="008904D1" w:rsidRPr="00273D3E" w:rsidRDefault="008904D1" w:rsidP="008904D1">
      <w:pPr>
        <w:spacing w:after="200" w:line="276" w:lineRule="auto"/>
        <w:jc w:val="center"/>
        <w:rPr>
          <w:rFonts w:ascii="Arial" w:eastAsia="Calibri" w:hAnsi="Arial" w:cs="Arial"/>
          <w:caps/>
          <w:color w:val="7F7F7F"/>
          <w:sz w:val="32"/>
          <w:szCs w:val="32"/>
          <w:lang w:eastAsia="en-US"/>
        </w:rPr>
      </w:pPr>
    </w:p>
    <w:p w14:paraId="644B3B8A" w14:textId="427958A9" w:rsidR="00FA73A7" w:rsidRPr="00273D3E" w:rsidRDefault="00FA73A7" w:rsidP="008904D1">
      <w:pPr>
        <w:spacing w:after="200" w:line="276" w:lineRule="auto"/>
        <w:jc w:val="center"/>
        <w:rPr>
          <w:rFonts w:ascii="Arial" w:eastAsia="Calibri" w:hAnsi="Arial" w:cs="Arial"/>
          <w:caps/>
          <w:color w:val="7F7F7F"/>
          <w:sz w:val="32"/>
          <w:szCs w:val="32"/>
          <w:lang w:eastAsia="en-US"/>
        </w:rPr>
        <w:sectPr w:rsidR="00FA73A7" w:rsidRPr="00273D3E"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273D3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273D3E" w:rsidRDefault="008904D1" w:rsidP="00111F89">
            <w:pPr>
              <w:spacing w:line="276" w:lineRule="auto"/>
              <w:ind w:left="170"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lastRenderedPageBreak/>
              <w:t>METODICKÝ LIST INDIKÁTORU</w:t>
            </w:r>
          </w:p>
        </w:tc>
      </w:tr>
      <w:tr w:rsidR="008904D1" w:rsidRPr="00273D3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273D3E"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273D3E">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273D3E" w:rsidRDefault="008904D1" w:rsidP="00111F89">
            <w:pPr>
              <w:spacing w:before="80" w:after="80" w:line="276" w:lineRule="auto"/>
              <w:ind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t>578 061 - Podpořená pracoviště zdravotní péče a ochrany veřejného zdraví</w:t>
            </w:r>
          </w:p>
        </w:tc>
      </w:tr>
      <w:tr w:rsidR="008904D1" w:rsidRPr="00273D3E"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273D3E" w:rsidRDefault="008904D1" w:rsidP="00111F89">
            <w:pPr>
              <w:pStyle w:val="Nadpis1"/>
              <w:spacing w:before="0" w:after="0"/>
              <w:ind w:left="57" w:right="57"/>
              <w:rPr>
                <w:rFonts w:ascii="Arial" w:hAnsi="Arial" w:cs="Arial"/>
              </w:rPr>
            </w:pPr>
            <w:r w:rsidRPr="00273D3E">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Typ indikátoru</w:t>
            </w:r>
          </w:p>
        </w:tc>
      </w:tr>
      <w:tr w:rsidR="008904D1" w:rsidRPr="00273D3E"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IROP 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273D3E" w:rsidRDefault="00941BE4" w:rsidP="00111F89">
            <w:pPr>
              <w:pStyle w:val="Nadpis1"/>
              <w:spacing w:before="0" w:after="0"/>
              <w:ind w:left="57" w:right="57"/>
              <w:rPr>
                <w:rFonts w:ascii="Arial" w:hAnsi="Arial" w:cs="Arial"/>
                <w:caps w:val="0"/>
                <w:sz w:val="22"/>
                <w:szCs w:val="22"/>
              </w:rPr>
            </w:pPr>
            <w:r w:rsidRPr="00273D3E">
              <w:rPr>
                <w:rFonts w:ascii="Arial" w:hAnsi="Arial" w:cs="Arial"/>
                <w:caps w:val="0"/>
              </w:rPr>
              <w:t>pracoviště</w:t>
            </w:r>
            <w:r w:rsidR="008904D1" w:rsidRPr="00273D3E">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výstup</w:t>
            </w:r>
          </w:p>
        </w:tc>
      </w:tr>
    </w:tbl>
    <w:p w14:paraId="17E19CF1" w14:textId="77777777" w:rsidR="008904D1" w:rsidRPr="00273D3E" w:rsidRDefault="008904D1" w:rsidP="008904D1">
      <w:pPr>
        <w:rPr>
          <w:sz w:val="16"/>
          <w:szCs w:val="16"/>
        </w:rPr>
      </w:pPr>
    </w:p>
    <w:p w14:paraId="454E942E" w14:textId="77777777" w:rsidR="008904D1" w:rsidRPr="00273D3E" w:rsidRDefault="008904D1" w:rsidP="008904D1">
      <w:pPr>
        <w:pStyle w:val="Nadpis1"/>
        <w:spacing w:after="0"/>
        <w:ind w:left="0"/>
        <w:jc w:val="both"/>
        <w:rPr>
          <w:rStyle w:val="Zdraznnintenzivn"/>
          <w:rFonts w:ascii="Arial" w:hAnsi="Arial" w:cs="Arial"/>
          <w:color w:val="31849B" w:themeColor="accent5" w:themeShade="BF"/>
        </w:rPr>
      </w:pPr>
      <w:r w:rsidRPr="00273D3E">
        <w:rPr>
          <w:rStyle w:val="Zdraznnintenzivn"/>
          <w:rFonts w:ascii="Arial" w:hAnsi="Arial" w:cs="Arial"/>
          <w:color w:val="31849B" w:themeColor="accent5" w:themeShade="BF"/>
        </w:rPr>
        <w:t xml:space="preserve">Definice indikátoru </w:t>
      </w:r>
    </w:p>
    <w:p w14:paraId="72977F40" w14:textId="77A080B7" w:rsidR="008904D1" w:rsidRPr="00273D3E" w:rsidRDefault="008904D1" w:rsidP="008904D1">
      <w:pPr>
        <w:spacing w:after="200" w:line="276" w:lineRule="auto"/>
        <w:jc w:val="both"/>
        <w:rPr>
          <w:rFonts w:ascii="Arial" w:hAnsi="Arial" w:cs="Arial"/>
          <w:sz w:val="22"/>
          <w:szCs w:val="22"/>
        </w:rPr>
      </w:pPr>
      <w:r w:rsidRPr="00273D3E">
        <w:rPr>
          <w:rFonts w:ascii="Arial" w:hAnsi="Arial" w:cs="Arial"/>
          <w:sz w:val="22"/>
          <w:szCs w:val="22"/>
        </w:rPr>
        <w:t xml:space="preserve">Indikátor </w:t>
      </w:r>
      <w:proofErr w:type="gramStart"/>
      <w:r w:rsidRPr="00273D3E">
        <w:rPr>
          <w:rFonts w:ascii="Arial" w:hAnsi="Arial" w:cs="Arial"/>
          <w:sz w:val="22"/>
          <w:szCs w:val="22"/>
        </w:rPr>
        <w:t>měří</w:t>
      </w:r>
      <w:proofErr w:type="gramEnd"/>
      <w:r w:rsidRPr="00273D3E">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sidRPr="00273D3E">
        <w:rPr>
          <w:rFonts w:ascii="Arial" w:hAnsi="Arial" w:cs="Arial"/>
          <w:sz w:val="22"/>
          <w:szCs w:val="22"/>
        </w:rPr>
        <w:t>patří</w:t>
      </w:r>
      <w:proofErr w:type="gramEnd"/>
      <w:r w:rsidRPr="00273D3E">
        <w:rPr>
          <w:rFonts w:ascii="Arial" w:hAnsi="Arial" w:cs="Arial"/>
          <w:sz w:val="22"/>
          <w:szCs w:val="22"/>
        </w:rPr>
        <w:t xml:space="preserve"> např. ARO, JIP, laboratoře, intervenční, diagnostická, </w:t>
      </w:r>
      <w:proofErr w:type="spellStart"/>
      <w:r w:rsidRPr="00273D3E">
        <w:rPr>
          <w:rFonts w:ascii="Arial" w:hAnsi="Arial" w:cs="Arial"/>
          <w:sz w:val="22"/>
          <w:szCs w:val="22"/>
        </w:rPr>
        <w:t>infektologická</w:t>
      </w:r>
      <w:proofErr w:type="spellEnd"/>
      <w:r w:rsidRPr="00273D3E">
        <w:rPr>
          <w:rFonts w:ascii="Arial" w:hAnsi="Arial" w:cs="Arial"/>
          <w:sz w:val="22"/>
          <w:szCs w:val="22"/>
        </w:rPr>
        <w:t xml:space="preserve"> pracoviště nebo pracoviště poskytující péči zvláště ohroženým skupinám obyvatelstva.</w:t>
      </w:r>
    </w:p>
    <w:p w14:paraId="77F63043" w14:textId="77777777" w:rsidR="00885C85" w:rsidRPr="00273D3E" w:rsidRDefault="00885C85" w:rsidP="00885C85">
      <w:pPr>
        <w:pStyle w:val="Odstavecseseznamem"/>
      </w:pPr>
    </w:p>
    <w:p w14:paraId="3AA6834F" w14:textId="4F7FF985" w:rsidR="00885C85" w:rsidRPr="00273D3E"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UPOZORNĚNÍ</w:t>
      </w:r>
    </w:p>
    <w:p w14:paraId="7625594D" w14:textId="5E37DD35" w:rsidR="00922E5E" w:rsidRPr="00273D3E"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 xml:space="preserve">Pro účely </w:t>
      </w:r>
      <w:r w:rsidR="004D6DF9" w:rsidRPr="00273D3E">
        <w:rPr>
          <w:rFonts w:ascii="Arial" w:hAnsi="Arial" w:cs="Arial"/>
          <w:b/>
          <w:bCs/>
          <w:sz w:val="22"/>
          <w:szCs w:val="22"/>
        </w:rPr>
        <w:t>83</w:t>
      </w:r>
      <w:r w:rsidRPr="00273D3E">
        <w:rPr>
          <w:rFonts w:ascii="Arial" w:hAnsi="Arial" w:cs="Arial"/>
          <w:b/>
          <w:bCs/>
          <w:sz w:val="22"/>
          <w:szCs w:val="22"/>
        </w:rPr>
        <w:t>.</w:t>
      </w:r>
      <w:r w:rsidR="004D6DF9" w:rsidRPr="00273D3E">
        <w:rPr>
          <w:rFonts w:ascii="Arial" w:hAnsi="Arial" w:cs="Arial"/>
          <w:b/>
          <w:bCs/>
          <w:sz w:val="22"/>
          <w:szCs w:val="22"/>
        </w:rPr>
        <w:t xml:space="preserve">, 84. a 85. </w:t>
      </w:r>
      <w:r w:rsidRPr="00273D3E">
        <w:rPr>
          <w:rFonts w:ascii="Arial" w:hAnsi="Arial" w:cs="Arial"/>
          <w:b/>
          <w:bCs/>
          <w:sz w:val="22"/>
          <w:szCs w:val="22"/>
        </w:rPr>
        <w:t>výzvy je myšleno pracovištěm</w:t>
      </w:r>
      <w:r w:rsidR="007A03C1" w:rsidRPr="00273D3E">
        <w:rPr>
          <w:rFonts w:ascii="Arial" w:hAnsi="Arial" w:cs="Arial"/>
          <w:b/>
          <w:bCs/>
          <w:sz w:val="22"/>
          <w:szCs w:val="22"/>
        </w:rPr>
        <w:t xml:space="preserve"> ochrany veřejného zdraví</w:t>
      </w:r>
      <w:r w:rsidR="004D6DF9" w:rsidRPr="00273D3E">
        <w:rPr>
          <w:rFonts w:ascii="Arial" w:hAnsi="Arial" w:cs="Arial"/>
          <w:b/>
          <w:bCs/>
          <w:sz w:val="22"/>
          <w:szCs w:val="22"/>
        </w:rPr>
        <w:t xml:space="preserve"> jak sídlo KHS/SZÚ, tak jeho jednotliv</w:t>
      </w:r>
      <w:r w:rsidR="007A03C1" w:rsidRPr="00273D3E">
        <w:rPr>
          <w:rFonts w:ascii="Arial" w:hAnsi="Arial" w:cs="Arial"/>
          <w:b/>
          <w:bCs/>
          <w:sz w:val="22"/>
          <w:szCs w:val="22"/>
        </w:rPr>
        <w:t>ých</w:t>
      </w:r>
      <w:r w:rsidR="004D6DF9" w:rsidRPr="00273D3E">
        <w:rPr>
          <w:rFonts w:ascii="Arial" w:hAnsi="Arial" w:cs="Arial"/>
          <w:b/>
          <w:bCs/>
          <w:sz w:val="22"/>
          <w:szCs w:val="22"/>
        </w:rPr>
        <w:t xml:space="preserve"> poboč</w:t>
      </w:r>
      <w:r w:rsidR="007A03C1" w:rsidRPr="00273D3E">
        <w:rPr>
          <w:rFonts w:ascii="Arial" w:hAnsi="Arial" w:cs="Arial"/>
          <w:b/>
          <w:bCs/>
          <w:sz w:val="22"/>
          <w:szCs w:val="22"/>
        </w:rPr>
        <w:t>e</w:t>
      </w:r>
      <w:r w:rsidR="004D6DF9" w:rsidRPr="00273D3E">
        <w:rPr>
          <w:rFonts w:ascii="Arial" w:hAnsi="Arial" w:cs="Arial"/>
          <w:b/>
          <w:bCs/>
          <w:sz w:val="22"/>
          <w:szCs w:val="22"/>
        </w:rPr>
        <w:t>k</w:t>
      </w:r>
      <w:r w:rsidR="007A03C1" w:rsidRPr="00273D3E">
        <w:rPr>
          <w:rFonts w:ascii="Arial" w:hAnsi="Arial" w:cs="Arial"/>
          <w:b/>
          <w:bCs/>
          <w:sz w:val="22"/>
          <w:szCs w:val="22"/>
        </w:rPr>
        <w:t>/</w:t>
      </w:r>
      <w:r w:rsidR="00922E5E" w:rsidRPr="00273D3E">
        <w:rPr>
          <w:rFonts w:ascii="Arial" w:hAnsi="Arial" w:cs="Arial"/>
          <w:b/>
          <w:bCs/>
          <w:sz w:val="22"/>
          <w:szCs w:val="22"/>
        </w:rPr>
        <w:t>národní</w:t>
      </w:r>
      <w:r w:rsidR="007A03C1" w:rsidRPr="00273D3E">
        <w:rPr>
          <w:rFonts w:ascii="Arial" w:hAnsi="Arial" w:cs="Arial"/>
          <w:b/>
          <w:bCs/>
          <w:sz w:val="22"/>
          <w:szCs w:val="22"/>
        </w:rPr>
        <w:t>ch</w:t>
      </w:r>
      <w:r w:rsidR="00922E5E" w:rsidRPr="00273D3E">
        <w:rPr>
          <w:rFonts w:ascii="Arial" w:hAnsi="Arial" w:cs="Arial"/>
          <w:b/>
          <w:bCs/>
          <w:sz w:val="22"/>
          <w:szCs w:val="22"/>
        </w:rPr>
        <w:t xml:space="preserve"> referenční</w:t>
      </w:r>
      <w:r w:rsidR="007A03C1" w:rsidRPr="00273D3E">
        <w:rPr>
          <w:rFonts w:ascii="Arial" w:hAnsi="Arial" w:cs="Arial"/>
          <w:b/>
          <w:bCs/>
          <w:sz w:val="22"/>
          <w:szCs w:val="22"/>
        </w:rPr>
        <w:t>ch</w:t>
      </w:r>
      <w:r w:rsidR="00922E5E" w:rsidRPr="00273D3E">
        <w:rPr>
          <w:rFonts w:ascii="Arial" w:hAnsi="Arial" w:cs="Arial"/>
          <w:b/>
          <w:bCs/>
          <w:sz w:val="22"/>
          <w:szCs w:val="22"/>
        </w:rPr>
        <w:t xml:space="preserve"> laboratoř</w:t>
      </w:r>
      <w:r w:rsidR="007A03C1" w:rsidRPr="00273D3E">
        <w:rPr>
          <w:rFonts w:ascii="Arial" w:hAnsi="Arial" w:cs="Arial"/>
          <w:b/>
          <w:bCs/>
          <w:sz w:val="22"/>
          <w:szCs w:val="22"/>
        </w:rPr>
        <w:t>í</w:t>
      </w:r>
      <w:r w:rsidR="00922E5E" w:rsidRPr="00273D3E">
        <w:rPr>
          <w:rFonts w:ascii="Arial" w:hAnsi="Arial" w:cs="Arial"/>
          <w:b/>
          <w:bCs/>
          <w:sz w:val="22"/>
          <w:szCs w:val="22"/>
        </w:rPr>
        <w:t xml:space="preserve"> SZU</w:t>
      </w:r>
      <w:r w:rsidR="004D6DF9" w:rsidRPr="00273D3E">
        <w:rPr>
          <w:rFonts w:ascii="Arial" w:hAnsi="Arial" w:cs="Arial"/>
          <w:b/>
          <w:bCs/>
          <w:sz w:val="22"/>
          <w:szCs w:val="22"/>
        </w:rPr>
        <w:t xml:space="preserve">. </w:t>
      </w:r>
    </w:p>
    <w:p w14:paraId="008FBEA8" w14:textId="77777777" w:rsidR="00922E5E" w:rsidRPr="00273D3E" w:rsidRDefault="00922E5E"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53A91E59" w14:textId="45514301" w:rsidR="00EB448F" w:rsidRPr="00273D3E" w:rsidRDefault="00EB448F"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 xml:space="preserve">Za každé </w:t>
      </w:r>
      <w:r w:rsidR="00922E5E" w:rsidRPr="00273D3E">
        <w:rPr>
          <w:rFonts w:ascii="Arial" w:hAnsi="Arial" w:cs="Arial"/>
          <w:b/>
          <w:bCs/>
          <w:sz w:val="22"/>
          <w:szCs w:val="22"/>
        </w:rPr>
        <w:t xml:space="preserve">podpořené </w:t>
      </w:r>
      <w:r w:rsidRPr="00273D3E">
        <w:rPr>
          <w:rFonts w:ascii="Arial" w:hAnsi="Arial" w:cs="Arial"/>
          <w:b/>
          <w:bCs/>
          <w:sz w:val="22"/>
          <w:szCs w:val="22"/>
        </w:rPr>
        <w:t xml:space="preserve">pracoviště je </w:t>
      </w:r>
      <w:r w:rsidR="004D6DF9" w:rsidRPr="00273D3E">
        <w:rPr>
          <w:rFonts w:ascii="Arial" w:hAnsi="Arial" w:cs="Arial"/>
          <w:b/>
          <w:bCs/>
          <w:sz w:val="22"/>
          <w:szCs w:val="22"/>
        </w:rPr>
        <w:t xml:space="preserve">nutné </w:t>
      </w:r>
      <w:r w:rsidRPr="00273D3E">
        <w:rPr>
          <w:rFonts w:ascii="Arial" w:hAnsi="Arial" w:cs="Arial"/>
          <w:b/>
          <w:bCs/>
          <w:sz w:val="22"/>
          <w:szCs w:val="22"/>
        </w:rPr>
        <w:t>započíst hodnotu 1.</w:t>
      </w:r>
    </w:p>
    <w:p w14:paraId="573571BF" w14:textId="385983E7" w:rsidR="00885C85" w:rsidRPr="00273D3E" w:rsidRDefault="00885C85" w:rsidP="008904D1">
      <w:pPr>
        <w:spacing w:after="200" w:line="276" w:lineRule="auto"/>
        <w:jc w:val="both"/>
        <w:rPr>
          <w:rFonts w:ascii="Arial" w:hAnsi="Arial" w:cs="Arial"/>
          <w:sz w:val="22"/>
          <w:szCs w:val="22"/>
        </w:rPr>
      </w:pPr>
    </w:p>
    <w:p w14:paraId="38F9B296" w14:textId="77777777" w:rsidR="008904D1" w:rsidRPr="00273D3E" w:rsidRDefault="008904D1" w:rsidP="008904D1">
      <w:pPr>
        <w:pStyle w:val="Nadpis1"/>
        <w:spacing w:after="0"/>
        <w:ind w:left="0"/>
        <w:jc w:val="both"/>
        <w:rPr>
          <w:rStyle w:val="Zdraznnintenzivn"/>
          <w:rFonts w:ascii="Arial" w:hAnsi="Arial" w:cs="Arial"/>
          <w:color w:val="31849B" w:themeColor="accent5" w:themeShade="BF"/>
        </w:rPr>
      </w:pPr>
      <w:r w:rsidRPr="00273D3E">
        <w:rPr>
          <w:rStyle w:val="Zdraznnintenzivn"/>
          <w:rFonts w:ascii="Arial" w:hAnsi="Arial" w:cs="Arial"/>
          <w:color w:val="31849B" w:themeColor="accent5" w:themeShade="BF"/>
        </w:rPr>
        <w:t>Upřesňující informace</w:t>
      </w:r>
    </w:p>
    <w:p w14:paraId="5E44F38A" w14:textId="74225F0E" w:rsidR="008904D1" w:rsidRPr="00273D3E" w:rsidRDefault="008904D1" w:rsidP="008904D1">
      <w:pPr>
        <w:spacing w:after="240"/>
        <w:jc w:val="both"/>
        <w:rPr>
          <w:rFonts w:ascii="Arial" w:hAnsi="Arial" w:cs="Arial"/>
          <w:sz w:val="22"/>
          <w:szCs w:val="22"/>
        </w:rPr>
      </w:pPr>
      <w:r w:rsidRPr="00273D3E">
        <w:rPr>
          <w:rFonts w:ascii="Arial" w:hAnsi="Arial" w:cs="Arial"/>
          <w:sz w:val="22"/>
          <w:szCs w:val="22"/>
        </w:rPr>
        <w:t>Indikátor je povinný k výběru a naplnění pro všechny</w:t>
      </w:r>
      <w:r w:rsidR="00941BE4" w:rsidRPr="00273D3E">
        <w:rPr>
          <w:rFonts w:ascii="Arial" w:hAnsi="Arial" w:cs="Arial"/>
          <w:sz w:val="22"/>
          <w:szCs w:val="22"/>
        </w:rPr>
        <w:t xml:space="preserve"> žádosti o podporu.</w:t>
      </w:r>
    </w:p>
    <w:p w14:paraId="11285F25" w14:textId="77777777" w:rsidR="00E2550E" w:rsidRPr="00273D3E" w:rsidRDefault="0032530D" w:rsidP="0032530D">
      <w:pPr>
        <w:spacing w:after="240"/>
        <w:jc w:val="both"/>
        <w:rPr>
          <w:rFonts w:ascii="Arial" w:hAnsi="Arial" w:cs="Arial"/>
          <w:sz w:val="22"/>
          <w:szCs w:val="22"/>
        </w:rPr>
      </w:pPr>
      <w:r w:rsidRPr="00273D3E">
        <w:rPr>
          <w:rFonts w:ascii="Arial" w:hAnsi="Arial" w:cs="Arial"/>
          <w:sz w:val="22"/>
          <w:szCs w:val="22"/>
        </w:rPr>
        <w:t xml:space="preserve">Hodnoty jsou vykazovány jako prostý součet počtu podpořených pracovišť/oddělení daného zařízení ať již v podobě stavební infrastruktury nebo vybavení / vybavení přístrojovou technikou. </w:t>
      </w:r>
    </w:p>
    <w:p w14:paraId="1EA644B4" w14:textId="04AA37B9" w:rsidR="0032530D" w:rsidRPr="00273D3E" w:rsidRDefault="0032530D" w:rsidP="0032530D">
      <w:pPr>
        <w:spacing w:after="240"/>
        <w:jc w:val="both"/>
        <w:rPr>
          <w:rFonts w:ascii="Arial" w:hAnsi="Arial" w:cs="Arial"/>
          <w:sz w:val="22"/>
          <w:szCs w:val="22"/>
        </w:rPr>
      </w:pPr>
      <w:r w:rsidRPr="00273D3E">
        <w:rPr>
          <w:rFonts w:ascii="Arial" w:hAnsi="Arial" w:cs="Arial"/>
          <w:sz w:val="22"/>
          <w:szCs w:val="22"/>
        </w:rPr>
        <w:t xml:space="preserve">Hodnota je vykazována s přesností na celé jednotky </w:t>
      </w:r>
      <w:r w:rsidRPr="00273D3E">
        <w:rPr>
          <w:rFonts w:ascii="Arial" w:hAnsi="Arial" w:cs="Arial"/>
          <w:sz w:val="22"/>
          <w:szCs w:val="22"/>
          <w:u w:val="single"/>
        </w:rPr>
        <w:t>(není možné vykázat desetinné číslo).</w:t>
      </w:r>
    </w:p>
    <w:p w14:paraId="6EC40073" w14:textId="77777777" w:rsidR="008904D1" w:rsidRPr="00273D3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273D3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273D3E" w:rsidRDefault="008904D1" w:rsidP="008904D1">
      <w:pPr>
        <w:spacing w:line="276" w:lineRule="auto"/>
        <w:jc w:val="both"/>
        <w:rPr>
          <w:rFonts w:ascii="Arial" w:hAnsi="Arial" w:cs="Arial"/>
          <w:b/>
          <w:bCs/>
          <w:sz w:val="22"/>
          <w:szCs w:val="22"/>
        </w:rPr>
      </w:pPr>
      <w:r w:rsidRPr="00273D3E">
        <w:rPr>
          <w:rFonts w:ascii="Arial" w:hAnsi="Arial" w:cs="Arial"/>
          <w:b/>
          <w:bCs/>
          <w:sz w:val="22"/>
          <w:szCs w:val="22"/>
        </w:rPr>
        <w:t xml:space="preserve">Výchozí hodnota: </w:t>
      </w:r>
      <w:r w:rsidR="004F1260" w:rsidRPr="00273D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273D3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05428A9F" w:rsidR="00147A9E" w:rsidRDefault="008904D1" w:rsidP="008904D1">
      <w:pPr>
        <w:spacing w:after="200" w:line="276" w:lineRule="auto"/>
        <w:jc w:val="both"/>
        <w:rPr>
          <w:rFonts w:ascii="Arial" w:hAnsi="Arial" w:cs="Arial"/>
          <w:sz w:val="22"/>
          <w:szCs w:val="22"/>
        </w:rPr>
      </w:pPr>
      <w:r w:rsidRPr="00273D3E">
        <w:rPr>
          <w:rFonts w:ascii="Arial" w:hAnsi="Arial" w:cs="Arial"/>
          <w:b/>
          <w:bCs/>
          <w:sz w:val="22"/>
          <w:szCs w:val="22"/>
        </w:rPr>
        <w:t>Cílová hodnota:</w:t>
      </w:r>
      <w:r w:rsidRPr="00273D3E">
        <w:rPr>
          <w:rFonts w:ascii="Arial" w:hAnsi="Arial" w:cs="Arial"/>
          <w:sz w:val="22"/>
          <w:szCs w:val="22"/>
        </w:rPr>
        <w:t xml:space="preserve"> </w:t>
      </w:r>
      <w:r w:rsidR="00062B55" w:rsidRPr="00273D3E">
        <w:rPr>
          <w:rFonts w:ascii="Arial" w:hAnsi="Arial" w:cs="Arial"/>
          <w:sz w:val="22"/>
          <w:szCs w:val="22"/>
        </w:rPr>
        <w:t>P</w:t>
      </w:r>
      <w:r w:rsidR="00BA5E43" w:rsidRPr="00273D3E">
        <w:rPr>
          <w:rFonts w:ascii="Arial" w:hAnsi="Arial" w:cs="Arial"/>
          <w:sz w:val="22"/>
          <w:szCs w:val="22"/>
        </w:rPr>
        <w:t>lánovaný p</w:t>
      </w:r>
      <w:r w:rsidRPr="00273D3E">
        <w:rPr>
          <w:rFonts w:ascii="Arial" w:hAnsi="Arial" w:cs="Arial"/>
          <w:sz w:val="22"/>
          <w:szCs w:val="22"/>
        </w:rPr>
        <w:t xml:space="preserve">očet </w:t>
      </w:r>
      <w:r w:rsidR="00147A9E" w:rsidRPr="00273D3E">
        <w:rPr>
          <w:rFonts w:ascii="Arial" w:hAnsi="Arial" w:cs="Arial"/>
          <w:sz w:val="22"/>
          <w:szCs w:val="22"/>
        </w:rPr>
        <w:t>podpořených pracovišť, kterým bude poskytnuta podpora ať již v</w:t>
      </w:r>
      <w:r w:rsidR="00E3798F" w:rsidRPr="00273D3E">
        <w:rPr>
          <w:rFonts w:ascii="Arial" w:hAnsi="Arial" w:cs="Arial"/>
          <w:sz w:val="22"/>
          <w:szCs w:val="22"/>
        </w:rPr>
        <w:t> </w:t>
      </w:r>
      <w:r w:rsidR="00147A9E" w:rsidRPr="00273D3E">
        <w:rPr>
          <w:rFonts w:ascii="Arial" w:hAnsi="Arial" w:cs="Arial"/>
          <w:sz w:val="22"/>
          <w:szCs w:val="22"/>
        </w:rPr>
        <w:t xml:space="preserve">podobě stavební infrastruktury nebo vybavení. Jako pracoviště jsou vykazována </w:t>
      </w:r>
      <w:r w:rsidR="00A723F1" w:rsidRPr="00273D3E">
        <w:rPr>
          <w:rFonts w:ascii="Arial" w:hAnsi="Arial" w:cs="Arial"/>
          <w:sz w:val="22"/>
          <w:szCs w:val="22"/>
        </w:rPr>
        <w:t xml:space="preserve">sídla KHS a jeho podpořené pobočky, u SZÚ se jedná o jeho podpořené jednotlivé národní referenční laboratoře. </w:t>
      </w:r>
      <w:r w:rsidR="00147A9E" w:rsidRPr="00273D3E">
        <w:rPr>
          <w:rFonts w:ascii="Arial" w:hAnsi="Arial" w:cs="Arial"/>
          <w:sz w:val="22"/>
          <w:szCs w:val="22"/>
        </w:rPr>
        <w:t>Každé pracoviště může být započteno nejvýše 1x.</w:t>
      </w:r>
      <w:r w:rsidR="00147A9E" w:rsidRPr="00BA47FE">
        <w:rPr>
          <w:rFonts w:ascii="Arial" w:hAnsi="Arial" w:cs="Arial"/>
          <w:sz w:val="22"/>
          <w:szCs w:val="22"/>
        </w:rPr>
        <w:t xml:space="preserve">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3263BBE9" w14:textId="212FA2B9" w:rsidR="008904D1"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014B4BC0"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 xml:space="preserve">Doklad o předání a převzetí </w:t>
            </w:r>
          </w:p>
          <w:p w14:paraId="36B665A2" w14:textId="7C149F15" w:rsidR="00E3798F" w:rsidRPr="00181394" w:rsidRDefault="008904D1" w:rsidP="004D6DF9">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p w14:paraId="719C5513" w14:textId="77777777" w:rsidR="002A516C" w:rsidRDefault="002A516C" w:rsidP="000A2FD1">
      <w:pPr>
        <w:spacing w:after="200" w:line="276" w:lineRule="auto"/>
        <w:rPr>
          <w:rStyle w:val="Zdraznnintenzivn"/>
          <w:rFonts w:ascii="Arial" w:eastAsiaTheme="minorHAnsi" w:hAnsi="Arial" w:cs="Arial"/>
          <w:caps/>
          <w:color w:val="31849B" w:themeColor="accent5" w:themeShade="BF"/>
          <w:highlight w:val="yellow"/>
          <w:lang w:eastAsia="en-US"/>
        </w:r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A516C" w:rsidRPr="00CE6BEE" w14:paraId="0C4CADF6" w14:textId="77777777" w:rsidTr="00E315E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BE3C6C1" w14:textId="77777777" w:rsidR="002A516C" w:rsidRPr="000465C4" w:rsidRDefault="002A516C" w:rsidP="00E315EC">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2A516C" w:rsidRPr="00CE6BEE" w14:paraId="3A864F38" w14:textId="77777777" w:rsidTr="00E315EC">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A73A8" w14:textId="77777777" w:rsidR="002A516C" w:rsidRPr="00C81922" w:rsidRDefault="002A516C" w:rsidP="00E315EC">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F82B87" w14:textId="75402F8A" w:rsidR="00C43C05" w:rsidRDefault="00EE36B8" w:rsidP="002B167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562 101 </w:t>
            </w:r>
            <w:r w:rsidR="002A516C" w:rsidRPr="00C81922">
              <w:rPr>
                <w:rFonts w:ascii="Arial" w:eastAsiaTheme="minorHAnsi" w:hAnsi="Arial" w:cs="Arial"/>
                <w:b/>
                <w:bCs/>
                <w:color w:val="000000"/>
                <w:lang w:eastAsia="en-US"/>
              </w:rPr>
              <w:t xml:space="preserve">- </w:t>
            </w:r>
            <w:r w:rsidR="002A516C">
              <w:rPr>
                <w:rFonts w:ascii="Arial" w:eastAsiaTheme="minorHAnsi" w:hAnsi="Arial" w:cs="Arial"/>
                <w:b/>
                <w:bCs/>
                <w:color w:val="000000"/>
                <w:lang w:eastAsia="en-US"/>
              </w:rPr>
              <w:t xml:space="preserve">Počet </w:t>
            </w:r>
            <w:r w:rsidR="002B1672">
              <w:rPr>
                <w:rFonts w:ascii="Arial" w:eastAsiaTheme="minorHAnsi" w:hAnsi="Arial" w:cs="Arial"/>
                <w:b/>
                <w:bCs/>
                <w:color w:val="000000"/>
                <w:lang w:eastAsia="en-US"/>
              </w:rPr>
              <w:t xml:space="preserve">úkonů provedených </w:t>
            </w:r>
            <w:r>
              <w:rPr>
                <w:rFonts w:ascii="Arial" w:eastAsiaTheme="minorHAnsi" w:hAnsi="Arial" w:cs="Arial"/>
                <w:b/>
                <w:bCs/>
                <w:color w:val="000000"/>
                <w:lang w:eastAsia="en-US"/>
              </w:rPr>
              <w:t>modernizovanými</w:t>
            </w:r>
          </w:p>
          <w:p w14:paraId="2FF3E433" w14:textId="5B5BD074" w:rsidR="002B1672" w:rsidRPr="00C81922" w:rsidRDefault="00C43C05" w:rsidP="002B167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 </w:t>
            </w:r>
            <w:r w:rsidR="002B1672" w:rsidRPr="002B1672">
              <w:rPr>
                <w:rFonts w:ascii="Arial" w:eastAsiaTheme="minorHAnsi" w:hAnsi="Arial" w:cs="Arial"/>
                <w:b/>
                <w:bCs/>
                <w:color w:val="000000"/>
                <w:lang w:eastAsia="en-US"/>
              </w:rPr>
              <w:t>orgán</w:t>
            </w:r>
            <w:r w:rsidR="002B1672">
              <w:rPr>
                <w:rFonts w:ascii="Arial" w:eastAsiaTheme="minorHAnsi" w:hAnsi="Arial" w:cs="Arial"/>
                <w:b/>
                <w:bCs/>
                <w:color w:val="000000"/>
                <w:lang w:eastAsia="en-US"/>
              </w:rPr>
              <w:t>y</w:t>
            </w:r>
            <w:r w:rsidR="002B1672" w:rsidRPr="002B1672">
              <w:rPr>
                <w:rFonts w:ascii="Arial" w:eastAsiaTheme="minorHAnsi" w:hAnsi="Arial" w:cs="Arial"/>
                <w:b/>
                <w:bCs/>
                <w:color w:val="000000"/>
                <w:lang w:eastAsia="en-US"/>
              </w:rPr>
              <w:t xml:space="preserve"> ochrany veřejného zdraví</w:t>
            </w:r>
          </w:p>
        </w:tc>
      </w:tr>
      <w:tr w:rsidR="002A516C" w:rsidRPr="00AB1542" w14:paraId="277E09F2" w14:textId="77777777" w:rsidTr="00E315E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D99F740" w14:textId="77777777" w:rsidR="002A516C" w:rsidRPr="00C81922" w:rsidRDefault="002A516C" w:rsidP="00E315EC">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6AF3F46"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1B1EEC"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A516C" w:rsidRPr="00AB1542" w14:paraId="17742E09" w14:textId="77777777" w:rsidTr="00E315EC">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5043F6"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74BECF1" w14:textId="52DEB117" w:rsidR="002A516C" w:rsidRPr="00C81922" w:rsidRDefault="002B1672" w:rsidP="00E315EC">
            <w:pPr>
              <w:pStyle w:val="Nadpis1"/>
              <w:spacing w:before="0" w:after="0"/>
              <w:ind w:left="57" w:right="57"/>
              <w:rPr>
                <w:rFonts w:ascii="Arial" w:hAnsi="Arial" w:cs="Arial"/>
                <w:caps w:val="0"/>
                <w:sz w:val="22"/>
                <w:szCs w:val="22"/>
              </w:rPr>
            </w:pPr>
            <w:r>
              <w:rPr>
                <w:rFonts w:ascii="Arial" w:hAnsi="Arial" w:cs="Arial"/>
                <w:caps w:val="0"/>
              </w:rPr>
              <w:t>úkon</w:t>
            </w:r>
            <w:r w:rsidR="00594A6E">
              <w:rPr>
                <w:rFonts w:ascii="Arial" w:hAnsi="Arial" w:cs="Arial"/>
                <w:caps w:val="0"/>
              </w:rPr>
              <w:t>y</w:t>
            </w:r>
            <w:r w:rsidR="002A516C">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CD925A" w14:textId="77777777" w:rsidR="002A516C" w:rsidRPr="00C81922" w:rsidRDefault="002A516C" w:rsidP="00E315EC">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311A4DFA" w14:textId="77777777" w:rsidR="002A516C" w:rsidRPr="002A516C" w:rsidRDefault="002A516C" w:rsidP="002A516C">
      <w:pPr>
        <w:rPr>
          <w:sz w:val="16"/>
          <w:szCs w:val="16"/>
          <w:highlight w:val="lightGray"/>
        </w:rPr>
      </w:pPr>
    </w:p>
    <w:p w14:paraId="592E2B9D" w14:textId="77777777" w:rsidR="002A516C" w:rsidRPr="00273D3E" w:rsidRDefault="002A516C" w:rsidP="002A516C">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Definice indikátoru </w:t>
      </w:r>
    </w:p>
    <w:p w14:paraId="5B4BFDED" w14:textId="443C99CB" w:rsidR="002A516C" w:rsidRPr="00273D3E" w:rsidRDefault="002A516C" w:rsidP="002A516C">
      <w:pPr>
        <w:spacing w:after="200" w:line="276" w:lineRule="auto"/>
        <w:jc w:val="both"/>
        <w:rPr>
          <w:rFonts w:ascii="Arial" w:hAnsi="Arial" w:cs="Arial"/>
          <w:sz w:val="22"/>
          <w:szCs w:val="22"/>
        </w:rPr>
      </w:pPr>
      <w:r w:rsidRPr="00273D3E">
        <w:rPr>
          <w:rFonts w:ascii="Arial" w:hAnsi="Arial" w:cs="Arial"/>
          <w:sz w:val="22"/>
          <w:szCs w:val="22"/>
        </w:rPr>
        <w:t xml:space="preserve">Počet </w:t>
      </w:r>
      <w:r w:rsidR="002B1672" w:rsidRPr="00273D3E">
        <w:rPr>
          <w:rFonts w:ascii="Arial" w:hAnsi="Arial" w:cs="Arial"/>
          <w:sz w:val="22"/>
          <w:szCs w:val="22"/>
        </w:rPr>
        <w:t xml:space="preserve">úkonů provedených modernizovanými orgány ochrany veřejného zdraví </w:t>
      </w:r>
      <w:r w:rsidR="008A0700" w:rsidRPr="00273D3E">
        <w:rPr>
          <w:rFonts w:ascii="Arial" w:hAnsi="Arial" w:cs="Arial"/>
          <w:sz w:val="22"/>
          <w:szCs w:val="22"/>
        </w:rPr>
        <w:t>za rok</w:t>
      </w:r>
      <w:r w:rsidRPr="00273D3E">
        <w:rPr>
          <w:rFonts w:ascii="Arial" w:hAnsi="Arial" w:cs="Arial"/>
          <w:sz w:val="22"/>
          <w:szCs w:val="22"/>
        </w:rPr>
        <w:t xml:space="preserve">. Výchozí hodnota ukazatele se týká </w:t>
      </w:r>
      <w:r w:rsidR="004B3ECB" w:rsidRPr="00273D3E">
        <w:rPr>
          <w:rFonts w:ascii="Arial" w:hAnsi="Arial" w:cs="Arial"/>
          <w:sz w:val="22"/>
          <w:szCs w:val="22"/>
        </w:rPr>
        <w:t xml:space="preserve">úkonů realizovaných </w:t>
      </w:r>
      <w:r w:rsidRPr="00273D3E">
        <w:rPr>
          <w:rFonts w:ascii="Arial" w:hAnsi="Arial" w:cs="Arial"/>
          <w:sz w:val="22"/>
          <w:szCs w:val="22"/>
        </w:rPr>
        <w:t>v průběhu roku před zahájením intervence, a pro nov</w:t>
      </w:r>
      <w:r w:rsidR="004B3ECB" w:rsidRPr="00273D3E">
        <w:rPr>
          <w:rFonts w:ascii="Arial" w:hAnsi="Arial" w:cs="Arial"/>
          <w:sz w:val="22"/>
          <w:szCs w:val="22"/>
        </w:rPr>
        <w:t xml:space="preserve">é činnosti (např. laboratorní zkoušky) </w:t>
      </w:r>
      <w:r w:rsidRPr="00273D3E">
        <w:rPr>
          <w:rFonts w:ascii="Arial" w:hAnsi="Arial" w:cs="Arial"/>
          <w:sz w:val="22"/>
          <w:szCs w:val="22"/>
        </w:rPr>
        <w:t xml:space="preserve">může být nulová. Mezi </w:t>
      </w:r>
      <w:r w:rsidR="004B3ECB" w:rsidRPr="00273D3E">
        <w:rPr>
          <w:rFonts w:ascii="Arial" w:hAnsi="Arial" w:cs="Arial"/>
          <w:sz w:val="22"/>
          <w:szCs w:val="22"/>
        </w:rPr>
        <w:t xml:space="preserve">orgány ochrany veřejného zdraví </w:t>
      </w:r>
      <w:proofErr w:type="gramStart"/>
      <w:r w:rsidR="004B3ECB" w:rsidRPr="00273D3E">
        <w:rPr>
          <w:rFonts w:ascii="Arial" w:hAnsi="Arial" w:cs="Arial"/>
          <w:sz w:val="22"/>
          <w:szCs w:val="22"/>
        </w:rPr>
        <w:t>patří</w:t>
      </w:r>
      <w:proofErr w:type="gramEnd"/>
      <w:r w:rsidR="004B3ECB" w:rsidRPr="00273D3E">
        <w:rPr>
          <w:rFonts w:ascii="Arial" w:hAnsi="Arial" w:cs="Arial"/>
          <w:sz w:val="22"/>
          <w:szCs w:val="22"/>
        </w:rPr>
        <w:t xml:space="preserve"> krajské hygienické stanice a Státní zdravotní ústav. </w:t>
      </w:r>
    </w:p>
    <w:p w14:paraId="6DE2F19B" w14:textId="77777777" w:rsidR="002A516C" w:rsidRPr="00273D3E" w:rsidRDefault="002A516C" w:rsidP="002A516C">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Upřesňující informace</w:t>
      </w:r>
    </w:p>
    <w:p w14:paraId="365BB501" w14:textId="1605A53B" w:rsidR="002A516C" w:rsidRPr="00273D3E" w:rsidRDefault="002A516C" w:rsidP="002A516C">
      <w:pPr>
        <w:spacing w:after="120" w:line="271" w:lineRule="auto"/>
        <w:jc w:val="both"/>
        <w:rPr>
          <w:rFonts w:ascii="Arial" w:hAnsi="Arial" w:cs="Arial"/>
          <w:sz w:val="22"/>
          <w:szCs w:val="22"/>
        </w:rPr>
      </w:pPr>
      <w:r w:rsidRPr="00273D3E">
        <w:rPr>
          <w:rFonts w:ascii="Arial" w:hAnsi="Arial" w:cs="Arial"/>
          <w:sz w:val="22"/>
          <w:szCs w:val="22"/>
        </w:rPr>
        <w:t xml:space="preserve">Indikátor je povinný k výběru pro všechny žádosti o podporu, tj. žádostí o podporu, u kterých vzniká nová infrastruktura nebo dochází k modernizaci </w:t>
      </w:r>
      <w:r w:rsidR="004B3ECB" w:rsidRPr="00273D3E">
        <w:rPr>
          <w:rFonts w:ascii="Arial" w:hAnsi="Arial" w:cs="Arial"/>
          <w:sz w:val="22"/>
          <w:szCs w:val="22"/>
        </w:rPr>
        <w:t xml:space="preserve">infrastruktury krajských hygienických stanic s SZÚ. </w:t>
      </w:r>
    </w:p>
    <w:p w14:paraId="773BBE34" w14:textId="76C3AEB2" w:rsidR="002A516C" w:rsidRPr="00273D3E" w:rsidRDefault="002A516C" w:rsidP="002A516C">
      <w:pPr>
        <w:spacing w:before="120" w:after="120" w:line="271" w:lineRule="auto"/>
        <w:jc w:val="both"/>
        <w:rPr>
          <w:rFonts w:ascii="Arial" w:hAnsi="Arial" w:cs="Arial"/>
          <w:sz w:val="22"/>
          <w:szCs w:val="22"/>
          <w:u w:val="single"/>
        </w:rPr>
      </w:pPr>
      <w:r w:rsidRPr="00273D3E">
        <w:rPr>
          <w:rFonts w:ascii="Arial" w:hAnsi="Arial" w:cs="Arial"/>
          <w:sz w:val="22"/>
          <w:szCs w:val="22"/>
          <w:u w:val="single"/>
        </w:rPr>
        <w:t xml:space="preserve">Hodnoty jsou vykazovány jako prostý součet počtu </w:t>
      </w:r>
      <w:r w:rsidR="004B3ECB" w:rsidRPr="00273D3E">
        <w:rPr>
          <w:rFonts w:ascii="Arial" w:hAnsi="Arial" w:cs="Arial"/>
          <w:sz w:val="22"/>
          <w:szCs w:val="22"/>
          <w:u w:val="single"/>
        </w:rPr>
        <w:t>úkonů</w:t>
      </w:r>
      <w:r w:rsidR="002258E2" w:rsidRPr="00273D3E">
        <w:rPr>
          <w:rFonts w:ascii="Arial" w:hAnsi="Arial" w:cs="Arial"/>
          <w:sz w:val="22"/>
          <w:szCs w:val="22"/>
          <w:u w:val="single"/>
        </w:rPr>
        <w:t xml:space="preserve"> např. správních řízení</w:t>
      </w:r>
      <w:r w:rsidR="0033217D">
        <w:rPr>
          <w:rFonts w:ascii="Arial" w:hAnsi="Arial" w:cs="Arial"/>
          <w:sz w:val="22"/>
          <w:szCs w:val="22"/>
          <w:u w:val="single"/>
        </w:rPr>
        <w:t>,</w:t>
      </w:r>
      <w:r w:rsidR="002258E2" w:rsidRPr="00273D3E">
        <w:rPr>
          <w:rFonts w:ascii="Arial" w:hAnsi="Arial" w:cs="Arial"/>
          <w:sz w:val="22"/>
          <w:szCs w:val="22"/>
          <w:u w:val="single"/>
        </w:rPr>
        <w:t xml:space="preserve"> kontrol na místě, realizovaných programů prevence zdraví či provedených laboratorních vyšetření za </w:t>
      </w:r>
      <w:r w:rsidRPr="00273D3E">
        <w:rPr>
          <w:rFonts w:ascii="Arial" w:hAnsi="Arial" w:cs="Arial"/>
          <w:sz w:val="22"/>
          <w:szCs w:val="22"/>
          <w:u w:val="single"/>
        </w:rPr>
        <w:t>období jednoho roku po ukončení intervence.</w:t>
      </w:r>
    </w:p>
    <w:p w14:paraId="49FCBEBC" w14:textId="1632FAF0" w:rsidR="002A516C" w:rsidRPr="00273D3E" w:rsidRDefault="002A516C" w:rsidP="002A516C">
      <w:pPr>
        <w:spacing w:before="120" w:after="120" w:line="271" w:lineRule="auto"/>
        <w:jc w:val="both"/>
        <w:rPr>
          <w:rFonts w:ascii="Arial" w:hAnsi="Arial" w:cs="Arial"/>
          <w:sz w:val="22"/>
          <w:szCs w:val="22"/>
        </w:rPr>
      </w:pPr>
      <w:r w:rsidRPr="00273D3E">
        <w:rPr>
          <w:rFonts w:ascii="Arial" w:hAnsi="Arial" w:cs="Arial"/>
          <w:sz w:val="22"/>
          <w:szCs w:val="22"/>
        </w:rPr>
        <w:t xml:space="preserve">Výpočet a hodnoty indikátoru je přímo vázán na konkrétní projektem podpořené či vybudované kapacity vykázané v indikátoru </w:t>
      </w:r>
      <w:r w:rsidR="00EE36B8">
        <w:rPr>
          <w:rFonts w:ascii="Arial" w:hAnsi="Arial" w:cs="Arial"/>
          <w:i/>
          <w:iCs/>
          <w:sz w:val="22"/>
          <w:szCs w:val="22"/>
        </w:rPr>
        <w:t>562 011</w:t>
      </w:r>
      <w:r w:rsidR="00EE36B8" w:rsidRPr="00273D3E">
        <w:rPr>
          <w:rFonts w:ascii="Arial" w:hAnsi="Arial" w:cs="Arial"/>
          <w:i/>
          <w:iCs/>
          <w:sz w:val="22"/>
          <w:szCs w:val="22"/>
        </w:rPr>
        <w:t xml:space="preserve"> </w:t>
      </w:r>
      <w:r w:rsidRPr="00273D3E">
        <w:rPr>
          <w:rFonts w:ascii="Arial" w:hAnsi="Arial" w:cs="Arial"/>
          <w:i/>
          <w:iCs/>
          <w:sz w:val="22"/>
          <w:szCs w:val="22"/>
        </w:rPr>
        <w:t xml:space="preserve">- </w:t>
      </w:r>
      <w:r w:rsidR="002258E2" w:rsidRPr="00273D3E">
        <w:rPr>
          <w:rFonts w:ascii="Arial" w:hAnsi="Arial" w:cs="Arial"/>
          <w:i/>
          <w:iCs/>
          <w:sz w:val="22"/>
          <w:szCs w:val="22"/>
        </w:rPr>
        <w:t xml:space="preserve">Kapacita modernizovaných orgánů ochrany veřejného zdraví </w:t>
      </w:r>
      <w:r w:rsidRPr="00273D3E">
        <w:rPr>
          <w:rFonts w:ascii="Arial" w:hAnsi="Arial" w:cs="Arial"/>
          <w:sz w:val="22"/>
          <w:szCs w:val="22"/>
        </w:rPr>
        <w:t xml:space="preserve">a pracoviště vykázaná v indikátoru </w:t>
      </w:r>
      <w:r w:rsidRPr="00273D3E">
        <w:rPr>
          <w:rFonts w:ascii="Arial" w:hAnsi="Arial" w:cs="Arial"/>
          <w:i/>
          <w:iCs/>
          <w:sz w:val="22"/>
          <w:szCs w:val="22"/>
        </w:rPr>
        <w:t>578 061 - Podpořená pracoviště zdravotní péče a ochrany veřejného zdraví</w:t>
      </w:r>
      <w:r w:rsidRPr="00273D3E">
        <w:rPr>
          <w:rFonts w:ascii="Arial" w:hAnsi="Arial" w:cs="Arial"/>
          <w:sz w:val="22"/>
          <w:szCs w:val="22"/>
        </w:rPr>
        <w:t>,</w:t>
      </w:r>
      <w:r w:rsidR="00490AD1">
        <w:rPr>
          <w:rFonts w:ascii="Arial" w:hAnsi="Arial" w:cs="Arial"/>
          <w:sz w:val="22"/>
          <w:szCs w:val="22"/>
          <w:u w:val="single"/>
        </w:rPr>
        <w:t xml:space="preserve"> </w:t>
      </w:r>
      <w:r w:rsidRPr="00273D3E">
        <w:rPr>
          <w:rFonts w:ascii="Arial" w:hAnsi="Arial" w:cs="Arial"/>
          <w:sz w:val="22"/>
          <w:szCs w:val="22"/>
        </w:rPr>
        <w:t>nikoliv na celé zařízení</w:t>
      </w:r>
      <w:r w:rsidR="002258E2" w:rsidRPr="00273D3E">
        <w:rPr>
          <w:rFonts w:ascii="Arial" w:hAnsi="Arial" w:cs="Arial"/>
          <w:sz w:val="22"/>
          <w:szCs w:val="22"/>
        </w:rPr>
        <w:t xml:space="preserve">. </w:t>
      </w:r>
    </w:p>
    <w:p w14:paraId="033DD940" w14:textId="77777777" w:rsidR="002A516C" w:rsidRPr="002A516C" w:rsidRDefault="002A516C" w:rsidP="002A516C">
      <w:pPr>
        <w:spacing w:before="240" w:after="240"/>
        <w:jc w:val="both"/>
        <w:rPr>
          <w:rFonts w:ascii="Arial" w:hAnsi="Arial" w:cs="Arial"/>
          <w:sz w:val="22"/>
          <w:szCs w:val="22"/>
        </w:rPr>
      </w:pPr>
      <w:r w:rsidRPr="00273D3E">
        <w:rPr>
          <w:rFonts w:ascii="Arial" w:hAnsi="Arial" w:cs="Arial"/>
          <w:sz w:val="22"/>
          <w:szCs w:val="22"/>
        </w:rPr>
        <w:t xml:space="preserve">Hodnota je vykazována s přesností na celé jednotky </w:t>
      </w:r>
      <w:r w:rsidRPr="00273D3E">
        <w:rPr>
          <w:rFonts w:ascii="Arial" w:hAnsi="Arial" w:cs="Arial"/>
          <w:sz w:val="22"/>
          <w:szCs w:val="22"/>
          <w:u w:val="single"/>
        </w:rPr>
        <w:t>(není možné</w:t>
      </w:r>
      <w:r w:rsidRPr="002A516C">
        <w:rPr>
          <w:rFonts w:ascii="Arial" w:hAnsi="Arial" w:cs="Arial"/>
          <w:sz w:val="22"/>
          <w:szCs w:val="22"/>
          <w:u w:val="single"/>
        </w:rPr>
        <w:t xml:space="preserve"> vykázat desetinné číslo).</w:t>
      </w:r>
    </w:p>
    <w:p w14:paraId="76C4232C"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postup vykazování</w:t>
      </w:r>
    </w:p>
    <w:p w14:paraId="5D863CAB" w14:textId="2DA78FC2" w:rsidR="002A516C" w:rsidRPr="002A516C" w:rsidRDefault="002A516C" w:rsidP="002A516C">
      <w:pPr>
        <w:spacing w:line="276" w:lineRule="auto"/>
        <w:jc w:val="both"/>
        <w:rPr>
          <w:rFonts w:ascii="Arial" w:hAnsi="Arial" w:cs="Arial"/>
          <w:sz w:val="22"/>
          <w:szCs w:val="22"/>
        </w:rPr>
      </w:pPr>
      <w:r w:rsidRPr="002A516C">
        <w:rPr>
          <w:rFonts w:ascii="Arial" w:hAnsi="Arial" w:cs="Arial"/>
          <w:b/>
          <w:bCs/>
          <w:sz w:val="22"/>
          <w:szCs w:val="22"/>
        </w:rPr>
        <w:t xml:space="preserve">Výchozí hodnota: </w:t>
      </w:r>
      <w:r w:rsidRPr="002A516C">
        <w:rPr>
          <w:rFonts w:ascii="Arial" w:hAnsi="Arial" w:cs="Arial"/>
          <w:bCs/>
          <w:sz w:val="22"/>
          <w:szCs w:val="22"/>
        </w:rPr>
        <w:t xml:space="preserve">Počet </w:t>
      </w:r>
      <w:r w:rsidR="001772E8">
        <w:rPr>
          <w:rFonts w:ascii="Arial" w:hAnsi="Arial" w:cs="Arial"/>
          <w:bCs/>
          <w:sz w:val="22"/>
          <w:szCs w:val="22"/>
        </w:rPr>
        <w:t xml:space="preserve">daných úkonů, </w:t>
      </w:r>
      <w:r w:rsidRPr="002A516C">
        <w:rPr>
          <w:rFonts w:ascii="Arial" w:hAnsi="Arial" w:cs="Arial"/>
          <w:bCs/>
          <w:sz w:val="22"/>
          <w:szCs w:val="22"/>
        </w:rPr>
        <w:t xml:space="preserve">které byly </w:t>
      </w:r>
      <w:r w:rsidR="001772E8">
        <w:rPr>
          <w:rFonts w:ascii="Arial" w:hAnsi="Arial" w:cs="Arial"/>
          <w:bCs/>
          <w:sz w:val="22"/>
          <w:szCs w:val="22"/>
        </w:rPr>
        <w:t xml:space="preserve">provedeny </w:t>
      </w:r>
      <w:r w:rsidRPr="002A516C">
        <w:rPr>
          <w:rFonts w:ascii="Arial" w:hAnsi="Arial" w:cs="Arial"/>
          <w:sz w:val="22"/>
          <w:szCs w:val="22"/>
        </w:rPr>
        <w:t xml:space="preserve">během posledního kalendářního roku před podáním žádosti o podporu v projektem řešené kapacitě </w:t>
      </w:r>
      <w:r w:rsidRPr="002A516C">
        <w:rPr>
          <w:rFonts w:ascii="Arial" w:hAnsi="Arial" w:cs="Arial"/>
          <w:bCs/>
          <w:sz w:val="22"/>
          <w:szCs w:val="22"/>
        </w:rPr>
        <w:t>zařízení</w:t>
      </w:r>
      <w:r w:rsidR="001772E8">
        <w:rPr>
          <w:rFonts w:ascii="Arial" w:hAnsi="Arial" w:cs="Arial"/>
          <w:bCs/>
          <w:sz w:val="22"/>
          <w:szCs w:val="22"/>
        </w:rPr>
        <w:t>/pobočky/národní referenční laboratoře</w:t>
      </w:r>
      <w:r w:rsidRPr="002A516C">
        <w:rPr>
          <w:rFonts w:ascii="Arial" w:hAnsi="Arial" w:cs="Arial"/>
          <w:sz w:val="22"/>
          <w:szCs w:val="22"/>
        </w:rPr>
        <w:t>. V případě, že žadatel podporovan</w:t>
      </w:r>
      <w:r w:rsidR="001772E8">
        <w:rPr>
          <w:rFonts w:ascii="Arial" w:hAnsi="Arial" w:cs="Arial"/>
          <w:sz w:val="22"/>
          <w:szCs w:val="22"/>
        </w:rPr>
        <w:t xml:space="preserve">é aktivity </w:t>
      </w:r>
      <w:r w:rsidRPr="002A516C">
        <w:rPr>
          <w:rFonts w:ascii="Arial" w:hAnsi="Arial" w:cs="Arial"/>
          <w:sz w:val="22"/>
          <w:szCs w:val="22"/>
        </w:rPr>
        <w:t>nep</w:t>
      </w:r>
      <w:r w:rsidR="001772E8">
        <w:rPr>
          <w:rFonts w:ascii="Arial" w:hAnsi="Arial" w:cs="Arial"/>
          <w:sz w:val="22"/>
          <w:szCs w:val="22"/>
        </w:rPr>
        <w:t>rovozoval</w:t>
      </w:r>
      <w:r w:rsidRPr="002A516C">
        <w:rPr>
          <w:rFonts w:ascii="Arial" w:hAnsi="Arial" w:cs="Arial"/>
          <w:sz w:val="22"/>
          <w:szCs w:val="22"/>
        </w:rPr>
        <w:t>, bude výchozí hodnota 0.</w:t>
      </w:r>
    </w:p>
    <w:p w14:paraId="01D2431E"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p>
    <w:p w14:paraId="7A6584F3" w14:textId="0B5CF0DD" w:rsid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Cílová hodnota:</w:t>
      </w:r>
      <w:r w:rsidRPr="002A516C">
        <w:rPr>
          <w:rFonts w:ascii="Arial" w:hAnsi="Arial" w:cs="Arial"/>
          <w:sz w:val="22"/>
          <w:szCs w:val="22"/>
        </w:rPr>
        <w:t xml:space="preserve"> Plánovaný počet </w:t>
      </w:r>
      <w:r w:rsidR="001772E8">
        <w:rPr>
          <w:rFonts w:ascii="Arial" w:hAnsi="Arial" w:cs="Arial"/>
          <w:sz w:val="22"/>
          <w:szCs w:val="22"/>
        </w:rPr>
        <w:t>úkonů</w:t>
      </w:r>
      <w:r w:rsidRPr="002A516C">
        <w:rPr>
          <w:rFonts w:ascii="Arial" w:hAnsi="Arial" w:cs="Arial"/>
          <w:sz w:val="22"/>
          <w:szCs w:val="22"/>
        </w:rPr>
        <w:t xml:space="preserve">, </w:t>
      </w:r>
      <w:r w:rsidRPr="002A516C">
        <w:rPr>
          <w:rFonts w:ascii="Arial" w:hAnsi="Arial" w:cs="Arial"/>
          <w:bCs/>
          <w:sz w:val="22"/>
          <w:szCs w:val="22"/>
        </w:rPr>
        <w:t xml:space="preserve">které budou </w:t>
      </w:r>
      <w:r w:rsidR="001772E8">
        <w:rPr>
          <w:rFonts w:ascii="Arial" w:hAnsi="Arial" w:cs="Arial"/>
          <w:bCs/>
          <w:sz w:val="22"/>
          <w:szCs w:val="22"/>
        </w:rPr>
        <w:t xml:space="preserve">realizovány </w:t>
      </w:r>
      <w:r w:rsidRPr="002A516C">
        <w:rPr>
          <w:rFonts w:ascii="Arial" w:hAnsi="Arial" w:cs="Arial"/>
          <w:sz w:val="22"/>
          <w:szCs w:val="22"/>
        </w:rPr>
        <w:t xml:space="preserve">během 1. roku udržitelnosti projektu v projektem podpořené či nově vybudované kapacitě </w:t>
      </w:r>
      <w:r w:rsidRPr="002A516C">
        <w:rPr>
          <w:rFonts w:ascii="Arial" w:hAnsi="Arial" w:cs="Arial"/>
          <w:bCs/>
          <w:sz w:val="22"/>
          <w:szCs w:val="22"/>
        </w:rPr>
        <w:t>zařízení/</w:t>
      </w:r>
      <w:r w:rsidR="001772E8">
        <w:rPr>
          <w:rFonts w:ascii="Arial" w:hAnsi="Arial" w:cs="Arial"/>
          <w:bCs/>
          <w:sz w:val="22"/>
          <w:szCs w:val="22"/>
        </w:rPr>
        <w:t>pobočky/národní referenční laboratoře</w:t>
      </w:r>
      <w:r w:rsidRPr="002A516C">
        <w:rPr>
          <w:rFonts w:ascii="Arial" w:hAnsi="Arial" w:cs="Arial"/>
          <w:sz w:val="22"/>
          <w:szCs w:val="22"/>
        </w:rPr>
        <w:t xml:space="preserve">. </w:t>
      </w:r>
    </w:p>
    <w:p w14:paraId="4581BC52" w14:textId="77777777" w:rsidR="001772E8" w:rsidRDefault="001772E8" w:rsidP="002A516C">
      <w:pPr>
        <w:spacing w:after="200" w:line="276" w:lineRule="auto"/>
        <w:jc w:val="both"/>
        <w:rPr>
          <w:rFonts w:ascii="Arial" w:hAnsi="Arial" w:cs="Arial"/>
          <w:sz w:val="22"/>
          <w:szCs w:val="22"/>
        </w:rPr>
      </w:pPr>
    </w:p>
    <w:p w14:paraId="2FE5984D" w14:textId="77777777" w:rsidR="00490AD1" w:rsidRPr="002A516C" w:rsidRDefault="00490AD1" w:rsidP="002A516C">
      <w:pPr>
        <w:spacing w:after="200" w:line="276" w:lineRule="auto"/>
        <w:jc w:val="both"/>
        <w:rPr>
          <w:rFonts w:ascii="Arial" w:hAnsi="Arial" w:cs="Arial"/>
          <w:sz w:val="22"/>
          <w:szCs w:val="22"/>
        </w:rPr>
      </w:pPr>
    </w:p>
    <w:p w14:paraId="23AA612E" w14:textId="77777777" w:rsidR="002A516C" w:rsidRPr="002A516C" w:rsidRDefault="002A516C" w:rsidP="002A516C">
      <w:pPr>
        <w:ind w:left="720"/>
        <w:contextualSpacing/>
      </w:pPr>
    </w:p>
    <w:p w14:paraId="5A5EF8B4" w14:textId="77777777" w:rsidR="002A516C" w:rsidRPr="002A516C" w:rsidRDefault="002A516C" w:rsidP="002A516C">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A516C">
        <w:rPr>
          <w:rFonts w:ascii="Arial" w:hAnsi="Arial" w:cs="Arial"/>
          <w:b/>
          <w:bCs/>
          <w:sz w:val="22"/>
          <w:szCs w:val="22"/>
        </w:rPr>
        <w:t>PŘÍKLAD</w:t>
      </w:r>
    </w:p>
    <w:p w14:paraId="0877E6D0" w14:textId="77777777" w:rsidR="002A516C" w:rsidRPr="002A516C" w:rsidRDefault="002A516C" w:rsidP="002A516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41643F26" w14:textId="42F9F447" w:rsidR="006B3CD9"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Žadatel plánuje </w:t>
      </w:r>
      <w:r w:rsidR="00227ADA" w:rsidRPr="00273D3E">
        <w:rPr>
          <w:rFonts w:ascii="Arial" w:hAnsi="Arial" w:cs="Arial"/>
          <w:sz w:val="22"/>
          <w:szCs w:val="22"/>
        </w:rPr>
        <w:t xml:space="preserve">pořídit </w:t>
      </w:r>
      <w:r w:rsidR="001140D8">
        <w:rPr>
          <w:rFonts w:ascii="Arial" w:hAnsi="Arial" w:cs="Arial"/>
          <w:sz w:val="22"/>
          <w:szCs w:val="22"/>
        </w:rPr>
        <w:t xml:space="preserve">čtyři </w:t>
      </w:r>
      <w:r w:rsidR="00227ADA" w:rsidRPr="00273D3E">
        <w:rPr>
          <w:rFonts w:ascii="Arial" w:hAnsi="Arial" w:cs="Arial"/>
          <w:sz w:val="22"/>
          <w:szCs w:val="22"/>
        </w:rPr>
        <w:t xml:space="preserve">automobily </w:t>
      </w:r>
      <w:r w:rsidR="001140D8">
        <w:rPr>
          <w:rFonts w:ascii="Arial" w:hAnsi="Arial" w:cs="Arial"/>
          <w:sz w:val="22"/>
          <w:szCs w:val="22"/>
        </w:rPr>
        <w:t>(fungující jako mobilní kanceláře). Dojde k nahrazení dvou vozidel, které v průměru realizovaly</w:t>
      </w:r>
      <w:r w:rsidR="006B3CD9">
        <w:rPr>
          <w:rFonts w:ascii="Arial" w:hAnsi="Arial" w:cs="Arial"/>
          <w:sz w:val="22"/>
          <w:szCs w:val="22"/>
        </w:rPr>
        <w:t xml:space="preserve"> za jeden rok</w:t>
      </w:r>
      <w:r w:rsidR="001140D8">
        <w:rPr>
          <w:rFonts w:ascii="Arial" w:hAnsi="Arial" w:cs="Arial"/>
          <w:sz w:val="22"/>
          <w:szCs w:val="22"/>
        </w:rPr>
        <w:t xml:space="preserve"> 200 kontrol</w:t>
      </w:r>
      <w:r w:rsidR="006B3CD9">
        <w:rPr>
          <w:rFonts w:ascii="Arial" w:hAnsi="Arial" w:cs="Arial"/>
          <w:sz w:val="22"/>
          <w:szCs w:val="22"/>
        </w:rPr>
        <w:t xml:space="preserve"> </w:t>
      </w:r>
      <w:r w:rsidR="001140D8">
        <w:rPr>
          <w:rFonts w:ascii="Arial" w:hAnsi="Arial" w:cs="Arial"/>
          <w:sz w:val="22"/>
          <w:szCs w:val="22"/>
        </w:rPr>
        <w:t xml:space="preserve">(výchozí hodnota </w:t>
      </w:r>
      <w:r w:rsidR="006B3CD9">
        <w:rPr>
          <w:rFonts w:ascii="Arial" w:hAnsi="Arial" w:cs="Arial"/>
          <w:sz w:val="22"/>
          <w:szCs w:val="22"/>
        </w:rPr>
        <w:t xml:space="preserve">bude proto odpovídat zlepšené, projektem ovlivnění kapacitě, tedy </w:t>
      </w:r>
      <w:r w:rsidR="001140D8">
        <w:rPr>
          <w:rFonts w:ascii="Arial" w:hAnsi="Arial" w:cs="Arial"/>
          <w:sz w:val="22"/>
          <w:szCs w:val="22"/>
        </w:rPr>
        <w:t>100</w:t>
      </w:r>
      <w:r w:rsidR="006B3CD9">
        <w:rPr>
          <w:rFonts w:ascii="Arial" w:hAnsi="Arial" w:cs="Arial"/>
          <w:sz w:val="22"/>
          <w:szCs w:val="22"/>
          <w:lang w:val="en-US"/>
        </w:rPr>
        <w:t>+1</w:t>
      </w:r>
      <w:r w:rsidR="001140D8">
        <w:rPr>
          <w:rFonts w:ascii="Arial" w:hAnsi="Arial" w:cs="Arial"/>
          <w:sz w:val="22"/>
          <w:szCs w:val="22"/>
        </w:rPr>
        <w:t>00</w:t>
      </w:r>
      <w:r w:rsidR="006B3CD9">
        <w:rPr>
          <w:rFonts w:ascii="Arial" w:hAnsi="Arial" w:cs="Arial"/>
          <w:sz w:val="22"/>
          <w:szCs w:val="22"/>
        </w:rPr>
        <w:t>=200</w:t>
      </w:r>
      <w:r w:rsidR="001140D8">
        <w:rPr>
          <w:rFonts w:ascii="Arial" w:hAnsi="Arial" w:cs="Arial"/>
          <w:sz w:val="22"/>
          <w:szCs w:val="22"/>
        </w:rPr>
        <w:t>), zbývající dv</w:t>
      </w:r>
      <w:r w:rsidR="006B3CD9">
        <w:rPr>
          <w:rFonts w:ascii="Arial" w:hAnsi="Arial" w:cs="Arial"/>
          <w:sz w:val="22"/>
          <w:szCs w:val="22"/>
        </w:rPr>
        <w:t xml:space="preserve">a automobily </w:t>
      </w:r>
      <w:proofErr w:type="gramStart"/>
      <w:r w:rsidR="006B3CD9">
        <w:rPr>
          <w:rFonts w:ascii="Arial" w:hAnsi="Arial" w:cs="Arial"/>
          <w:sz w:val="22"/>
          <w:szCs w:val="22"/>
        </w:rPr>
        <w:t>zvýší</w:t>
      </w:r>
      <w:proofErr w:type="gramEnd"/>
      <w:r w:rsidR="006B3CD9">
        <w:rPr>
          <w:rFonts w:ascii="Arial" w:hAnsi="Arial" w:cs="Arial"/>
          <w:sz w:val="22"/>
          <w:szCs w:val="22"/>
        </w:rPr>
        <w:t xml:space="preserve"> plánovaný skutečný </w:t>
      </w:r>
      <w:r w:rsidR="001140D8">
        <w:rPr>
          <w:rFonts w:ascii="Arial" w:hAnsi="Arial" w:cs="Arial"/>
          <w:sz w:val="22"/>
          <w:szCs w:val="22"/>
        </w:rPr>
        <w:t>počet úkonů</w:t>
      </w:r>
      <w:r w:rsidR="006B3CD9">
        <w:rPr>
          <w:rFonts w:ascii="Arial" w:hAnsi="Arial" w:cs="Arial"/>
          <w:sz w:val="22"/>
          <w:szCs w:val="22"/>
        </w:rPr>
        <w:t xml:space="preserve"> analogicky, tedy 2x100 = 200 kontrol. </w:t>
      </w:r>
      <w:r w:rsidR="001140D8">
        <w:rPr>
          <w:rFonts w:ascii="Arial" w:hAnsi="Arial" w:cs="Arial"/>
          <w:sz w:val="22"/>
          <w:szCs w:val="22"/>
        </w:rPr>
        <w:t>(</w:t>
      </w:r>
      <w:r w:rsidR="006B3CD9">
        <w:rPr>
          <w:rFonts w:ascii="Arial" w:hAnsi="Arial" w:cs="Arial"/>
          <w:sz w:val="22"/>
          <w:szCs w:val="22"/>
        </w:rPr>
        <w:t xml:space="preserve">celkově tedy bude cílová hodnota odpovídat </w:t>
      </w:r>
      <w:r w:rsidR="001140D8">
        <w:rPr>
          <w:rFonts w:ascii="Arial" w:hAnsi="Arial" w:cs="Arial"/>
          <w:sz w:val="22"/>
          <w:szCs w:val="22"/>
        </w:rPr>
        <w:t>4</w:t>
      </w:r>
      <w:r w:rsidR="00227ADA" w:rsidRPr="00273D3E">
        <w:rPr>
          <w:rFonts w:ascii="Arial" w:hAnsi="Arial" w:cs="Arial"/>
          <w:sz w:val="22"/>
          <w:szCs w:val="22"/>
        </w:rPr>
        <w:t>00 kontrol</w:t>
      </w:r>
      <w:r w:rsidR="006B3CD9">
        <w:rPr>
          <w:rFonts w:ascii="Arial" w:hAnsi="Arial" w:cs="Arial"/>
          <w:sz w:val="22"/>
          <w:szCs w:val="22"/>
        </w:rPr>
        <w:t>ám</w:t>
      </w:r>
      <w:r w:rsidR="00227ADA" w:rsidRPr="00273D3E">
        <w:rPr>
          <w:rFonts w:ascii="Arial" w:hAnsi="Arial" w:cs="Arial"/>
          <w:sz w:val="22"/>
          <w:szCs w:val="22"/>
        </w:rPr>
        <w:t xml:space="preserve"> ročně</w:t>
      </w:r>
      <w:r w:rsidRPr="00273D3E">
        <w:rPr>
          <w:rFonts w:ascii="Arial" w:hAnsi="Arial" w:cs="Arial"/>
          <w:sz w:val="22"/>
          <w:szCs w:val="22"/>
        </w:rPr>
        <w:t xml:space="preserve">. </w:t>
      </w:r>
    </w:p>
    <w:p w14:paraId="7ADE6FBB" w14:textId="65D19EC2" w:rsidR="002A516C" w:rsidRPr="00273D3E"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Díky projektu </w:t>
      </w:r>
      <w:r w:rsidR="000B4C99" w:rsidRPr="00273D3E">
        <w:rPr>
          <w:rFonts w:ascii="Arial" w:hAnsi="Arial" w:cs="Arial"/>
          <w:sz w:val="22"/>
          <w:szCs w:val="22"/>
        </w:rPr>
        <w:t xml:space="preserve">a pořízení </w:t>
      </w:r>
      <w:r w:rsidR="006B3CD9">
        <w:rPr>
          <w:rFonts w:ascii="Arial" w:hAnsi="Arial" w:cs="Arial"/>
          <w:sz w:val="22"/>
          <w:szCs w:val="22"/>
        </w:rPr>
        <w:t>čtyř</w:t>
      </w:r>
      <w:r w:rsidR="006B3CD9" w:rsidRPr="00273D3E">
        <w:rPr>
          <w:rFonts w:ascii="Arial" w:hAnsi="Arial" w:cs="Arial"/>
          <w:sz w:val="22"/>
          <w:szCs w:val="22"/>
        </w:rPr>
        <w:t xml:space="preserve"> </w:t>
      </w:r>
      <w:r w:rsidR="000B4C99" w:rsidRPr="00273D3E">
        <w:rPr>
          <w:rFonts w:ascii="Arial" w:hAnsi="Arial" w:cs="Arial"/>
          <w:sz w:val="22"/>
          <w:szCs w:val="22"/>
        </w:rPr>
        <w:t xml:space="preserve">nových automobilů </w:t>
      </w:r>
      <w:r w:rsidRPr="00273D3E">
        <w:rPr>
          <w:rFonts w:ascii="Arial" w:hAnsi="Arial" w:cs="Arial"/>
          <w:sz w:val="22"/>
          <w:szCs w:val="22"/>
        </w:rPr>
        <w:t xml:space="preserve">se </w:t>
      </w:r>
      <w:r w:rsidR="006B3CD9">
        <w:rPr>
          <w:rFonts w:ascii="Arial" w:hAnsi="Arial" w:cs="Arial"/>
          <w:sz w:val="22"/>
          <w:szCs w:val="22"/>
        </w:rPr>
        <w:t xml:space="preserve">tedy </w:t>
      </w:r>
      <w:r w:rsidRPr="00273D3E">
        <w:rPr>
          <w:rFonts w:ascii="Arial" w:hAnsi="Arial" w:cs="Arial"/>
          <w:sz w:val="22"/>
          <w:szCs w:val="22"/>
        </w:rPr>
        <w:t xml:space="preserve">plánuje </w:t>
      </w:r>
      <w:r w:rsidR="006B3CD9">
        <w:rPr>
          <w:rFonts w:ascii="Arial" w:hAnsi="Arial" w:cs="Arial"/>
          <w:sz w:val="22"/>
          <w:szCs w:val="22"/>
        </w:rPr>
        <w:t xml:space="preserve">vylepšit stávající počet kontrolních úkonů v počtu 200 a </w:t>
      </w:r>
      <w:r w:rsidRPr="00273D3E">
        <w:rPr>
          <w:rFonts w:ascii="Arial" w:hAnsi="Arial" w:cs="Arial"/>
          <w:sz w:val="22"/>
          <w:szCs w:val="22"/>
        </w:rPr>
        <w:t>rozšíř</w:t>
      </w:r>
      <w:r w:rsidR="006B3CD9">
        <w:rPr>
          <w:rFonts w:ascii="Arial" w:hAnsi="Arial" w:cs="Arial"/>
          <w:sz w:val="22"/>
          <w:szCs w:val="22"/>
        </w:rPr>
        <w:t>it</w:t>
      </w:r>
      <w:r w:rsidRPr="00273D3E">
        <w:rPr>
          <w:rFonts w:ascii="Arial" w:hAnsi="Arial" w:cs="Arial"/>
          <w:sz w:val="22"/>
          <w:szCs w:val="22"/>
        </w:rPr>
        <w:t xml:space="preserve"> </w:t>
      </w:r>
      <w:r w:rsidR="00227ADA" w:rsidRPr="00273D3E">
        <w:rPr>
          <w:rFonts w:ascii="Arial" w:hAnsi="Arial" w:cs="Arial"/>
          <w:sz w:val="22"/>
          <w:szCs w:val="22"/>
        </w:rPr>
        <w:t xml:space="preserve">o </w:t>
      </w:r>
      <w:r w:rsidR="00626409" w:rsidRPr="00273D3E">
        <w:rPr>
          <w:rFonts w:ascii="Arial" w:hAnsi="Arial" w:cs="Arial"/>
          <w:sz w:val="22"/>
          <w:szCs w:val="22"/>
        </w:rPr>
        <w:t>2</w:t>
      </w:r>
      <w:r w:rsidR="00227ADA" w:rsidRPr="00273D3E">
        <w:rPr>
          <w:rFonts w:ascii="Arial" w:hAnsi="Arial" w:cs="Arial"/>
          <w:sz w:val="22"/>
          <w:szCs w:val="22"/>
        </w:rPr>
        <w:t>00</w:t>
      </w:r>
      <w:r w:rsidR="006B3CD9">
        <w:rPr>
          <w:rFonts w:ascii="Arial" w:hAnsi="Arial" w:cs="Arial"/>
          <w:sz w:val="22"/>
          <w:szCs w:val="22"/>
        </w:rPr>
        <w:t xml:space="preserve"> nových</w:t>
      </w:r>
      <w:r w:rsidR="00227ADA" w:rsidRPr="00273D3E">
        <w:rPr>
          <w:rFonts w:ascii="Arial" w:hAnsi="Arial" w:cs="Arial"/>
          <w:sz w:val="22"/>
          <w:szCs w:val="22"/>
        </w:rPr>
        <w:t xml:space="preserve"> kontrol ročně. </w:t>
      </w:r>
      <w:r w:rsidRPr="00273D3E">
        <w:rPr>
          <w:rFonts w:ascii="Arial" w:hAnsi="Arial" w:cs="Arial"/>
          <w:sz w:val="22"/>
          <w:szCs w:val="22"/>
        </w:rPr>
        <w:t xml:space="preserve">Výchozí hodnota bude činit </w:t>
      </w:r>
      <w:r w:rsidR="00626409" w:rsidRPr="00273D3E">
        <w:rPr>
          <w:rFonts w:ascii="Arial" w:hAnsi="Arial" w:cs="Arial"/>
          <w:sz w:val="22"/>
          <w:szCs w:val="22"/>
        </w:rPr>
        <w:t>2</w:t>
      </w:r>
      <w:r w:rsidR="00227ADA" w:rsidRPr="00273D3E">
        <w:rPr>
          <w:rFonts w:ascii="Arial" w:hAnsi="Arial" w:cs="Arial"/>
          <w:sz w:val="22"/>
          <w:szCs w:val="22"/>
        </w:rPr>
        <w:t>00</w:t>
      </w:r>
      <w:r w:rsidRPr="00273D3E">
        <w:rPr>
          <w:rFonts w:ascii="Arial" w:hAnsi="Arial" w:cs="Arial"/>
          <w:sz w:val="22"/>
          <w:szCs w:val="22"/>
        </w:rPr>
        <w:t xml:space="preserve">. Cílová hodnota bude činit </w:t>
      </w:r>
      <w:r w:rsidR="00626409" w:rsidRPr="00273D3E">
        <w:rPr>
          <w:rFonts w:ascii="Arial" w:hAnsi="Arial" w:cs="Arial"/>
          <w:sz w:val="22"/>
          <w:szCs w:val="22"/>
        </w:rPr>
        <w:t>4</w:t>
      </w:r>
      <w:r w:rsidRPr="00273D3E">
        <w:rPr>
          <w:rFonts w:ascii="Arial" w:hAnsi="Arial" w:cs="Arial"/>
          <w:sz w:val="22"/>
          <w:szCs w:val="22"/>
        </w:rPr>
        <w:t xml:space="preserve">00 </w:t>
      </w:r>
      <w:r w:rsidR="000B4C99" w:rsidRPr="00273D3E">
        <w:rPr>
          <w:rFonts w:ascii="Arial" w:hAnsi="Arial" w:cs="Arial"/>
          <w:sz w:val="22"/>
          <w:szCs w:val="22"/>
        </w:rPr>
        <w:t>úkonů</w:t>
      </w:r>
      <w:r w:rsidRPr="00273D3E">
        <w:rPr>
          <w:rFonts w:ascii="Arial" w:hAnsi="Arial" w:cs="Arial"/>
          <w:sz w:val="22"/>
          <w:szCs w:val="22"/>
        </w:rPr>
        <w:t xml:space="preserve">.   </w:t>
      </w:r>
    </w:p>
    <w:p w14:paraId="427165A6" w14:textId="77777777" w:rsidR="002A516C" w:rsidRPr="00273D3E"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F3576ED" w14:textId="5B445BFF" w:rsidR="002A516C" w:rsidRDefault="0062640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Žadatel plánuje pořídit laboratorní přístroje, </w:t>
      </w:r>
      <w:r w:rsidR="000B4C99" w:rsidRPr="00273D3E">
        <w:rPr>
          <w:rFonts w:ascii="Arial" w:hAnsi="Arial" w:cs="Arial"/>
          <w:sz w:val="22"/>
          <w:szCs w:val="22"/>
        </w:rPr>
        <w:t xml:space="preserve">dosud takové laboratorní přístroje nevlastnil. Výchozí hodnota tedy bude činit 0. Díky projektu plánuje provést 800 laboratorních </w:t>
      </w:r>
      <w:r w:rsidR="0033217D">
        <w:rPr>
          <w:rFonts w:ascii="Arial" w:hAnsi="Arial" w:cs="Arial"/>
          <w:sz w:val="22"/>
          <w:szCs w:val="22"/>
        </w:rPr>
        <w:t>analýz</w:t>
      </w:r>
      <w:r w:rsidR="0033217D" w:rsidRPr="00273D3E">
        <w:rPr>
          <w:rFonts w:ascii="Arial" w:hAnsi="Arial" w:cs="Arial"/>
          <w:sz w:val="22"/>
          <w:szCs w:val="22"/>
        </w:rPr>
        <w:t xml:space="preserve"> </w:t>
      </w:r>
      <w:r w:rsidR="000B4C99" w:rsidRPr="00273D3E">
        <w:rPr>
          <w:rFonts w:ascii="Arial" w:hAnsi="Arial" w:cs="Arial"/>
          <w:sz w:val="22"/>
          <w:szCs w:val="22"/>
        </w:rPr>
        <w:t xml:space="preserve">ročně. Cílová hodnota bude činit 800 úkonů. </w:t>
      </w:r>
    </w:p>
    <w:p w14:paraId="67930432" w14:textId="77777777" w:rsidR="006B3CD9" w:rsidRDefault="006B3CD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FA45C8D" w14:textId="578B9CD7" w:rsidR="006B3CD9" w:rsidRPr="00273D3E" w:rsidRDefault="006B3CD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Celkové hodnoty na projektu pak budou součtem různých „druhů“ úkonů. Například příklady výše dávají v součtu výchozí hodnotu 200 a cílovou 1200. </w:t>
      </w:r>
    </w:p>
    <w:p w14:paraId="78642013" w14:textId="77777777" w:rsidR="000B4C99" w:rsidRPr="00273D3E" w:rsidRDefault="000B4C9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1CF28683" w14:textId="39B08B32" w:rsidR="000B4C99" w:rsidRPr="002A516C" w:rsidRDefault="000B4C9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Cílová hodnota indikátoru bude vždy nižší nebo rovna </w:t>
      </w:r>
      <w:r w:rsidRPr="0033217D">
        <w:rPr>
          <w:rFonts w:ascii="Arial" w:hAnsi="Arial" w:cs="Arial"/>
          <w:sz w:val="22"/>
          <w:szCs w:val="22"/>
        </w:rPr>
        <w:t>hodnot</w:t>
      </w:r>
      <w:r w:rsidR="00E76209" w:rsidRPr="0033217D">
        <w:rPr>
          <w:rFonts w:ascii="Arial" w:hAnsi="Arial" w:cs="Arial"/>
          <w:sz w:val="22"/>
          <w:szCs w:val="22"/>
        </w:rPr>
        <w:t>ě</w:t>
      </w:r>
      <w:r w:rsidRPr="0033217D">
        <w:rPr>
          <w:rFonts w:ascii="Arial" w:hAnsi="Arial" w:cs="Arial"/>
          <w:sz w:val="22"/>
          <w:szCs w:val="22"/>
        </w:rPr>
        <w:t xml:space="preserve"> kapacitního indikátoru „</w:t>
      </w:r>
      <w:r w:rsidR="00E76209" w:rsidRPr="0033217D">
        <w:rPr>
          <w:rFonts w:ascii="Arial" w:hAnsi="Arial" w:cs="Arial"/>
          <w:sz w:val="22"/>
          <w:szCs w:val="22"/>
        </w:rPr>
        <w:t>562011</w:t>
      </w:r>
      <w:r w:rsidRPr="00273D3E">
        <w:rPr>
          <w:rFonts w:ascii="Arial" w:hAnsi="Arial" w:cs="Arial"/>
          <w:sz w:val="22"/>
          <w:szCs w:val="22"/>
        </w:rPr>
        <w:t xml:space="preserve"> - Kapacita modernizovaných orgánů ochrany veřejného zdraví“, jelikož odráží skutečný počet realizovaných výkonů.</w:t>
      </w:r>
    </w:p>
    <w:p w14:paraId="5E828285" w14:textId="77777777" w:rsidR="002A516C" w:rsidRPr="002A516C" w:rsidRDefault="002A516C" w:rsidP="002A516C">
      <w:pPr>
        <w:spacing w:after="200" w:line="276" w:lineRule="auto"/>
        <w:jc w:val="both"/>
        <w:rPr>
          <w:rFonts w:ascii="Arial" w:hAnsi="Arial" w:cs="Arial"/>
          <w:sz w:val="22"/>
          <w:szCs w:val="22"/>
        </w:rPr>
      </w:pPr>
    </w:p>
    <w:p w14:paraId="4FD60C45" w14:textId="44D8C625" w:rsidR="002A516C" w:rsidRP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 xml:space="preserve">Žadatel ve </w:t>
      </w:r>
      <w:r w:rsidR="00EE36B8">
        <w:rPr>
          <w:rFonts w:ascii="Arial" w:hAnsi="Arial" w:cs="Arial"/>
          <w:b/>
          <w:bCs/>
          <w:sz w:val="22"/>
          <w:szCs w:val="22"/>
        </w:rPr>
        <w:t>S</w:t>
      </w:r>
      <w:r w:rsidRPr="002A516C">
        <w:rPr>
          <w:rFonts w:ascii="Arial" w:hAnsi="Arial" w:cs="Arial"/>
          <w:b/>
          <w:bCs/>
          <w:sz w:val="22"/>
          <w:szCs w:val="22"/>
        </w:rPr>
        <w:t xml:space="preserve">tudii proveditelnosti uvede způsob výpočtu tak, aby jeho výsledek odpovídal cílové hodnotě a bylo možné ho ověřit. </w:t>
      </w:r>
      <w:r w:rsidRPr="002A516C">
        <w:rPr>
          <w:rFonts w:ascii="Arial" w:hAnsi="Arial" w:cs="Arial"/>
          <w:sz w:val="22"/>
          <w:szCs w:val="22"/>
        </w:rPr>
        <w:t xml:space="preserve">Tuto hodnotu se příjemce zavazuje naplnit k datu </w:t>
      </w:r>
      <w:r w:rsidRPr="002A516C">
        <w:rPr>
          <w:rFonts w:ascii="Arial" w:hAnsi="Arial" w:cs="Arial"/>
          <w:color w:val="000000" w:themeColor="text1"/>
          <w:sz w:val="22"/>
          <w:szCs w:val="22"/>
        </w:rPr>
        <w:t>konce prvního roku udržitelnosti projektu</w:t>
      </w:r>
      <w:r w:rsidRPr="002A516C">
        <w:rPr>
          <w:rFonts w:ascii="Arial" w:hAnsi="Arial" w:cs="Arial"/>
          <w:color w:val="000000" w:themeColor="text1"/>
          <w:sz w:val="22"/>
          <w:szCs w:val="22"/>
          <w:vertAlign w:val="superscript"/>
        </w:rPr>
        <w:footnoteReference w:id="3"/>
      </w:r>
      <w:r w:rsidRPr="002A516C">
        <w:rPr>
          <w:rFonts w:ascii="Arial" w:hAnsi="Arial" w:cs="Arial"/>
          <w:color w:val="000000" w:themeColor="text1"/>
          <w:sz w:val="22"/>
          <w:szCs w:val="22"/>
        </w:rPr>
        <w:t xml:space="preserve"> </w:t>
      </w:r>
      <w:r w:rsidRPr="002A516C">
        <w:rPr>
          <w:rFonts w:ascii="Arial" w:hAnsi="Arial" w:cs="Arial"/>
          <w:sz w:val="22"/>
          <w:szCs w:val="22"/>
        </w:rPr>
        <w:t xml:space="preserve">a od tohoto okamžiku udržet až do konce udržitelnosti projektu. </w:t>
      </w:r>
    </w:p>
    <w:p w14:paraId="61A198BE" w14:textId="77777777" w:rsidR="002A516C" w:rsidRPr="002A516C" w:rsidRDefault="002A516C" w:rsidP="002A516C">
      <w:pPr>
        <w:spacing w:after="200" w:line="276" w:lineRule="auto"/>
        <w:jc w:val="both"/>
        <w:rPr>
          <w:rFonts w:ascii="Arial" w:hAnsi="Arial" w:cs="Arial"/>
          <w:color w:val="000000" w:themeColor="text1"/>
          <w:sz w:val="22"/>
          <w:szCs w:val="22"/>
          <w:highlight w:val="yellow"/>
        </w:rPr>
      </w:pPr>
      <w:r w:rsidRPr="002A516C">
        <w:rPr>
          <w:rFonts w:ascii="Arial" w:hAnsi="Arial" w:cs="Arial"/>
          <w:b/>
          <w:bCs/>
          <w:sz w:val="22"/>
          <w:szCs w:val="22"/>
        </w:rPr>
        <w:t>Datum cílové hodnoty:</w:t>
      </w:r>
      <w:r w:rsidRPr="002A516C">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projektu </w:t>
      </w:r>
      <w:r w:rsidRPr="002A516C">
        <w:rPr>
          <w:rFonts w:ascii="Arial" w:hAnsi="Arial" w:cs="Arial"/>
          <w:b/>
          <w:bCs/>
          <w:sz w:val="22"/>
          <w:szCs w:val="22"/>
        </w:rPr>
        <w:t>orientačně</w:t>
      </w:r>
      <w:r w:rsidRPr="002A516C">
        <w:rPr>
          <w:rFonts w:ascii="Arial" w:hAnsi="Arial" w:cs="Arial"/>
          <w:sz w:val="22"/>
          <w:szCs w:val="22"/>
        </w:rPr>
        <w:t xml:space="preserve"> stanoveno jako plánované ukončení realizace projektu + 1 rok a 6 měsíců, což </w:t>
      </w:r>
      <w:r w:rsidRPr="002A516C">
        <w:rPr>
          <w:rFonts w:ascii="Arial" w:hAnsi="Arial" w:cs="Arial"/>
          <w:color w:val="000000" w:themeColor="text1"/>
          <w:sz w:val="22"/>
          <w:szCs w:val="22"/>
        </w:rPr>
        <w:t>jinak neovlivňuje povinnost příjemce hodnotu naplnit a vykázat za 12 měsíců prvního roku udržitelnosti.</w:t>
      </w:r>
    </w:p>
    <w:p w14:paraId="0F6D9D86" w14:textId="77777777" w:rsidR="002A516C" w:rsidRPr="002A516C" w:rsidRDefault="002A516C" w:rsidP="002A516C">
      <w:pPr>
        <w:spacing w:after="200" w:line="276" w:lineRule="auto"/>
        <w:jc w:val="both"/>
        <w:rPr>
          <w:rFonts w:ascii="Arial" w:hAnsi="Arial" w:cs="Arial"/>
          <w:sz w:val="22"/>
          <w:szCs w:val="22"/>
        </w:rPr>
      </w:pPr>
      <w:r w:rsidRPr="002A516C">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B40D1C0" w14:textId="592B7C49" w:rsidR="002A516C" w:rsidRP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Dosažená hodnota:</w:t>
      </w:r>
      <w:r w:rsidRPr="002A516C">
        <w:rPr>
          <w:rFonts w:ascii="Arial" w:hAnsi="Arial" w:cs="Arial"/>
          <w:sz w:val="22"/>
          <w:szCs w:val="22"/>
        </w:rPr>
        <w:t xml:space="preserve"> Skutečný počet </w:t>
      </w:r>
      <w:r w:rsidR="00DE6F1E">
        <w:rPr>
          <w:rFonts w:ascii="Arial" w:hAnsi="Arial" w:cs="Arial"/>
          <w:sz w:val="22"/>
          <w:szCs w:val="22"/>
        </w:rPr>
        <w:t>úkonů</w:t>
      </w:r>
      <w:r w:rsidRPr="002A516C">
        <w:rPr>
          <w:rFonts w:ascii="Arial" w:hAnsi="Arial" w:cs="Arial"/>
          <w:sz w:val="22"/>
          <w:szCs w:val="22"/>
        </w:rPr>
        <w:t xml:space="preserve">, které podpořené zařízení </w:t>
      </w:r>
      <w:r w:rsidR="00DE6F1E">
        <w:rPr>
          <w:rFonts w:ascii="Arial" w:hAnsi="Arial" w:cs="Arial"/>
          <w:sz w:val="22"/>
          <w:szCs w:val="22"/>
        </w:rPr>
        <w:t xml:space="preserve">realizovalo </w:t>
      </w:r>
      <w:r w:rsidRPr="002A516C">
        <w:rPr>
          <w:rFonts w:ascii="Arial" w:hAnsi="Arial" w:cs="Arial"/>
          <w:sz w:val="22"/>
          <w:szCs w:val="22"/>
        </w:rPr>
        <w:t>během 1. roku udržitelnosti projektu. Hodnotu je nutné poprvé vykázat nejpozději k Rozhodnému datu, tedy v</w:t>
      </w:r>
      <w:r w:rsidRPr="002A516C">
        <w:t xml:space="preserve"> </w:t>
      </w:r>
      <w:r w:rsidRPr="002A516C">
        <w:rPr>
          <w:rFonts w:ascii="Arial" w:hAnsi="Arial" w:cs="Arial"/>
          <w:sz w:val="22"/>
          <w:szCs w:val="22"/>
        </w:rPr>
        <w:t>1. Zprávě o udržitelnosti projektu ke skutečnému datu, kdy skončil první rok udržitelnosti projektu.</w:t>
      </w:r>
    </w:p>
    <w:p w14:paraId="00BBBC2C" w14:textId="77777777" w:rsidR="002A516C" w:rsidRDefault="002A516C" w:rsidP="002A516C">
      <w:pPr>
        <w:spacing w:after="200" w:line="276" w:lineRule="auto"/>
        <w:jc w:val="both"/>
        <w:rPr>
          <w:rFonts w:ascii="Arial" w:hAnsi="Arial" w:cs="Arial"/>
          <w:sz w:val="22"/>
          <w:szCs w:val="22"/>
        </w:rPr>
      </w:pPr>
      <w:r w:rsidRPr="002A516C">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2A516C">
        <w:rPr>
          <w:rFonts w:ascii="Arial" w:hAnsi="Arial" w:cs="Arial"/>
          <w:color w:val="000000" w:themeColor="text1"/>
          <w:sz w:val="22"/>
          <w:szCs w:val="22"/>
        </w:rPr>
        <w:t>projektu</w:t>
      </w:r>
      <w:r w:rsidRPr="002A516C">
        <w:rPr>
          <w:rFonts w:ascii="Arial" w:hAnsi="Arial" w:cs="Arial"/>
          <w:sz w:val="22"/>
          <w:szCs w:val="22"/>
        </w:rPr>
        <w:t>.</w:t>
      </w:r>
    </w:p>
    <w:p w14:paraId="3D2E9C8E"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p>
    <w:p w14:paraId="4038D2BF"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A516C" w:rsidRPr="002A516C" w14:paraId="15C7EF8B" w14:textId="77777777" w:rsidTr="00E315EC">
        <w:trPr>
          <w:trHeight w:val="785"/>
        </w:trPr>
        <w:tc>
          <w:tcPr>
            <w:tcW w:w="4575" w:type="dxa"/>
          </w:tcPr>
          <w:p w14:paraId="5EF9C28D" w14:textId="77777777" w:rsidR="002A516C" w:rsidRPr="002A516C" w:rsidRDefault="002A516C" w:rsidP="002A516C">
            <w:pPr>
              <w:spacing w:before="120" w:after="120" w:line="271" w:lineRule="auto"/>
              <w:ind w:left="52"/>
              <w:jc w:val="both"/>
              <w:rPr>
                <w:rFonts w:ascii="Arial" w:hAnsi="Arial" w:cs="Arial"/>
                <w:b/>
                <w:bCs/>
                <w:sz w:val="22"/>
                <w:szCs w:val="22"/>
              </w:rPr>
            </w:pPr>
            <w:r w:rsidRPr="002A516C">
              <w:rPr>
                <w:rFonts w:ascii="Arial" w:hAnsi="Arial" w:cs="Arial"/>
                <w:b/>
                <w:bCs/>
                <w:sz w:val="22"/>
                <w:szCs w:val="22"/>
              </w:rPr>
              <w:t>V Závěrečné zprávě o realizaci projektu:</w:t>
            </w:r>
          </w:p>
          <w:p w14:paraId="2EA97AE8" w14:textId="77777777" w:rsidR="002A516C" w:rsidRPr="002A516C" w:rsidRDefault="002A516C" w:rsidP="002A516C">
            <w:pPr>
              <w:numPr>
                <w:ilvl w:val="0"/>
                <w:numId w:val="36"/>
              </w:numPr>
              <w:spacing w:before="120" w:after="120" w:line="271" w:lineRule="auto"/>
              <w:contextualSpacing/>
              <w:jc w:val="both"/>
              <w:rPr>
                <w:rFonts w:ascii="Arial" w:hAnsi="Arial" w:cs="Arial"/>
                <w:sz w:val="22"/>
                <w:szCs w:val="22"/>
              </w:rPr>
            </w:pPr>
            <w:r w:rsidRPr="002A516C">
              <w:rPr>
                <w:rFonts w:ascii="Arial" w:hAnsi="Arial" w:cs="Arial"/>
                <w:sz w:val="22"/>
                <w:szCs w:val="22"/>
              </w:rPr>
              <w:t>Nerelevantní</w:t>
            </w:r>
          </w:p>
        </w:tc>
        <w:tc>
          <w:tcPr>
            <w:tcW w:w="4691" w:type="dxa"/>
          </w:tcPr>
          <w:p w14:paraId="36DCEE66" w14:textId="77777777" w:rsidR="002A516C" w:rsidRPr="002A516C" w:rsidRDefault="002A516C" w:rsidP="002A516C">
            <w:pPr>
              <w:spacing w:before="120" w:after="120" w:line="271" w:lineRule="auto"/>
              <w:jc w:val="both"/>
              <w:rPr>
                <w:rFonts w:ascii="Arial" w:hAnsi="Arial" w:cs="Arial"/>
                <w:b/>
                <w:bCs/>
                <w:sz w:val="22"/>
                <w:szCs w:val="22"/>
              </w:rPr>
            </w:pPr>
            <w:r w:rsidRPr="002A516C">
              <w:rPr>
                <w:rFonts w:ascii="Arial" w:hAnsi="Arial" w:cs="Arial"/>
                <w:b/>
                <w:bCs/>
                <w:sz w:val="22"/>
                <w:szCs w:val="22"/>
              </w:rPr>
              <w:t>V 1. Zprávě o udržitelnosti projektu:</w:t>
            </w:r>
            <w:r w:rsidRPr="002A516C">
              <w:rPr>
                <w:rFonts w:ascii="Arial" w:hAnsi="Arial" w:cs="Arial"/>
                <w:b/>
                <w:bCs/>
                <w:sz w:val="28"/>
                <w:szCs w:val="28"/>
              </w:rPr>
              <w:t xml:space="preserve"> </w:t>
            </w:r>
          </w:p>
          <w:p w14:paraId="606174BA" w14:textId="6DA84E1A" w:rsidR="002A516C" w:rsidRPr="002A516C" w:rsidRDefault="002A516C" w:rsidP="007162D7">
            <w:pPr>
              <w:numPr>
                <w:ilvl w:val="0"/>
                <w:numId w:val="36"/>
              </w:numPr>
              <w:spacing w:before="120" w:after="120" w:line="271" w:lineRule="auto"/>
              <w:contextualSpacing/>
              <w:rPr>
                <w:rFonts w:ascii="Arial" w:hAnsi="Arial" w:cs="Arial"/>
                <w:b/>
                <w:bCs/>
                <w:sz w:val="22"/>
                <w:szCs w:val="22"/>
              </w:rPr>
            </w:pPr>
            <w:r w:rsidRPr="00273D3E">
              <w:rPr>
                <w:rFonts w:ascii="Arial" w:hAnsi="Arial" w:cs="Arial"/>
                <w:sz w:val="22"/>
                <w:szCs w:val="22"/>
              </w:rPr>
              <w:t xml:space="preserve">Evidence počtu </w:t>
            </w:r>
            <w:r w:rsidR="007162D7" w:rsidRPr="00273D3E">
              <w:rPr>
                <w:rFonts w:ascii="Arial" w:hAnsi="Arial" w:cs="Arial"/>
                <w:sz w:val="22"/>
                <w:szCs w:val="22"/>
              </w:rPr>
              <w:t>úkonů (např. výpis z laboratorního deníku)</w:t>
            </w:r>
          </w:p>
        </w:tc>
      </w:tr>
    </w:tbl>
    <w:p w14:paraId="323D7785" w14:textId="77777777" w:rsidR="002A516C" w:rsidRPr="002A516C" w:rsidRDefault="002A516C" w:rsidP="002A516C">
      <w:pPr>
        <w:spacing w:before="120" w:after="200" w:line="276" w:lineRule="auto"/>
        <w:jc w:val="both"/>
        <w:rPr>
          <w:rFonts w:ascii="Arial" w:hAnsi="Arial" w:cs="Arial"/>
          <w:sz w:val="22"/>
          <w:szCs w:val="22"/>
        </w:rPr>
      </w:pPr>
      <w:r w:rsidRPr="002A516C">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7B1F02DA" w14:textId="77777777" w:rsidR="002A516C" w:rsidRPr="002A516C" w:rsidRDefault="002A516C" w:rsidP="002A516C">
      <w:pPr>
        <w:keepNext/>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 xml:space="preserve">TOLERANCE DOSAŽENÍ a udržení indikátoru </w:t>
      </w:r>
    </w:p>
    <w:p w14:paraId="6FBD67B8"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sz w:val="22"/>
          <w:szCs w:val="22"/>
        </w:rPr>
        <w:t xml:space="preserve">Toleranční pásmo </w:t>
      </w:r>
      <w:r w:rsidRPr="002A516C">
        <w:rPr>
          <w:rFonts w:ascii="Arial" w:hAnsi="Arial" w:cs="Arial"/>
          <w:color w:val="000000" w:themeColor="text1"/>
          <w:sz w:val="22"/>
          <w:szCs w:val="22"/>
        </w:rPr>
        <w:t>činí minus 30 % cílové hodnoty indikátoru. Toto pásmo je pevně navázáno na cílovou hodnotu naplňovanou k Rozhodnému datu, ale platí tedy i pro období udržitelnosti po Rozhodném datu</w:t>
      </w:r>
      <w:r w:rsidRPr="002A516C">
        <w:rPr>
          <w:rFonts w:ascii="Arial" w:hAnsi="Arial" w:cs="Arial"/>
          <w:color w:val="000000" w:themeColor="text1"/>
          <w:sz w:val="22"/>
          <w:szCs w:val="22"/>
          <w:vertAlign w:val="superscript"/>
        </w:rPr>
        <w:footnoteReference w:id="4"/>
      </w:r>
      <w:r w:rsidRPr="002A516C">
        <w:rPr>
          <w:rFonts w:ascii="Arial" w:hAnsi="Arial" w:cs="Arial"/>
          <w:color w:val="000000" w:themeColor="text1"/>
          <w:sz w:val="22"/>
          <w:szCs w:val="22"/>
        </w:rPr>
        <w:t>. Překročení stanovené cílové hodnoty není sankcionováno.</w:t>
      </w:r>
    </w:p>
    <w:p w14:paraId="5040E7DE"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50C0A62"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9F75088" w14:textId="77777777" w:rsidR="002A516C" w:rsidRPr="002A516C" w:rsidRDefault="002A516C" w:rsidP="002A516C">
      <w:pPr>
        <w:spacing w:after="200" w:line="276" w:lineRule="auto"/>
        <w:rPr>
          <w:rFonts w:ascii="Arial" w:hAnsi="Arial" w:cs="Arial"/>
          <w:color w:val="000000" w:themeColor="text1"/>
          <w:sz w:val="22"/>
          <w:szCs w:val="22"/>
        </w:rPr>
      </w:pPr>
      <w:r w:rsidRPr="002A516C">
        <w:rPr>
          <w:rFonts w:ascii="Arial" w:hAnsi="Arial" w:cs="Arial"/>
          <w:color w:val="000000" w:themeColor="text1"/>
          <w:sz w:val="22"/>
          <w:szCs w:val="22"/>
        </w:rPr>
        <w:t xml:space="preserve">V době udržitelnosti již </w:t>
      </w:r>
      <w:r w:rsidRPr="002A516C">
        <w:rPr>
          <w:rFonts w:ascii="Arial" w:hAnsi="Arial" w:cs="Arial"/>
          <w:b/>
          <w:bCs/>
          <w:color w:val="000000" w:themeColor="text1"/>
          <w:sz w:val="22"/>
          <w:szCs w:val="22"/>
          <w:u w:val="single"/>
        </w:rPr>
        <w:t>nelze cílovou hodnotu upravit</w:t>
      </w:r>
      <w:r w:rsidRPr="002A516C">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90AD606" w14:textId="77777777" w:rsidR="002A516C" w:rsidRDefault="002A516C" w:rsidP="000A2FD1">
      <w:pPr>
        <w:spacing w:after="200" w:line="276" w:lineRule="auto"/>
        <w:rPr>
          <w:rStyle w:val="Zdraznnintenzivn"/>
          <w:rFonts w:ascii="Arial" w:eastAsiaTheme="minorHAnsi" w:hAnsi="Arial" w:cs="Arial"/>
          <w:caps/>
          <w:color w:val="31849B" w:themeColor="accent5" w:themeShade="BF"/>
          <w:highlight w:val="yellow"/>
          <w:lang w:eastAsia="en-US"/>
        </w:rPr>
      </w:pP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5"/>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4B365022" w:rsidR="00A95A10" w:rsidRPr="00EA4FB9" w:rsidRDefault="006A720C" w:rsidP="00111F89">
            <w:pPr>
              <w:jc w:val="center"/>
              <w:rPr>
                <w:rFonts w:ascii="Arial" w:hAnsi="Arial" w:cs="Arial"/>
                <w:b/>
                <w:bCs/>
                <w:color w:val="000000"/>
                <w:sz w:val="22"/>
                <w:szCs w:val="22"/>
              </w:rPr>
            </w:pPr>
            <w:r>
              <w:rPr>
                <w:rFonts w:ascii="Arial" w:hAnsi="Arial" w:cs="Arial"/>
                <w:b/>
                <w:bCs/>
                <w:color w:val="000000"/>
                <w:sz w:val="22"/>
                <w:szCs w:val="22"/>
              </w:rPr>
              <w:t>Podpora ochrany veřejného zdraví</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3ACED2A9" w14:textId="19CFCEEE" w:rsidR="00273D3E" w:rsidRPr="00273D3E" w:rsidRDefault="00EE36B8" w:rsidP="00273D3E">
            <w:pPr>
              <w:jc w:val="center"/>
              <w:rPr>
                <w:rFonts w:ascii="Arial" w:hAnsi="Arial" w:cs="Arial"/>
                <w:color w:val="000000"/>
                <w:sz w:val="20"/>
                <w:szCs w:val="20"/>
                <w:lang w:eastAsia="en-US"/>
              </w:rPr>
            </w:pPr>
            <w:r>
              <w:rPr>
                <w:rFonts w:ascii="Arial" w:hAnsi="Arial" w:cs="Arial"/>
                <w:color w:val="000000"/>
                <w:sz w:val="20"/>
                <w:szCs w:val="20"/>
                <w:lang w:eastAsia="en-US"/>
              </w:rPr>
              <w:t>562 011</w:t>
            </w:r>
            <w:r w:rsidRPr="00273D3E">
              <w:rPr>
                <w:rFonts w:ascii="Arial" w:hAnsi="Arial" w:cs="Arial"/>
                <w:color w:val="000000"/>
                <w:sz w:val="20"/>
                <w:szCs w:val="20"/>
                <w:lang w:eastAsia="en-US"/>
              </w:rPr>
              <w:t xml:space="preserve"> </w:t>
            </w:r>
            <w:r w:rsidR="00273D3E" w:rsidRPr="00273D3E">
              <w:rPr>
                <w:rFonts w:ascii="Arial" w:hAnsi="Arial" w:cs="Arial"/>
                <w:color w:val="000000"/>
                <w:sz w:val="20"/>
                <w:szCs w:val="20"/>
                <w:lang w:eastAsia="en-US"/>
              </w:rPr>
              <w:t xml:space="preserve">- Kapacita </w:t>
            </w:r>
            <w:r>
              <w:rPr>
                <w:rFonts w:ascii="Arial" w:hAnsi="Arial" w:cs="Arial"/>
                <w:color w:val="000000"/>
                <w:sz w:val="20"/>
                <w:szCs w:val="20"/>
                <w:lang w:eastAsia="en-US"/>
              </w:rPr>
              <w:t>mod</w:t>
            </w:r>
            <w:r w:rsidR="008D1F1A">
              <w:rPr>
                <w:rFonts w:ascii="Arial" w:hAnsi="Arial" w:cs="Arial"/>
                <w:color w:val="000000"/>
                <w:sz w:val="20"/>
                <w:szCs w:val="20"/>
                <w:lang w:eastAsia="en-US"/>
              </w:rPr>
              <w:t>e</w:t>
            </w:r>
            <w:r>
              <w:rPr>
                <w:rFonts w:ascii="Arial" w:hAnsi="Arial" w:cs="Arial"/>
                <w:color w:val="000000"/>
                <w:sz w:val="20"/>
                <w:szCs w:val="20"/>
                <w:lang w:eastAsia="en-US"/>
              </w:rPr>
              <w:t>rnizovaných</w:t>
            </w:r>
            <w:r w:rsidRPr="00273D3E">
              <w:rPr>
                <w:rFonts w:ascii="Arial" w:hAnsi="Arial" w:cs="Arial"/>
                <w:color w:val="000000"/>
                <w:sz w:val="20"/>
                <w:szCs w:val="20"/>
                <w:lang w:eastAsia="en-US"/>
              </w:rPr>
              <w:t xml:space="preserve"> </w:t>
            </w:r>
          </w:p>
          <w:p w14:paraId="141EE74C" w14:textId="24B98B27" w:rsidR="00A95A10" w:rsidRPr="00581AFF" w:rsidRDefault="00273D3E" w:rsidP="00273D3E">
            <w:pPr>
              <w:jc w:val="center"/>
              <w:rPr>
                <w:rFonts w:ascii="Arial" w:hAnsi="Arial" w:cs="Arial"/>
                <w:b/>
                <w:i/>
                <w:color w:val="000000"/>
                <w:sz w:val="20"/>
                <w:szCs w:val="20"/>
              </w:rPr>
            </w:pPr>
            <w:r w:rsidRPr="00273D3E">
              <w:rPr>
                <w:rFonts w:ascii="Arial" w:hAnsi="Arial" w:cs="Arial"/>
                <w:color w:val="000000"/>
                <w:sz w:val="20"/>
                <w:szCs w:val="20"/>
                <w:lang w:eastAsia="en-US"/>
              </w:rPr>
              <w:t xml:space="preserve">orgánů ochrany veřejného zdraví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20186CB5" w14:textId="0C5EDDE3" w:rsidR="00273D3E" w:rsidRPr="00273D3E" w:rsidRDefault="00EE36B8" w:rsidP="00273D3E">
            <w:pPr>
              <w:jc w:val="center"/>
              <w:rPr>
                <w:rFonts w:ascii="Arial" w:hAnsi="Arial" w:cs="Arial"/>
                <w:color w:val="000000"/>
                <w:sz w:val="20"/>
                <w:szCs w:val="20"/>
                <w:lang w:eastAsia="en-US"/>
              </w:rPr>
            </w:pPr>
            <w:r>
              <w:rPr>
                <w:rFonts w:ascii="Arial" w:hAnsi="Arial" w:cs="Arial"/>
                <w:color w:val="000000"/>
                <w:sz w:val="20"/>
                <w:szCs w:val="20"/>
                <w:lang w:eastAsia="en-US"/>
              </w:rPr>
              <w:t>562 101</w:t>
            </w:r>
            <w:r w:rsidRPr="00273D3E">
              <w:rPr>
                <w:rFonts w:ascii="Arial" w:hAnsi="Arial" w:cs="Arial"/>
                <w:color w:val="000000"/>
                <w:sz w:val="20"/>
                <w:szCs w:val="20"/>
                <w:lang w:eastAsia="en-US"/>
              </w:rPr>
              <w:t xml:space="preserve"> </w:t>
            </w:r>
            <w:r w:rsidR="00273D3E" w:rsidRPr="00273D3E">
              <w:rPr>
                <w:rFonts w:ascii="Arial" w:hAnsi="Arial" w:cs="Arial"/>
                <w:color w:val="000000"/>
                <w:sz w:val="20"/>
                <w:szCs w:val="20"/>
                <w:lang w:eastAsia="en-US"/>
              </w:rPr>
              <w:t xml:space="preserve">- Počet úkonů provedených </w:t>
            </w:r>
            <w:r>
              <w:rPr>
                <w:rFonts w:ascii="Arial" w:hAnsi="Arial" w:cs="Arial"/>
                <w:color w:val="000000"/>
                <w:sz w:val="20"/>
                <w:szCs w:val="20"/>
                <w:lang w:eastAsia="en-US"/>
              </w:rPr>
              <w:t>modernizovanými</w:t>
            </w:r>
          </w:p>
          <w:p w14:paraId="1588AEAD" w14:textId="556656F3" w:rsidR="000A2FD1" w:rsidRPr="00D712D3" w:rsidRDefault="00273D3E" w:rsidP="00273D3E">
            <w:pPr>
              <w:jc w:val="center"/>
              <w:rPr>
                <w:rFonts w:ascii="Arial" w:eastAsia="Calibri" w:hAnsi="Arial" w:cs="Arial"/>
                <w:color w:val="000000" w:themeColor="text1"/>
                <w:sz w:val="20"/>
                <w:szCs w:val="20"/>
                <w:lang w:eastAsia="en-US"/>
              </w:rPr>
            </w:pPr>
            <w:r w:rsidRPr="00273D3E">
              <w:rPr>
                <w:rFonts w:ascii="Arial" w:hAnsi="Arial" w:cs="Arial"/>
                <w:color w:val="000000"/>
                <w:sz w:val="20"/>
                <w:szCs w:val="20"/>
                <w:lang w:eastAsia="en-US"/>
              </w:rPr>
              <w:t xml:space="preserve"> orgány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35C6E701" w14:textId="77777777" w:rsidR="00FA73A7" w:rsidRPr="0093113E" w:rsidRDefault="00FA73A7" w:rsidP="00FA73A7">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3FD93FB5" w14:textId="096B9E72" w:rsidR="002A516C" w:rsidRPr="00D712D3" w:rsidRDefault="002A516C" w:rsidP="002A516C">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w:t>
      </w:r>
      <w:r w:rsidR="00081D41">
        <w:rPr>
          <w:rFonts w:ascii="Arial" w:hAnsi="Arial" w:cs="Arial"/>
          <w:sz w:val="18"/>
          <w:szCs w:val="18"/>
        </w:rPr>
        <w:t>úkon</w:t>
      </w:r>
      <w:r w:rsidRPr="001862DA">
        <w:rPr>
          <w:rFonts w:ascii="Arial" w:hAnsi="Arial" w:cs="Arial"/>
          <w:sz w:val="18"/>
          <w:szCs w:val="18"/>
        </w:rPr>
        <w:t>/rok), je jejich plnění hodnoceno poměrně k výši a délce neplnění v daném časovém</w:t>
      </w:r>
      <w:r w:rsidRPr="00D712D3">
        <w:rPr>
          <w:rFonts w:ascii="Arial" w:hAnsi="Arial" w:cs="Arial"/>
          <w:sz w:val="18"/>
          <w:szCs w:val="18"/>
        </w:rPr>
        <w:t xml:space="preserve"> období. </w:t>
      </w:r>
    </w:p>
  </w:footnote>
  <w:footnote w:id="4">
    <w:p w14:paraId="0C6DD57A" w14:textId="77777777" w:rsidR="002A516C" w:rsidRDefault="002A516C" w:rsidP="002A516C">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5">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3"/>
  </w:num>
  <w:num w:numId="2" w16cid:durableId="1848790211">
    <w:abstractNumId w:val="14"/>
  </w:num>
  <w:num w:numId="3" w16cid:durableId="1556963553">
    <w:abstractNumId w:val="18"/>
  </w:num>
  <w:num w:numId="4" w16cid:durableId="1924103529">
    <w:abstractNumId w:val="34"/>
  </w:num>
  <w:num w:numId="5" w16cid:durableId="992640374">
    <w:abstractNumId w:val="7"/>
  </w:num>
  <w:num w:numId="6" w16cid:durableId="324096332">
    <w:abstractNumId w:val="29"/>
  </w:num>
  <w:num w:numId="7" w16cid:durableId="1739672418">
    <w:abstractNumId w:val="9"/>
  </w:num>
  <w:num w:numId="8" w16cid:durableId="1011294440">
    <w:abstractNumId w:val="10"/>
  </w:num>
  <w:num w:numId="9" w16cid:durableId="303513931">
    <w:abstractNumId w:val="21"/>
  </w:num>
  <w:num w:numId="10" w16cid:durableId="1510753151">
    <w:abstractNumId w:val="5"/>
  </w:num>
  <w:num w:numId="11" w16cid:durableId="983319742">
    <w:abstractNumId w:val="35"/>
  </w:num>
  <w:num w:numId="12" w16cid:durableId="317808674">
    <w:abstractNumId w:val="26"/>
  </w:num>
  <w:num w:numId="13" w16cid:durableId="1102992685">
    <w:abstractNumId w:val="9"/>
    <w:lvlOverride w:ilvl="0">
      <w:startOverride w:val="1"/>
    </w:lvlOverride>
  </w:num>
  <w:num w:numId="14" w16cid:durableId="1857965696">
    <w:abstractNumId w:val="30"/>
  </w:num>
  <w:num w:numId="15" w16cid:durableId="2028286190">
    <w:abstractNumId w:val="2"/>
  </w:num>
  <w:num w:numId="16" w16cid:durableId="298416994">
    <w:abstractNumId w:val="16"/>
  </w:num>
  <w:num w:numId="17" w16cid:durableId="1366641803">
    <w:abstractNumId w:val="15"/>
  </w:num>
  <w:num w:numId="18" w16cid:durableId="12851438">
    <w:abstractNumId w:val="36"/>
  </w:num>
  <w:num w:numId="19" w16cid:durableId="1728188792">
    <w:abstractNumId w:val="8"/>
  </w:num>
  <w:num w:numId="20" w16cid:durableId="453521384">
    <w:abstractNumId w:val="33"/>
  </w:num>
  <w:num w:numId="21" w16cid:durableId="552153103">
    <w:abstractNumId w:val="32"/>
  </w:num>
  <w:num w:numId="22" w16cid:durableId="271280877">
    <w:abstractNumId w:val="6"/>
  </w:num>
  <w:num w:numId="23" w16cid:durableId="661082267">
    <w:abstractNumId w:val="25"/>
  </w:num>
  <w:num w:numId="24" w16cid:durableId="215241004">
    <w:abstractNumId w:val="28"/>
  </w:num>
  <w:num w:numId="25" w16cid:durableId="1152600781">
    <w:abstractNumId w:val="0"/>
  </w:num>
  <w:num w:numId="26" w16cid:durableId="565838907">
    <w:abstractNumId w:val="17"/>
  </w:num>
  <w:num w:numId="27" w16cid:durableId="429475073">
    <w:abstractNumId w:val="27"/>
  </w:num>
  <w:num w:numId="28" w16cid:durableId="915046252">
    <w:abstractNumId w:val="31"/>
  </w:num>
  <w:num w:numId="29" w16cid:durableId="1155026777">
    <w:abstractNumId w:val="11"/>
  </w:num>
  <w:num w:numId="30" w16cid:durableId="1047147062">
    <w:abstractNumId w:val="20"/>
  </w:num>
  <w:num w:numId="31" w16cid:durableId="1379234253">
    <w:abstractNumId w:val="23"/>
  </w:num>
  <w:num w:numId="32" w16cid:durableId="2114398532">
    <w:abstractNumId w:val="1"/>
  </w:num>
  <w:num w:numId="33" w16cid:durableId="68814201">
    <w:abstractNumId w:val="37"/>
  </w:num>
  <w:num w:numId="34" w16cid:durableId="1800878070">
    <w:abstractNumId w:val="24"/>
  </w:num>
  <w:num w:numId="35" w16cid:durableId="1948849525">
    <w:abstractNumId w:val="4"/>
  </w:num>
  <w:num w:numId="36" w16cid:durableId="1126852775">
    <w:abstractNumId w:val="19"/>
  </w:num>
  <w:num w:numId="37" w16cid:durableId="1584336384">
    <w:abstractNumId w:val="22"/>
  </w:num>
  <w:num w:numId="38" w16cid:durableId="938485110">
    <w:abstractNumId w:val="3"/>
  </w:num>
  <w:num w:numId="39" w16cid:durableId="12857712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1D41"/>
    <w:rsid w:val="00082647"/>
    <w:rsid w:val="00093BFD"/>
    <w:rsid w:val="000A2FD1"/>
    <w:rsid w:val="000A5632"/>
    <w:rsid w:val="000B4C99"/>
    <w:rsid w:val="000C6615"/>
    <w:rsid w:val="000C6DE6"/>
    <w:rsid w:val="000F5EA5"/>
    <w:rsid w:val="000F75B7"/>
    <w:rsid w:val="000F76BC"/>
    <w:rsid w:val="001014BE"/>
    <w:rsid w:val="00107F75"/>
    <w:rsid w:val="00111F89"/>
    <w:rsid w:val="00113515"/>
    <w:rsid w:val="001140D8"/>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772E8"/>
    <w:rsid w:val="00181394"/>
    <w:rsid w:val="00182442"/>
    <w:rsid w:val="00184DE7"/>
    <w:rsid w:val="001862DA"/>
    <w:rsid w:val="00191045"/>
    <w:rsid w:val="001947CD"/>
    <w:rsid w:val="001B7798"/>
    <w:rsid w:val="001C14B7"/>
    <w:rsid w:val="001C1713"/>
    <w:rsid w:val="001C1FAD"/>
    <w:rsid w:val="001C37DF"/>
    <w:rsid w:val="001C7076"/>
    <w:rsid w:val="001D5B33"/>
    <w:rsid w:val="001E0FF2"/>
    <w:rsid w:val="001E18AA"/>
    <w:rsid w:val="001E4F34"/>
    <w:rsid w:val="001E60CB"/>
    <w:rsid w:val="00202E72"/>
    <w:rsid w:val="002041BE"/>
    <w:rsid w:val="00204362"/>
    <w:rsid w:val="00204D9A"/>
    <w:rsid w:val="00204E05"/>
    <w:rsid w:val="00213558"/>
    <w:rsid w:val="0021750B"/>
    <w:rsid w:val="00221B02"/>
    <w:rsid w:val="002258E2"/>
    <w:rsid w:val="002265AB"/>
    <w:rsid w:val="00227ADA"/>
    <w:rsid w:val="00230395"/>
    <w:rsid w:val="00231569"/>
    <w:rsid w:val="00231F50"/>
    <w:rsid w:val="002374BC"/>
    <w:rsid w:val="0024211E"/>
    <w:rsid w:val="0025243F"/>
    <w:rsid w:val="00255525"/>
    <w:rsid w:val="00264907"/>
    <w:rsid w:val="00273D3E"/>
    <w:rsid w:val="002748BB"/>
    <w:rsid w:val="00274C37"/>
    <w:rsid w:val="0028633C"/>
    <w:rsid w:val="00286C01"/>
    <w:rsid w:val="00291703"/>
    <w:rsid w:val="00291A5A"/>
    <w:rsid w:val="002978F6"/>
    <w:rsid w:val="00297F42"/>
    <w:rsid w:val="002A516C"/>
    <w:rsid w:val="002A6E80"/>
    <w:rsid w:val="002B1672"/>
    <w:rsid w:val="002B2B54"/>
    <w:rsid w:val="002B3C33"/>
    <w:rsid w:val="002B5396"/>
    <w:rsid w:val="002B5F89"/>
    <w:rsid w:val="002B6138"/>
    <w:rsid w:val="002C04B8"/>
    <w:rsid w:val="002C08F1"/>
    <w:rsid w:val="002C177C"/>
    <w:rsid w:val="002C384D"/>
    <w:rsid w:val="002C49BA"/>
    <w:rsid w:val="002D297D"/>
    <w:rsid w:val="002D69E2"/>
    <w:rsid w:val="002D6FCF"/>
    <w:rsid w:val="002E18B4"/>
    <w:rsid w:val="002F6038"/>
    <w:rsid w:val="003042D9"/>
    <w:rsid w:val="00304473"/>
    <w:rsid w:val="003068DD"/>
    <w:rsid w:val="0031383F"/>
    <w:rsid w:val="00320082"/>
    <w:rsid w:val="003229C3"/>
    <w:rsid w:val="00324CD8"/>
    <w:rsid w:val="0032530D"/>
    <w:rsid w:val="0032749D"/>
    <w:rsid w:val="00331484"/>
    <w:rsid w:val="003317AB"/>
    <w:rsid w:val="0033217D"/>
    <w:rsid w:val="003330FB"/>
    <w:rsid w:val="0033728D"/>
    <w:rsid w:val="0034252A"/>
    <w:rsid w:val="00346985"/>
    <w:rsid w:val="00346D17"/>
    <w:rsid w:val="00346FE1"/>
    <w:rsid w:val="00360B20"/>
    <w:rsid w:val="003667B4"/>
    <w:rsid w:val="00371437"/>
    <w:rsid w:val="003735C0"/>
    <w:rsid w:val="00373858"/>
    <w:rsid w:val="00374679"/>
    <w:rsid w:val="00376CF8"/>
    <w:rsid w:val="00377101"/>
    <w:rsid w:val="003802DE"/>
    <w:rsid w:val="003820D9"/>
    <w:rsid w:val="00385AC1"/>
    <w:rsid w:val="00393DAC"/>
    <w:rsid w:val="0039791E"/>
    <w:rsid w:val="003A2AC9"/>
    <w:rsid w:val="003A374B"/>
    <w:rsid w:val="003A442E"/>
    <w:rsid w:val="003A775F"/>
    <w:rsid w:val="003A7A28"/>
    <w:rsid w:val="003C089B"/>
    <w:rsid w:val="003C17FC"/>
    <w:rsid w:val="003C28D6"/>
    <w:rsid w:val="003C5CC8"/>
    <w:rsid w:val="003D0206"/>
    <w:rsid w:val="003D249D"/>
    <w:rsid w:val="003E3EA1"/>
    <w:rsid w:val="003E6C23"/>
    <w:rsid w:val="003F5585"/>
    <w:rsid w:val="00404400"/>
    <w:rsid w:val="004044BA"/>
    <w:rsid w:val="0040551A"/>
    <w:rsid w:val="00413071"/>
    <w:rsid w:val="00413F13"/>
    <w:rsid w:val="004207DC"/>
    <w:rsid w:val="004210AF"/>
    <w:rsid w:val="00424C7B"/>
    <w:rsid w:val="00441B57"/>
    <w:rsid w:val="00442137"/>
    <w:rsid w:val="00445051"/>
    <w:rsid w:val="004451D1"/>
    <w:rsid w:val="00447D09"/>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0AD1"/>
    <w:rsid w:val="004963A9"/>
    <w:rsid w:val="00496FD2"/>
    <w:rsid w:val="004A09F8"/>
    <w:rsid w:val="004A1556"/>
    <w:rsid w:val="004A323F"/>
    <w:rsid w:val="004A4B69"/>
    <w:rsid w:val="004B1AC3"/>
    <w:rsid w:val="004B3ECB"/>
    <w:rsid w:val="004B4F6A"/>
    <w:rsid w:val="004B5464"/>
    <w:rsid w:val="004C1F8F"/>
    <w:rsid w:val="004C4E9A"/>
    <w:rsid w:val="004D3056"/>
    <w:rsid w:val="004D3099"/>
    <w:rsid w:val="004D3AE7"/>
    <w:rsid w:val="004D6DF9"/>
    <w:rsid w:val="004E19A6"/>
    <w:rsid w:val="004E1B06"/>
    <w:rsid w:val="004E2951"/>
    <w:rsid w:val="004F104D"/>
    <w:rsid w:val="004F1260"/>
    <w:rsid w:val="005000A7"/>
    <w:rsid w:val="00501F82"/>
    <w:rsid w:val="00504B55"/>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4A6E"/>
    <w:rsid w:val="00596086"/>
    <w:rsid w:val="005A2BE8"/>
    <w:rsid w:val="005A3A23"/>
    <w:rsid w:val="005A4D94"/>
    <w:rsid w:val="005B2471"/>
    <w:rsid w:val="005C040E"/>
    <w:rsid w:val="005C26C4"/>
    <w:rsid w:val="005C3D0D"/>
    <w:rsid w:val="005C3E75"/>
    <w:rsid w:val="005C3FF4"/>
    <w:rsid w:val="005C533A"/>
    <w:rsid w:val="005D65B2"/>
    <w:rsid w:val="005E5868"/>
    <w:rsid w:val="005E698F"/>
    <w:rsid w:val="005E7F63"/>
    <w:rsid w:val="005F42FA"/>
    <w:rsid w:val="0060205B"/>
    <w:rsid w:val="00604375"/>
    <w:rsid w:val="006045C4"/>
    <w:rsid w:val="00606CB4"/>
    <w:rsid w:val="006221F8"/>
    <w:rsid w:val="00622A75"/>
    <w:rsid w:val="00626409"/>
    <w:rsid w:val="00632B48"/>
    <w:rsid w:val="00634188"/>
    <w:rsid w:val="00634381"/>
    <w:rsid w:val="00641131"/>
    <w:rsid w:val="0064281D"/>
    <w:rsid w:val="00642FCC"/>
    <w:rsid w:val="00645F61"/>
    <w:rsid w:val="0064640D"/>
    <w:rsid w:val="006477F0"/>
    <w:rsid w:val="006532D6"/>
    <w:rsid w:val="006571ED"/>
    <w:rsid w:val="006626CA"/>
    <w:rsid w:val="00663903"/>
    <w:rsid w:val="00670B43"/>
    <w:rsid w:val="006762E0"/>
    <w:rsid w:val="0067736D"/>
    <w:rsid w:val="006803CD"/>
    <w:rsid w:val="00683D51"/>
    <w:rsid w:val="0069025B"/>
    <w:rsid w:val="00690293"/>
    <w:rsid w:val="0069066C"/>
    <w:rsid w:val="0069719B"/>
    <w:rsid w:val="006A2ECB"/>
    <w:rsid w:val="006A4A02"/>
    <w:rsid w:val="006A720C"/>
    <w:rsid w:val="006B3CD9"/>
    <w:rsid w:val="006D69C4"/>
    <w:rsid w:val="006E5C82"/>
    <w:rsid w:val="006E72F1"/>
    <w:rsid w:val="006F6BC2"/>
    <w:rsid w:val="00702E52"/>
    <w:rsid w:val="00703A0E"/>
    <w:rsid w:val="00705451"/>
    <w:rsid w:val="00707EB6"/>
    <w:rsid w:val="00714EBA"/>
    <w:rsid w:val="007162D7"/>
    <w:rsid w:val="00722201"/>
    <w:rsid w:val="00723481"/>
    <w:rsid w:val="00724B5B"/>
    <w:rsid w:val="0073208B"/>
    <w:rsid w:val="00733BEF"/>
    <w:rsid w:val="0074098A"/>
    <w:rsid w:val="0075277C"/>
    <w:rsid w:val="00757478"/>
    <w:rsid w:val="00760009"/>
    <w:rsid w:val="0076431E"/>
    <w:rsid w:val="00776F70"/>
    <w:rsid w:val="0077797D"/>
    <w:rsid w:val="00782A37"/>
    <w:rsid w:val="007852CE"/>
    <w:rsid w:val="0078659D"/>
    <w:rsid w:val="007944C7"/>
    <w:rsid w:val="007A03C1"/>
    <w:rsid w:val="007A2776"/>
    <w:rsid w:val="007A3276"/>
    <w:rsid w:val="007A77B8"/>
    <w:rsid w:val="007A7B31"/>
    <w:rsid w:val="007A7F44"/>
    <w:rsid w:val="007C0AB0"/>
    <w:rsid w:val="007C0ABF"/>
    <w:rsid w:val="007C2544"/>
    <w:rsid w:val="007D5110"/>
    <w:rsid w:val="007D6374"/>
    <w:rsid w:val="007E0B08"/>
    <w:rsid w:val="007E1D4B"/>
    <w:rsid w:val="007E55BB"/>
    <w:rsid w:val="007E7AA6"/>
    <w:rsid w:val="007F0494"/>
    <w:rsid w:val="007F4BB9"/>
    <w:rsid w:val="0080289A"/>
    <w:rsid w:val="0080523B"/>
    <w:rsid w:val="008071B5"/>
    <w:rsid w:val="00815064"/>
    <w:rsid w:val="0081583C"/>
    <w:rsid w:val="00820E4A"/>
    <w:rsid w:val="00822000"/>
    <w:rsid w:val="00824E66"/>
    <w:rsid w:val="0082579E"/>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0700"/>
    <w:rsid w:val="008A2193"/>
    <w:rsid w:val="008A5F96"/>
    <w:rsid w:val="008A6A9C"/>
    <w:rsid w:val="008B10C8"/>
    <w:rsid w:val="008B278F"/>
    <w:rsid w:val="008C28F3"/>
    <w:rsid w:val="008C7931"/>
    <w:rsid w:val="008C7F76"/>
    <w:rsid w:val="008D1F1A"/>
    <w:rsid w:val="008D3410"/>
    <w:rsid w:val="008D3E30"/>
    <w:rsid w:val="008D4147"/>
    <w:rsid w:val="008E0493"/>
    <w:rsid w:val="008E260A"/>
    <w:rsid w:val="008E4F0B"/>
    <w:rsid w:val="008E5E82"/>
    <w:rsid w:val="008F041B"/>
    <w:rsid w:val="008F2960"/>
    <w:rsid w:val="00900F86"/>
    <w:rsid w:val="0090555E"/>
    <w:rsid w:val="00922E5E"/>
    <w:rsid w:val="0093113E"/>
    <w:rsid w:val="00932786"/>
    <w:rsid w:val="00932BDA"/>
    <w:rsid w:val="009343D5"/>
    <w:rsid w:val="00934A6E"/>
    <w:rsid w:val="00937D06"/>
    <w:rsid w:val="00941BE4"/>
    <w:rsid w:val="0094393A"/>
    <w:rsid w:val="0094544E"/>
    <w:rsid w:val="00946A35"/>
    <w:rsid w:val="00952FC0"/>
    <w:rsid w:val="0096105A"/>
    <w:rsid w:val="00963AAD"/>
    <w:rsid w:val="009640E8"/>
    <w:rsid w:val="0097586B"/>
    <w:rsid w:val="00981251"/>
    <w:rsid w:val="00991CCA"/>
    <w:rsid w:val="009931A3"/>
    <w:rsid w:val="009954D4"/>
    <w:rsid w:val="009A08B2"/>
    <w:rsid w:val="009A4CBD"/>
    <w:rsid w:val="009A761A"/>
    <w:rsid w:val="009B083D"/>
    <w:rsid w:val="009B3D56"/>
    <w:rsid w:val="009C51B5"/>
    <w:rsid w:val="009C66E4"/>
    <w:rsid w:val="009D5E0D"/>
    <w:rsid w:val="009D6486"/>
    <w:rsid w:val="009E0B15"/>
    <w:rsid w:val="009E41E7"/>
    <w:rsid w:val="009E4F57"/>
    <w:rsid w:val="009F2FB6"/>
    <w:rsid w:val="00A06D8D"/>
    <w:rsid w:val="00A16700"/>
    <w:rsid w:val="00A24831"/>
    <w:rsid w:val="00A2610E"/>
    <w:rsid w:val="00A3111B"/>
    <w:rsid w:val="00A34C35"/>
    <w:rsid w:val="00A44845"/>
    <w:rsid w:val="00A57400"/>
    <w:rsid w:val="00A63715"/>
    <w:rsid w:val="00A646A0"/>
    <w:rsid w:val="00A66A09"/>
    <w:rsid w:val="00A67C37"/>
    <w:rsid w:val="00A67D7B"/>
    <w:rsid w:val="00A709ED"/>
    <w:rsid w:val="00A723F1"/>
    <w:rsid w:val="00A77548"/>
    <w:rsid w:val="00A810F1"/>
    <w:rsid w:val="00A81312"/>
    <w:rsid w:val="00A83A55"/>
    <w:rsid w:val="00A869F4"/>
    <w:rsid w:val="00A87D82"/>
    <w:rsid w:val="00A87DA4"/>
    <w:rsid w:val="00A930DE"/>
    <w:rsid w:val="00A93401"/>
    <w:rsid w:val="00A95A10"/>
    <w:rsid w:val="00AA148C"/>
    <w:rsid w:val="00AA6E68"/>
    <w:rsid w:val="00AB0932"/>
    <w:rsid w:val="00AB1542"/>
    <w:rsid w:val="00AB623E"/>
    <w:rsid w:val="00AC0129"/>
    <w:rsid w:val="00AC1136"/>
    <w:rsid w:val="00AC4029"/>
    <w:rsid w:val="00AE6B72"/>
    <w:rsid w:val="00AF26C9"/>
    <w:rsid w:val="00AF3D0A"/>
    <w:rsid w:val="00AF3E9B"/>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B5E58"/>
    <w:rsid w:val="00BC268B"/>
    <w:rsid w:val="00BC3C7A"/>
    <w:rsid w:val="00BC4DDF"/>
    <w:rsid w:val="00BC51C7"/>
    <w:rsid w:val="00BD3346"/>
    <w:rsid w:val="00BE069F"/>
    <w:rsid w:val="00BE1E27"/>
    <w:rsid w:val="00BE4FEA"/>
    <w:rsid w:val="00BE5877"/>
    <w:rsid w:val="00BE79EB"/>
    <w:rsid w:val="00C0074F"/>
    <w:rsid w:val="00C01DC1"/>
    <w:rsid w:val="00C0286A"/>
    <w:rsid w:val="00C04EFC"/>
    <w:rsid w:val="00C053B0"/>
    <w:rsid w:val="00C06624"/>
    <w:rsid w:val="00C1083F"/>
    <w:rsid w:val="00C1206C"/>
    <w:rsid w:val="00C13074"/>
    <w:rsid w:val="00C146B2"/>
    <w:rsid w:val="00C15724"/>
    <w:rsid w:val="00C20FC9"/>
    <w:rsid w:val="00C22D1C"/>
    <w:rsid w:val="00C23F14"/>
    <w:rsid w:val="00C24C75"/>
    <w:rsid w:val="00C2700E"/>
    <w:rsid w:val="00C302E0"/>
    <w:rsid w:val="00C3292A"/>
    <w:rsid w:val="00C35F06"/>
    <w:rsid w:val="00C410A2"/>
    <w:rsid w:val="00C42EA3"/>
    <w:rsid w:val="00C43C05"/>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38C"/>
    <w:rsid w:val="00D00947"/>
    <w:rsid w:val="00D0253A"/>
    <w:rsid w:val="00D04B31"/>
    <w:rsid w:val="00D05001"/>
    <w:rsid w:val="00D060AA"/>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E6F1E"/>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60B8D"/>
    <w:rsid w:val="00E616B5"/>
    <w:rsid w:val="00E639BF"/>
    <w:rsid w:val="00E65C9F"/>
    <w:rsid w:val="00E66CCE"/>
    <w:rsid w:val="00E71619"/>
    <w:rsid w:val="00E76209"/>
    <w:rsid w:val="00E76AB2"/>
    <w:rsid w:val="00E77238"/>
    <w:rsid w:val="00E80D3E"/>
    <w:rsid w:val="00E85E89"/>
    <w:rsid w:val="00E86085"/>
    <w:rsid w:val="00E918E3"/>
    <w:rsid w:val="00E92956"/>
    <w:rsid w:val="00E954B4"/>
    <w:rsid w:val="00E9553F"/>
    <w:rsid w:val="00EA1243"/>
    <w:rsid w:val="00EA13EE"/>
    <w:rsid w:val="00EA3109"/>
    <w:rsid w:val="00EA31F1"/>
    <w:rsid w:val="00EA3B96"/>
    <w:rsid w:val="00EA6E5D"/>
    <w:rsid w:val="00EB036E"/>
    <w:rsid w:val="00EB0EA0"/>
    <w:rsid w:val="00EB4303"/>
    <w:rsid w:val="00EB448F"/>
    <w:rsid w:val="00EC190D"/>
    <w:rsid w:val="00EC1BD9"/>
    <w:rsid w:val="00EC29D7"/>
    <w:rsid w:val="00EC62A3"/>
    <w:rsid w:val="00ED4C0C"/>
    <w:rsid w:val="00ED67B5"/>
    <w:rsid w:val="00EE36B8"/>
    <w:rsid w:val="00EF32DE"/>
    <w:rsid w:val="00F018D2"/>
    <w:rsid w:val="00F02008"/>
    <w:rsid w:val="00F108BF"/>
    <w:rsid w:val="00F11638"/>
    <w:rsid w:val="00F11683"/>
    <w:rsid w:val="00F2208F"/>
    <w:rsid w:val="00F31DE6"/>
    <w:rsid w:val="00F31F10"/>
    <w:rsid w:val="00F33CAB"/>
    <w:rsid w:val="00F34465"/>
    <w:rsid w:val="00F37D81"/>
    <w:rsid w:val="00F45CCF"/>
    <w:rsid w:val="00F63713"/>
    <w:rsid w:val="00F64B3D"/>
    <w:rsid w:val="00F66A88"/>
    <w:rsid w:val="00F7004E"/>
    <w:rsid w:val="00F70BB4"/>
    <w:rsid w:val="00F826D7"/>
    <w:rsid w:val="00F84553"/>
    <w:rsid w:val="00F94EDF"/>
    <w:rsid w:val="00FA3EE6"/>
    <w:rsid w:val="00FA4C3F"/>
    <w:rsid w:val="00FA54FC"/>
    <w:rsid w:val="00FA73A7"/>
    <w:rsid w:val="00FA7EFA"/>
    <w:rsid w:val="00FB0D2C"/>
    <w:rsid w:val="00FB1F69"/>
    <w:rsid w:val="00FB6913"/>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516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25874043">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3975</Words>
  <Characters>23457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9</cp:revision>
  <cp:lastPrinted>2022-10-11T06:15:00Z</cp:lastPrinted>
  <dcterms:created xsi:type="dcterms:W3CDTF">2024-09-27T07:26:00Z</dcterms:created>
  <dcterms:modified xsi:type="dcterms:W3CDTF">2025-07-10T08:04:00Z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