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0BE397E5" w:rsidR="00F23FC9" w:rsidRPr="000F6082" w:rsidRDefault="00F23FC9" w:rsidP="00F23FC9">
      <w:pPr>
        <w:spacing w:before="240"/>
        <w:jc w:val="center"/>
        <w:rPr>
          <w:rFonts w:ascii="Arial" w:hAnsi="Arial" w:cs="Arial"/>
          <w:b/>
          <w:bCs/>
          <w:caps/>
          <w:color w:val="214F87"/>
          <w:sz w:val="44"/>
          <w:szCs w:val="44"/>
        </w:rPr>
      </w:pPr>
      <w:r w:rsidRPr="000F6082">
        <w:rPr>
          <w:rFonts w:ascii="Arial" w:hAnsi="Arial" w:cs="Arial"/>
          <w:b/>
          <w:bCs/>
          <w:caps/>
          <w:color w:val="214F87"/>
          <w:sz w:val="44"/>
          <w:szCs w:val="44"/>
        </w:rPr>
        <w:t xml:space="preserve">PŘÍLOHA </w:t>
      </w:r>
      <w:r w:rsidR="000F6082" w:rsidRPr="000F6082">
        <w:rPr>
          <w:rFonts w:ascii="Arial" w:hAnsi="Arial" w:cs="Arial"/>
          <w:b/>
          <w:bCs/>
          <w:caps/>
          <w:color w:val="214F87"/>
          <w:sz w:val="44"/>
          <w:szCs w:val="44"/>
        </w:rPr>
        <w:t>3</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07DFAC19" w14:textId="77777777" w:rsidR="000F6082" w:rsidRPr="00ED4CFC" w:rsidRDefault="000F6082" w:rsidP="00A034BA">
      <w:pPr>
        <w:keepNext/>
        <w:autoSpaceDE w:val="0"/>
        <w:autoSpaceDN w:val="0"/>
        <w:jc w:val="center"/>
        <w:rPr>
          <w:rFonts w:ascii="Arial" w:hAnsi="Arial" w:cs="Arial"/>
          <w:b/>
          <w:bCs/>
          <w:caps/>
          <w:sz w:val="28"/>
          <w:szCs w:val="28"/>
        </w:rPr>
      </w:pPr>
      <w:r w:rsidRPr="00ED4CFC">
        <w:rPr>
          <w:rFonts w:ascii="Arial" w:hAnsi="Arial" w:cs="Arial"/>
          <w:caps/>
          <w:sz w:val="36"/>
          <w:szCs w:val="36"/>
        </w:rPr>
        <w:t>1. výzva IROP - Knihovny - SC 4.4 (MRR)</w:t>
      </w:r>
    </w:p>
    <w:p w14:paraId="2AD9EE8F" w14:textId="77777777" w:rsidR="000F6082" w:rsidRPr="00ED4CFC" w:rsidRDefault="000F6082" w:rsidP="00A034BA">
      <w:pPr>
        <w:keepNext/>
        <w:autoSpaceDE w:val="0"/>
        <w:autoSpaceDN w:val="0"/>
        <w:jc w:val="center"/>
        <w:rPr>
          <w:rFonts w:ascii="Arial" w:hAnsi="Arial" w:cs="Arial"/>
          <w:b/>
          <w:bCs/>
          <w:caps/>
          <w:sz w:val="28"/>
          <w:szCs w:val="28"/>
        </w:rPr>
      </w:pPr>
      <w:r w:rsidRPr="00ED4CFC">
        <w:rPr>
          <w:rFonts w:ascii="Arial" w:hAnsi="Arial" w:cs="Arial"/>
          <w:caps/>
          <w:sz w:val="36"/>
          <w:szCs w:val="36"/>
        </w:rPr>
        <w:t>2. výzva IROP - Knihovny - SC 4.4 (PR)</w:t>
      </w:r>
    </w:p>
    <w:p w14:paraId="05A1B5A0" w14:textId="77777777" w:rsidR="000F6082" w:rsidRDefault="000F6082" w:rsidP="001643B0">
      <w:pPr>
        <w:spacing w:after="200"/>
        <w:jc w:val="center"/>
        <w:rPr>
          <w:rFonts w:ascii="Arial" w:hAnsi="Arial" w:cs="Arial"/>
          <w:caps/>
          <w:color w:val="7F7F7F" w:themeColor="text1" w:themeTint="80"/>
        </w:rPr>
      </w:pPr>
    </w:p>
    <w:p w14:paraId="27C16E27" w14:textId="77777777" w:rsidR="000F6082" w:rsidRDefault="000F6082" w:rsidP="000F6082">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 příjemce včetně jejich příloh (dále jen „SPPŽP“), Závaznými stanovisky Řídicího orgánu IROP (dále jen „ŘO IROP“) a Příručkou pro práci v MS2021+, jakož i právními předpisy a 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77777777"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 postupuje se podle bodu 5 d).</w:t>
            </w:r>
          </w:p>
          <w:p w14:paraId="56571BCE"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 realizaci projektu, činí finanční oprava 100 %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 dokumenty uvedenými v části I odst. 3 Podmínek.</w:t>
            </w:r>
          </w:p>
          <w:p w14:paraId="0200BDA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 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 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 xml:space="preserve">Finanční oprava bude stanovena v souladu s Pokyny Evropské komise ke stanovení finančních oprav, jež mají být provedeny u výdajů financovaných Unií v rámci sdíleného řízení v případě nedodržení pravidel pro </w:t>
            </w:r>
            <w:r w:rsidRPr="00BF657C">
              <w:rPr>
                <w:rFonts w:ascii="Arial" w:hAnsi="Arial" w:cs="Arial"/>
                <w:snapToGrid w:val="0"/>
                <w:sz w:val="22"/>
                <w:szCs w:val="22"/>
              </w:rPr>
              <w:lastRenderedPageBreak/>
              <w:t>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 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 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 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 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oznámit níže uvedené změny formou Žádosti o 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 povinnosti z Rozhodnutí, musí požádat formou Žádosti o změnu projektu o souhlas s přechodem práv a povinností z Rozhodnutí nejpozději 60 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77777777"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 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0458C7F8"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 xml:space="preserve">prokázat že indikátory </w:t>
            </w:r>
            <w:r w:rsidR="00A67B07">
              <w:rPr>
                <w:rFonts w:ascii="Arial" w:hAnsi="Arial" w:cs="Arial"/>
                <w:snapToGrid w:val="0"/>
                <w:sz w:val="22"/>
                <w:szCs w:val="22"/>
              </w:rPr>
              <w:t xml:space="preserve">I. – III.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 a cílové hodnotě uvedené na Rozhodnutí / v MS2021+</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p w14:paraId="79F19E53" w14:textId="4A759B73"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indikátoru </w:t>
            </w:r>
            <w:r w:rsidR="00A67B07">
              <w:rPr>
                <w:rFonts w:ascii="Arial" w:hAnsi="Arial" w:cs="Arial"/>
                <w:snapToGrid w:val="0"/>
                <w:sz w:val="22"/>
                <w:szCs w:val="22"/>
              </w:rPr>
              <w:t>IV</w:t>
            </w:r>
            <w:r w:rsidRPr="00A67B07">
              <w:rPr>
                <w:rFonts w:ascii="Arial" w:hAnsi="Arial" w:cs="Arial"/>
                <w:snapToGrid w:val="0"/>
                <w:sz w:val="22"/>
                <w:szCs w:val="22"/>
              </w:rPr>
              <w:t xml:space="preserve">. v termínu a cílové hodnotě uvedené v MS2021+ je příjemce povinen vykázat při podání první Zprávy o udržitelnosti projektu. </w:t>
            </w:r>
          </w:p>
          <w:p w14:paraId="4553DF32" w14:textId="77777777"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246B8085" w14:textId="77777777" w:rsidR="000C678D"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908 201 - Počet podpořených knihoven</w:t>
            </w:r>
          </w:p>
          <w:p w14:paraId="2CB01B4D" w14:textId="77777777" w:rsidR="000C678D"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lastRenderedPageBreak/>
              <w:t>907 030 - Počet nově zpřístupněných a zefektivněných podsbírek a fondů</w:t>
            </w:r>
          </w:p>
          <w:p w14:paraId="351EF08F" w14:textId="77777777" w:rsidR="000C678D"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323 000 - Snížení konečné spotřeby energie u podpořených subjektů</w:t>
            </w:r>
          </w:p>
          <w:p w14:paraId="1407E902" w14:textId="1E4AC2C6" w:rsidR="00A67B07" w:rsidRPr="000C678D"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910 052 - Počet návštěvníků podpořených lokalit v oblasti</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3DC54CF4"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Finanční oprava bude stanovena za nenaplnění cílové hodnoty indikátorů:</w:t>
            </w:r>
          </w:p>
          <w:p w14:paraId="5525F4CC" w14:textId="734987A5" w:rsidR="009132E6" w:rsidRPr="000C678D" w:rsidRDefault="009132E6" w:rsidP="0042247B">
            <w:pPr>
              <w:pStyle w:val="Odstavecseseznamem"/>
              <w:numPr>
                <w:ilvl w:val="0"/>
                <w:numId w:val="15"/>
              </w:numPr>
              <w:spacing w:before="120" w:after="120" w:line="271" w:lineRule="auto"/>
              <w:ind w:left="338" w:hanging="283"/>
              <w:jc w:val="both"/>
              <w:rPr>
                <w:rFonts w:ascii="Arial" w:hAnsi="Arial" w:cs="Arial"/>
                <w:snapToGrid w:val="0"/>
                <w:sz w:val="22"/>
                <w:szCs w:val="22"/>
                <w:lang w:eastAsia="zh-CN" w:bidi="ar"/>
              </w:rPr>
            </w:pPr>
            <w:r w:rsidRPr="000C678D">
              <w:rPr>
                <w:rFonts w:ascii="Arial" w:hAnsi="Arial" w:cs="Arial"/>
                <w:i/>
                <w:iCs/>
                <w:snapToGrid w:val="0"/>
                <w:sz w:val="22"/>
                <w:szCs w:val="22"/>
                <w:lang w:eastAsia="zh-CN" w:bidi="ar"/>
              </w:rPr>
              <w:t>I</w:t>
            </w:r>
            <w:r w:rsidRPr="000C678D">
              <w:rPr>
                <w:rFonts w:ascii="Arial" w:hAnsi="Arial" w:cs="Arial"/>
                <w:snapToGrid w:val="0"/>
                <w:sz w:val="22"/>
                <w:szCs w:val="22"/>
                <w:lang w:eastAsia="zh-CN" w:bidi="ar"/>
              </w:rPr>
              <w:t xml:space="preserve">. </w:t>
            </w:r>
            <w:r w:rsidR="000C678D" w:rsidRPr="000C678D">
              <w:rPr>
                <w:rFonts w:ascii="Arial" w:hAnsi="Arial" w:cs="Arial"/>
                <w:snapToGrid w:val="0"/>
                <w:sz w:val="22"/>
                <w:szCs w:val="22"/>
                <w:lang w:eastAsia="zh-CN" w:bidi="ar"/>
              </w:rPr>
              <w:t xml:space="preserve">a </w:t>
            </w:r>
            <w:r w:rsidR="000C678D" w:rsidRPr="000C678D">
              <w:rPr>
                <w:rFonts w:ascii="Arial" w:hAnsi="Arial" w:cs="Arial"/>
                <w:i/>
                <w:iCs/>
                <w:snapToGrid w:val="0"/>
                <w:sz w:val="22"/>
                <w:szCs w:val="22"/>
                <w:lang w:eastAsia="zh-CN" w:bidi="ar"/>
              </w:rPr>
              <w:t xml:space="preserve">II. </w:t>
            </w:r>
            <w:r w:rsidRPr="000C678D">
              <w:rPr>
                <w:rFonts w:ascii="Arial" w:hAnsi="Arial" w:cs="Arial"/>
                <w:snapToGrid w:val="0"/>
                <w:sz w:val="22"/>
                <w:szCs w:val="22"/>
                <w:lang w:eastAsia="zh-CN" w:bidi="ar"/>
              </w:rPr>
              <w:t>na 100 %,</w:t>
            </w:r>
          </w:p>
          <w:p w14:paraId="2C2D0CE1" w14:textId="7F5FD5D9" w:rsidR="009132E6" w:rsidRPr="000C678D" w:rsidRDefault="009132E6" w:rsidP="0042247B">
            <w:pPr>
              <w:pStyle w:val="Odstavecseseznamem"/>
              <w:numPr>
                <w:ilvl w:val="0"/>
                <w:numId w:val="15"/>
              </w:numPr>
              <w:spacing w:before="120" w:after="120" w:line="271" w:lineRule="auto"/>
              <w:ind w:left="338" w:hanging="283"/>
              <w:jc w:val="both"/>
              <w:rPr>
                <w:rFonts w:ascii="Arial" w:hAnsi="Arial" w:cs="Arial"/>
                <w:i/>
                <w:iCs/>
                <w:snapToGrid w:val="0"/>
                <w:sz w:val="22"/>
                <w:szCs w:val="22"/>
                <w:lang w:eastAsia="zh-CN" w:bidi="ar"/>
              </w:rPr>
            </w:pPr>
            <w:r w:rsidRPr="000C678D">
              <w:rPr>
                <w:rFonts w:ascii="Arial" w:hAnsi="Arial" w:cs="Arial"/>
                <w:i/>
                <w:iCs/>
                <w:snapToGrid w:val="0"/>
                <w:sz w:val="22"/>
                <w:szCs w:val="22"/>
                <w:lang w:eastAsia="zh-CN" w:bidi="ar"/>
              </w:rPr>
              <w:t>III.</w:t>
            </w:r>
            <w:r w:rsidRPr="000C678D">
              <w:rPr>
                <w:rFonts w:ascii="Arial" w:hAnsi="Arial" w:cs="Arial"/>
                <w:snapToGrid w:val="0"/>
                <w:sz w:val="22"/>
                <w:szCs w:val="22"/>
                <w:lang w:eastAsia="zh-CN" w:bidi="ar"/>
              </w:rPr>
              <w:t xml:space="preserve"> na </w:t>
            </w:r>
            <w:r w:rsidR="000C678D" w:rsidRPr="000C678D">
              <w:rPr>
                <w:rFonts w:ascii="Arial" w:hAnsi="Arial" w:cs="Arial"/>
                <w:snapToGrid w:val="0"/>
                <w:sz w:val="22"/>
                <w:szCs w:val="22"/>
                <w:lang w:eastAsia="zh-CN" w:bidi="ar"/>
              </w:rPr>
              <w:t>95</w:t>
            </w:r>
            <w:r w:rsidRPr="000C678D">
              <w:rPr>
                <w:rFonts w:ascii="Arial" w:hAnsi="Arial" w:cs="Arial"/>
                <w:snapToGrid w:val="0"/>
                <w:sz w:val="22"/>
                <w:szCs w:val="22"/>
                <w:lang w:eastAsia="zh-CN" w:bidi="ar"/>
              </w:rPr>
              <w:t xml:space="preserve"> % a více,</w:t>
            </w:r>
          </w:p>
          <w:p w14:paraId="5753D440" w14:textId="5DDBC111" w:rsidR="009132E6" w:rsidRPr="000C678D" w:rsidRDefault="009132E6" w:rsidP="0042247B">
            <w:pPr>
              <w:pStyle w:val="Odstavecseseznamem"/>
              <w:numPr>
                <w:ilvl w:val="0"/>
                <w:numId w:val="15"/>
              </w:numPr>
              <w:spacing w:before="120" w:after="120" w:line="271" w:lineRule="auto"/>
              <w:ind w:left="338" w:hanging="283"/>
              <w:jc w:val="both"/>
              <w:rPr>
                <w:rFonts w:ascii="Arial" w:eastAsia="Calibri" w:hAnsi="Arial" w:cs="Arial"/>
                <w:snapToGrid w:val="0"/>
                <w:sz w:val="22"/>
                <w:szCs w:val="22"/>
                <w:lang w:eastAsia="zh-CN" w:bidi="ar"/>
              </w:rPr>
            </w:pPr>
            <w:r w:rsidRPr="000C678D">
              <w:rPr>
                <w:rFonts w:ascii="Arial" w:hAnsi="Arial" w:cs="Arial"/>
                <w:i/>
                <w:iCs/>
                <w:snapToGrid w:val="0"/>
                <w:sz w:val="22"/>
                <w:szCs w:val="22"/>
                <w:lang w:eastAsia="zh-CN" w:bidi="ar"/>
              </w:rPr>
              <w:t>IV</w:t>
            </w:r>
            <w:r w:rsidRPr="000C678D">
              <w:rPr>
                <w:rFonts w:ascii="Arial" w:eastAsiaTheme="minorEastAsia" w:hAnsi="Arial" w:cs="Arial"/>
                <w:i/>
                <w:iCs/>
                <w:snapToGrid w:val="0"/>
                <w:sz w:val="22"/>
                <w:szCs w:val="22"/>
                <w:lang w:eastAsia="zh-CN" w:bidi="ar"/>
              </w:rPr>
              <w:t xml:space="preserve">. </w:t>
            </w:r>
            <w:r w:rsidRPr="000C678D">
              <w:rPr>
                <w:rFonts w:ascii="Arial" w:eastAsiaTheme="minorEastAsia" w:hAnsi="Arial" w:cs="Arial"/>
                <w:snapToGrid w:val="0"/>
                <w:sz w:val="22"/>
                <w:szCs w:val="22"/>
                <w:lang w:eastAsia="zh-CN" w:bidi="ar"/>
              </w:rPr>
              <w:t xml:space="preserve">za období </w:t>
            </w:r>
            <w:r w:rsidRPr="000C678D">
              <w:rPr>
                <w:rFonts w:ascii="Arial" w:eastAsiaTheme="minorEastAsia" w:hAnsi="Arial" w:cs="Arial"/>
                <w:sz w:val="22"/>
                <w:szCs w:val="22"/>
              </w:rPr>
              <w:t>prvního roku udržitelnosti</w:t>
            </w:r>
            <w:r w:rsidRPr="000C678D">
              <w:rPr>
                <w:rFonts w:ascii="Arial" w:eastAsiaTheme="minorEastAsia" w:hAnsi="Arial" w:cs="Arial"/>
                <w:snapToGrid w:val="0"/>
                <w:sz w:val="22"/>
                <w:szCs w:val="22"/>
                <w:lang w:eastAsia="zh-CN" w:bidi="ar"/>
              </w:rPr>
              <w:t xml:space="preserve"> na </w:t>
            </w:r>
            <w:r w:rsidR="000C678D" w:rsidRPr="000C678D">
              <w:rPr>
                <w:rFonts w:ascii="Arial" w:eastAsiaTheme="minorEastAsia" w:hAnsi="Arial" w:cs="Arial"/>
                <w:snapToGrid w:val="0"/>
                <w:sz w:val="22"/>
                <w:szCs w:val="22"/>
                <w:lang w:eastAsia="zh-CN" w:bidi="ar"/>
              </w:rPr>
              <w:t>70 %</w:t>
            </w:r>
            <w:r w:rsidR="00263F6E">
              <w:rPr>
                <w:rFonts w:ascii="Arial" w:eastAsiaTheme="minorEastAsia" w:hAnsi="Arial" w:cs="Arial"/>
                <w:snapToGrid w:val="0"/>
                <w:sz w:val="22"/>
                <w:szCs w:val="22"/>
                <w:lang w:eastAsia="zh-CN" w:bidi="ar"/>
              </w:rPr>
              <w:t xml:space="preserve"> a více</w:t>
            </w:r>
            <w:r w:rsidR="000C678D" w:rsidRPr="000C678D">
              <w:rPr>
                <w:rFonts w:ascii="Arial" w:eastAsiaTheme="minorEastAsia" w:hAnsi="Arial" w:cs="Arial"/>
                <w:snapToGrid w:val="0"/>
                <w:sz w:val="22"/>
                <w:szCs w:val="22"/>
                <w:lang w:eastAsia="zh-CN" w:bidi="ar"/>
              </w:rPr>
              <w:t>.</w:t>
            </w:r>
          </w:p>
          <w:p w14:paraId="46028426" w14:textId="28103F24"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Finanční oprava bude vyčíslena v procentním rozmezí 0–100 %</w:t>
            </w:r>
            <w:r w:rsidR="000C678D">
              <w:rPr>
                <w:rFonts w:ascii="Arial" w:hAnsi="Arial" w:cs="Arial"/>
                <w:snapToGrid w:val="0"/>
                <w:sz w:val="22"/>
                <w:szCs w:val="22"/>
                <w:lang w:eastAsia="zh-CN" w:bidi="ar"/>
              </w:rPr>
              <w:t>, k</w:t>
            </w:r>
            <w:r w:rsidRPr="00BF657C">
              <w:rPr>
                <w:rFonts w:ascii="Arial" w:hAnsi="Arial" w:cs="Arial"/>
                <w:snapToGrid w:val="0"/>
                <w:sz w:val="22"/>
                <w:szCs w:val="22"/>
                <w:lang w:eastAsia="zh-CN" w:bidi="ar"/>
              </w:rPr>
              <w:t>onkrétní výše finanční opravy bude vypočítána u jednotlivých indikátorů následovně:</w:t>
            </w:r>
          </w:p>
          <w:p w14:paraId="69948B08" w14:textId="6284E3AD" w:rsidR="009132E6" w:rsidRPr="000C678D" w:rsidRDefault="000C678D" w:rsidP="0042247B">
            <w:pPr>
              <w:pStyle w:val="Odstavecseseznamem"/>
              <w:numPr>
                <w:ilvl w:val="1"/>
                <w:numId w:val="16"/>
              </w:numPr>
              <w:spacing w:before="120" w:after="120" w:line="271" w:lineRule="auto"/>
              <w:ind w:left="338" w:hanging="283"/>
              <w:jc w:val="both"/>
              <w:rPr>
                <w:rFonts w:ascii="Arial" w:hAnsi="Arial" w:cs="Arial"/>
                <w:snapToGrid w:val="0"/>
                <w:sz w:val="22"/>
                <w:szCs w:val="22"/>
                <w:lang w:eastAsia="zh-CN" w:bidi="ar"/>
              </w:rPr>
            </w:pPr>
            <w:r w:rsidRPr="000C678D">
              <w:rPr>
                <w:rFonts w:ascii="Arial" w:hAnsi="Arial" w:cs="Arial"/>
                <w:snapToGrid w:val="0"/>
                <w:sz w:val="22"/>
                <w:szCs w:val="22"/>
                <w:lang w:eastAsia="zh-CN" w:bidi="ar"/>
              </w:rPr>
              <w:lastRenderedPageBreak/>
              <w:t xml:space="preserve">u </w:t>
            </w:r>
            <w:r w:rsidR="00866C89" w:rsidRPr="00655646">
              <w:rPr>
                <w:rFonts w:ascii="Arial" w:hAnsi="Arial" w:cs="Arial"/>
                <w:i/>
                <w:iCs/>
                <w:snapToGrid w:val="0"/>
                <w:sz w:val="22"/>
                <w:szCs w:val="22"/>
                <w:lang w:eastAsia="zh-CN" w:bidi="ar"/>
              </w:rPr>
              <w:t>indikátorů</w:t>
            </w:r>
            <w:r w:rsidR="00866C89">
              <w:rPr>
                <w:rFonts w:ascii="Arial" w:hAnsi="Arial" w:cs="Arial"/>
                <w:snapToGrid w:val="0"/>
                <w:sz w:val="22"/>
                <w:szCs w:val="22"/>
                <w:lang w:eastAsia="zh-CN" w:bidi="ar"/>
              </w:rPr>
              <w:t xml:space="preserve"> </w:t>
            </w:r>
            <w:r w:rsidR="009132E6" w:rsidRPr="00277403">
              <w:rPr>
                <w:rFonts w:ascii="Arial" w:hAnsi="Arial" w:cs="Arial"/>
                <w:i/>
                <w:iCs/>
                <w:snapToGrid w:val="0"/>
                <w:sz w:val="22"/>
                <w:szCs w:val="22"/>
                <w:lang w:eastAsia="zh-CN" w:bidi="ar"/>
              </w:rPr>
              <w:t>I.</w:t>
            </w:r>
            <w:r w:rsidRPr="000C678D">
              <w:rPr>
                <w:rFonts w:ascii="Arial" w:hAnsi="Arial" w:cs="Arial"/>
                <w:snapToGrid w:val="0"/>
                <w:sz w:val="22"/>
                <w:szCs w:val="22"/>
                <w:lang w:eastAsia="zh-CN" w:bidi="ar"/>
              </w:rPr>
              <w:t xml:space="preserve"> a </w:t>
            </w:r>
            <w:r w:rsidRPr="00277403">
              <w:rPr>
                <w:rFonts w:ascii="Arial" w:hAnsi="Arial" w:cs="Arial"/>
                <w:i/>
                <w:iCs/>
                <w:snapToGrid w:val="0"/>
                <w:sz w:val="22"/>
                <w:szCs w:val="22"/>
                <w:lang w:eastAsia="zh-CN" w:bidi="ar"/>
              </w:rPr>
              <w:t>II</w:t>
            </w:r>
            <w:r w:rsidR="00277403">
              <w:rPr>
                <w:rFonts w:ascii="Arial" w:hAnsi="Arial" w:cs="Arial"/>
                <w:i/>
                <w:iCs/>
                <w:snapToGrid w:val="0"/>
                <w:sz w:val="22"/>
                <w:szCs w:val="22"/>
                <w:lang w:eastAsia="zh-CN" w:bidi="ar"/>
              </w:rPr>
              <w:t>.</w:t>
            </w:r>
            <w:r w:rsidR="009132E6" w:rsidRPr="000C678D">
              <w:rPr>
                <w:rFonts w:ascii="Arial" w:hAnsi="Arial" w:cs="Arial"/>
                <w:snapToGrid w:val="0"/>
                <w:sz w:val="22"/>
                <w:szCs w:val="22"/>
                <w:lang w:eastAsia="zh-CN" w:bidi="ar"/>
              </w:rPr>
              <w:t xml:space="preserve"> v poměrné výši zohledňující cílovou hodnotu indikátoru a dosaženou hodnotu indikátoru,</w:t>
            </w:r>
          </w:p>
          <w:p w14:paraId="02A69AF6" w14:textId="1B6AB88F" w:rsidR="009132E6" w:rsidRPr="00277403" w:rsidRDefault="00277403" w:rsidP="0042247B">
            <w:pPr>
              <w:pStyle w:val="Odstavecseseznamem"/>
              <w:numPr>
                <w:ilvl w:val="1"/>
                <w:numId w:val="16"/>
              </w:numPr>
              <w:spacing w:before="120" w:after="120" w:line="271" w:lineRule="auto"/>
              <w:ind w:left="338" w:hanging="283"/>
              <w:jc w:val="both"/>
              <w:rPr>
                <w:rFonts w:ascii="Arial" w:hAnsi="Arial" w:cs="Arial"/>
                <w:snapToGrid w:val="0"/>
                <w:sz w:val="22"/>
                <w:szCs w:val="22"/>
              </w:rPr>
            </w:pPr>
            <w:r w:rsidRPr="00277403">
              <w:rPr>
                <w:rFonts w:ascii="Arial" w:hAnsi="Arial" w:cs="Arial"/>
                <w:snapToGrid w:val="0"/>
                <w:sz w:val="22"/>
                <w:szCs w:val="22"/>
                <w:lang w:eastAsia="zh-CN" w:bidi="ar"/>
              </w:rPr>
              <w:t xml:space="preserve">u </w:t>
            </w:r>
            <w:r w:rsidR="00866C89" w:rsidRPr="00655646">
              <w:rPr>
                <w:rFonts w:ascii="Arial" w:hAnsi="Arial" w:cs="Arial"/>
                <w:i/>
                <w:iCs/>
                <w:snapToGrid w:val="0"/>
                <w:sz w:val="22"/>
                <w:szCs w:val="22"/>
                <w:lang w:eastAsia="zh-CN" w:bidi="ar"/>
              </w:rPr>
              <w:t>indikátoru</w:t>
            </w:r>
            <w:r w:rsidR="00866C89">
              <w:rPr>
                <w:rFonts w:ascii="Arial" w:hAnsi="Arial" w:cs="Arial"/>
                <w:snapToGrid w:val="0"/>
                <w:sz w:val="22"/>
                <w:szCs w:val="22"/>
                <w:lang w:eastAsia="zh-CN" w:bidi="ar"/>
              </w:rPr>
              <w:t xml:space="preserve"> </w:t>
            </w:r>
            <w:r w:rsidR="009132E6" w:rsidRPr="00277403">
              <w:rPr>
                <w:rFonts w:ascii="Arial" w:hAnsi="Arial" w:cs="Arial"/>
                <w:i/>
                <w:iCs/>
                <w:snapToGrid w:val="0"/>
                <w:sz w:val="22"/>
                <w:szCs w:val="22"/>
                <w:lang w:eastAsia="zh-CN" w:bidi="ar"/>
              </w:rPr>
              <w:t>III.</w:t>
            </w:r>
            <w:r w:rsidR="009132E6" w:rsidRPr="00277403">
              <w:rPr>
                <w:rFonts w:ascii="Arial" w:hAnsi="Arial" w:cs="Arial"/>
                <w:snapToGrid w:val="0"/>
                <w:sz w:val="22"/>
                <w:szCs w:val="22"/>
                <w:lang w:eastAsia="zh-CN" w:bidi="ar"/>
              </w:rPr>
              <w:t xml:space="preserve"> v poměrné výši zohledňující cílovou hodnotu indikátorů přepočtenou na minimální hranici tolerančního pásma a dosaženou hodnotu indikátorů,</w:t>
            </w:r>
            <w:r w:rsidR="009132E6" w:rsidRPr="00277403">
              <w:rPr>
                <w:rFonts w:ascii="Arial" w:hAnsi="Arial" w:cs="Arial"/>
                <w:snapToGrid w:val="0"/>
                <w:sz w:val="22"/>
                <w:szCs w:val="22"/>
              </w:rPr>
              <w:t xml:space="preserve"> </w:t>
            </w:r>
          </w:p>
          <w:p w14:paraId="4C9375CE" w14:textId="418A5789" w:rsidR="009132E6" w:rsidRPr="00277403" w:rsidRDefault="00277403" w:rsidP="0042247B">
            <w:pPr>
              <w:pStyle w:val="Odstavecseseznamem"/>
              <w:numPr>
                <w:ilvl w:val="1"/>
                <w:numId w:val="16"/>
              </w:numPr>
              <w:spacing w:before="120" w:after="120" w:line="271" w:lineRule="auto"/>
              <w:ind w:left="313" w:hanging="283"/>
              <w:jc w:val="both"/>
              <w:rPr>
                <w:rFonts w:ascii="Arial" w:eastAsiaTheme="minorEastAsia" w:hAnsi="Arial" w:cs="Arial"/>
                <w:snapToGrid w:val="0"/>
                <w:sz w:val="22"/>
                <w:szCs w:val="22"/>
              </w:rPr>
            </w:pPr>
            <w:r>
              <w:rPr>
                <w:rFonts w:ascii="Arial" w:hAnsi="Arial" w:cs="Arial"/>
                <w:i/>
                <w:iCs/>
                <w:snapToGrid w:val="0"/>
                <w:sz w:val="22"/>
                <w:szCs w:val="22"/>
              </w:rPr>
              <w:t xml:space="preserve">u </w:t>
            </w:r>
            <w:r w:rsidR="00866C89" w:rsidRPr="00655646">
              <w:rPr>
                <w:rFonts w:ascii="Arial" w:hAnsi="Arial" w:cs="Arial"/>
                <w:i/>
                <w:iCs/>
                <w:snapToGrid w:val="0"/>
                <w:sz w:val="22"/>
                <w:szCs w:val="22"/>
              </w:rPr>
              <w:t>indikátoru</w:t>
            </w:r>
            <w:r w:rsidR="00866C89">
              <w:rPr>
                <w:rFonts w:ascii="Arial" w:hAnsi="Arial" w:cs="Arial"/>
                <w:i/>
                <w:iCs/>
                <w:snapToGrid w:val="0"/>
                <w:sz w:val="22"/>
                <w:szCs w:val="22"/>
              </w:rPr>
              <w:t xml:space="preserve"> </w:t>
            </w:r>
            <w:r w:rsidR="009132E6" w:rsidRPr="00277403">
              <w:rPr>
                <w:rFonts w:ascii="Arial" w:hAnsi="Arial" w:cs="Arial"/>
                <w:i/>
                <w:iCs/>
                <w:snapToGrid w:val="0"/>
                <w:sz w:val="22"/>
                <w:szCs w:val="22"/>
              </w:rPr>
              <w:t>IV.</w:t>
            </w:r>
            <w:r w:rsidR="009132E6" w:rsidRPr="00277403">
              <w:rPr>
                <w:rFonts w:ascii="Arial" w:hAnsi="Arial" w:cs="Arial"/>
                <w:snapToGrid w:val="0"/>
                <w:sz w:val="22"/>
                <w:szCs w:val="22"/>
              </w:rPr>
              <w:t xml:space="preserve"> v poměrné výši zohledňující cílovou hodnotu indikátoru přepočtenou na minimální hranici tolerančního pásma a dosaženou hodnotu indikátoru </w:t>
            </w:r>
            <w:r w:rsidR="009132E6" w:rsidRPr="00277403">
              <w:rPr>
                <w:rFonts w:ascii="Arial" w:hAnsi="Arial" w:cs="Arial"/>
                <w:sz w:val="22"/>
                <w:szCs w:val="22"/>
              </w:rPr>
              <w:t>se zohledněním délky období, po které nebyl indikátor naplněn.</w:t>
            </w:r>
          </w:p>
          <w:p w14:paraId="501B40A5" w14:textId="6B0B9711"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Překročení cílové hodnoty indikátorů nepodléhá finanční opravě</w:t>
            </w:r>
            <w:r w:rsidR="00263F6E">
              <w:rPr>
                <w:rStyle w:val="Znakapoznpodarou"/>
                <w:rFonts w:ascii="Arial" w:hAnsi="Arial" w:cs="Arial"/>
                <w:snapToGrid w:val="0"/>
                <w:sz w:val="22"/>
                <w:szCs w:val="22"/>
              </w:rPr>
              <w:footnoteReference w:id="14"/>
            </w:r>
            <w:r w:rsidR="002F624E">
              <w:rPr>
                <w:rFonts w:ascii="Arial" w:hAnsi="Arial" w:cs="Arial"/>
                <w:snapToGrid w:val="0"/>
                <w:sz w:val="22"/>
                <w:szCs w:val="22"/>
              </w:rPr>
              <w:t>.</w:t>
            </w:r>
          </w:p>
          <w:p w14:paraId="408BDE7F" w14:textId="77777777" w:rsidR="009132E6" w:rsidRPr="00BF657C" w:rsidRDefault="009132E6" w:rsidP="0042247B">
            <w:pPr>
              <w:spacing w:before="120" w:after="120" w:line="271" w:lineRule="auto"/>
              <w:jc w:val="both"/>
              <w:rPr>
                <w:rFonts w:ascii="Arial" w:hAnsi="Arial" w:cs="Arial"/>
                <w:sz w:val="22"/>
                <w:szCs w:val="22"/>
              </w:rPr>
            </w:pPr>
            <w:bookmarkStart w:id="10" w:name="_Hlk97278643"/>
            <w:r w:rsidRPr="00BF657C">
              <w:rPr>
                <w:rFonts w:ascii="Arial" w:hAnsi="Arial" w:cs="Arial"/>
                <w:sz w:val="22"/>
                <w:szCs w:val="22"/>
              </w:rPr>
              <w:t>U indikátorů s nenulovou výchozí hodnotou se výpočet plnění vždy vztahuje pouze k nárůstu/poklesu hodnoty, který se váže pouze k období, kdy byl projekt realizován, tedy k rozdílu cílových a výchozích hodnot.</w:t>
            </w:r>
            <w:bookmarkEnd w:id="10"/>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Udržení indikátorů</w:t>
            </w:r>
          </w:p>
        </w:tc>
      </w:tr>
      <w:tr w:rsidR="009132E6" w:rsidRPr="00BF657C" w14:paraId="4B0E91EF" w14:textId="77777777" w:rsidTr="0059122B">
        <w:trPr>
          <w:trHeight w:val="1124"/>
        </w:trPr>
        <w:tc>
          <w:tcPr>
            <w:tcW w:w="4533" w:type="dxa"/>
          </w:tcPr>
          <w:p w14:paraId="1A11AAB3"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v době udržitelnosti udržet dosažené hodnoty indikátorů uvedené v MS2021+.</w:t>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0955A1B7" w14:textId="77777777" w:rsidR="00277403" w:rsidRDefault="00277403" w:rsidP="0027740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908 201 - Počet podpořených knihoven</w:t>
            </w:r>
          </w:p>
          <w:p w14:paraId="35299577" w14:textId="77777777" w:rsidR="00277403" w:rsidRDefault="00277403" w:rsidP="0027740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907 030 - Počet nově zpřístupněných a zefektivněných podsbírek a fondů</w:t>
            </w:r>
          </w:p>
          <w:p w14:paraId="1757C19C" w14:textId="77777777" w:rsidR="00277403" w:rsidRDefault="00277403" w:rsidP="0027740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323 000 - Snížení konečné spotřeby energie u podpořených subjektů</w:t>
            </w:r>
          </w:p>
          <w:p w14:paraId="1CAB4D2C" w14:textId="77777777" w:rsidR="00277403" w:rsidRPr="000C678D" w:rsidRDefault="00277403" w:rsidP="0027740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910 052 - Počet návštěvníků podpořených lokalit v oblasti</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5428DB97"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Finanční oprava bude stanovena za neudržení dosažené hodnoty indikátorů:</w:t>
            </w:r>
          </w:p>
          <w:p w14:paraId="72B096E0" w14:textId="77777777" w:rsidR="00277403" w:rsidRPr="00277403" w:rsidRDefault="00277403" w:rsidP="00277403">
            <w:pPr>
              <w:pStyle w:val="Odstavecseseznamem"/>
              <w:numPr>
                <w:ilvl w:val="0"/>
                <w:numId w:val="15"/>
              </w:numPr>
              <w:spacing w:before="120" w:after="120" w:line="271" w:lineRule="auto"/>
              <w:jc w:val="both"/>
              <w:rPr>
                <w:rFonts w:ascii="Arial" w:hAnsi="Arial" w:cs="Arial"/>
                <w:snapToGrid w:val="0"/>
                <w:sz w:val="22"/>
                <w:szCs w:val="22"/>
                <w:lang w:eastAsia="zh-CN" w:bidi="ar"/>
              </w:rPr>
            </w:pPr>
            <w:r w:rsidRPr="00277403">
              <w:rPr>
                <w:rFonts w:ascii="Arial" w:hAnsi="Arial" w:cs="Arial"/>
                <w:i/>
                <w:iCs/>
                <w:snapToGrid w:val="0"/>
                <w:sz w:val="22"/>
                <w:szCs w:val="22"/>
                <w:lang w:eastAsia="zh-CN" w:bidi="ar"/>
              </w:rPr>
              <w:t>I.</w:t>
            </w:r>
            <w:r w:rsidRPr="00277403">
              <w:rPr>
                <w:rFonts w:ascii="Arial" w:hAnsi="Arial" w:cs="Arial"/>
                <w:snapToGrid w:val="0"/>
                <w:sz w:val="22"/>
                <w:szCs w:val="22"/>
                <w:lang w:eastAsia="zh-CN" w:bidi="ar"/>
              </w:rPr>
              <w:t xml:space="preserve"> a </w:t>
            </w:r>
            <w:r w:rsidRPr="00277403">
              <w:rPr>
                <w:rFonts w:ascii="Arial" w:hAnsi="Arial" w:cs="Arial"/>
                <w:i/>
                <w:iCs/>
                <w:snapToGrid w:val="0"/>
                <w:sz w:val="22"/>
                <w:szCs w:val="22"/>
                <w:lang w:eastAsia="zh-CN" w:bidi="ar"/>
              </w:rPr>
              <w:t>II.</w:t>
            </w:r>
            <w:r w:rsidRPr="00277403">
              <w:rPr>
                <w:rFonts w:ascii="Arial" w:hAnsi="Arial" w:cs="Arial"/>
                <w:snapToGrid w:val="0"/>
                <w:sz w:val="22"/>
                <w:szCs w:val="22"/>
                <w:lang w:eastAsia="zh-CN" w:bidi="ar"/>
              </w:rPr>
              <w:t xml:space="preserve"> na 100 %,</w:t>
            </w:r>
          </w:p>
          <w:p w14:paraId="7B98FC51" w14:textId="77777777" w:rsidR="00277403" w:rsidRPr="00277403" w:rsidRDefault="00277403" w:rsidP="00277403">
            <w:pPr>
              <w:pStyle w:val="Odstavecseseznamem"/>
              <w:numPr>
                <w:ilvl w:val="0"/>
                <w:numId w:val="15"/>
              </w:numPr>
              <w:spacing w:before="120" w:after="120" w:line="271" w:lineRule="auto"/>
              <w:jc w:val="both"/>
              <w:rPr>
                <w:rFonts w:ascii="Arial" w:hAnsi="Arial" w:cs="Arial"/>
                <w:snapToGrid w:val="0"/>
                <w:sz w:val="22"/>
                <w:szCs w:val="22"/>
                <w:lang w:eastAsia="zh-CN" w:bidi="ar"/>
              </w:rPr>
            </w:pPr>
            <w:r w:rsidRPr="00277403">
              <w:rPr>
                <w:rFonts w:ascii="Arial" w:hAnsi="Arial" w:cs="Arial"/>
                <w:i/>
                <w:iCs/>
                <w:snapToGrid w:val="0"/>
                <w:sz w:val="22"/>
                <w:szCs w:val="22"/>
                <w:lang w:eastAsia="zh-CN" w:bidi="ar"/>
              </w:rPr>
              <w:t>III.</w:t>
            </w:r>
            <w:r w:rsidRPr="00277403">
              <w:rPr>
                <w:rFonts w:ascii="Arial" w:hAnsi="Arial" w:cs="Arial"/>
                <w:snapToGrid w:val="0"/>
                <w:sz w:val="22"/>
                <w:szCs w:val="22"/>
                <w:lang w:eastAsia="zh-CN" w:bidi="ar"/>
              </w:rPr>
              <w:t xml:space="preserve"> na 95 % a více,</w:t>
            </w:r>
          </w:p>
          <w:p w14:paraId="3714B3D3" w14:textId="185FB133" w:rsidR="00277403" w:rsidRPr="00277403" w:rsidRDefault="00277403" w:rsidP="00277403">
            <w:pPr>
              <w:pStyle w:val="Odstavecseseznamem"/>
              <w:numPr>
                <w:ilvl w:val="0"/>
                <w:numId w:val="15"/>
              </w:numPr>
              <w:spacing w:before="120" w:after="120" w:line="271" w:lineRule="auto"/>
              <w:jc w:val="both"/>
              <w:rPr>
                <w:rFonts w:ascii="Arial" w:hAnsi="Arial" w:cs="Arial"/>
                <w:snapToGrid w:val="0"/>
                <w:sz w:val="22"/>
                <w:szCs w:val="22"/>
                <w:lang w:eastAsia="zh-CN" w:bidi="ar"/>
              </w:rPr>
            </w:pPr>
            <w:r w:rsidRPr="00277403">
              <w:rPr>
                <w:rFonts w:ascii="Arial" w:hAnsi="Arial" w:cs="Arial"/>
                <w:i/>
                <w:iCs/>
                <w:snapToGrid w:val="0"/>
                <w:sz w:val="22"/>
                <w:szCs w:val="22"/>
                <w:lang w:eastAsia="zh-CN" w:bidi="ar"/>
              </w:rPr>
              <w:t>IV.</w:t>
            </w:r>
            <w:r w:rsidRPr="00277403">
              <w:rPr>
                <w:rFonts w:ascii="Arial" w:hAnsi="Arial" w:cs="Arial"/>
                <w:snapToGrid w:val="0"/>
                <w:sz w:val="22"/>
                <w:szCs w:val="22"/>
                <w:lang w:eastAsia="zh-CN" w:bidi="ar"/>
              </w:rPr>
              <w:t xml:space="preserve"> za období </w:t>
            </w:r>
            <w:r>
              <w:rPr>
                <w:rFonts w:ascii="Arial" w:hAnsi="Arial" w:cs="Arial"/>
                <w:snapToGrid w:val="0"/>
                <w:sz w:val="22"/>
                <w:szCs w:val="22"/>
                <w:lang w:eastAsia="zh-CN" w:bidi="ar"/>
              </w:rPr>
              <w:t xml:space="preserve">daného </w:t>
            </w:r>
            <w:r w:rsidRPr="00277403">
              <w:rPr>
                <w:rFonts w:ascii="Arial" w:hAnsi="Arial" w:cs="Arial"/>
                <w:snapToGrid w:val="0"/>
                <w:sz w:val="22"/>
                <w:szCs w:val="22"/>
                <w:lang w:eastAsia="zh-CN" w:bidi="ar"/>
              </w:rPr>
              <w:t>roku udržitelnosti na 70 %</w:t>
            </w:r>
            <w:r w:rsidR="00263F6E">
              <w:rPr>
                <w:rFonts w:ascii="Arial" w:hAnsi="Arial" w:cs="Arial"/>
                <w:snapToGrid w:val="0"/>
                <w:sz w:val="22"/>
                <w:szCs w:val="22"/>
                <w:lang w:eastAsia="zh-CN" w:bidi="ar"/>
              </w:rPr>
              <w:t xml:space="preserve"> a více</w:t>
            </w:r>
            <w:r w:rsidRPr="00277403">
              <w:rPr>
                <w:rFonts w:ascii="Arial" w:hAnsi="Arial" w:cs="Arial"/>
                <w:snapToGrid w:val="0"/>
                <w:sz w:val="22"/>
                <w:szCs w:val="22"/>
                <w:lang w:eastAsia="zh-CN" w:bidi="ar"/>
              </w:rPr>
              <w:t>.</w:t>
            </w:r>
          </w:p>
          <w:p w14:paraId="641DC929" w14:textId="248FE530"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Finanční oprava bude vyčíslena v procentním rozmezí 0–100 %</w:t>
            </w:r>
            <w:r w:rsidR="00351B32">
              <w:rPr>
                <w:rFonts w:ascii="Arial" w:hAnsi="Arial" w:cs="Arial"/>
                <w:snapToGrid w:val="0"/>
                <w:sz w:val="22"/>
                <w:szCs w:val="22"/>
                <w:lang w:eastAsia="zh-CN" w:bidi="ar"/>
              </w:rPr>
              <w:t>,</w:t>
            </w:r>
            <w:r w:rsidRPr="00BF657C">
              <w:rPr>
                <w:rFonts w:ascii="Arial" w:hAnsi="Arial" w:cs="Arial"/>
                <w:snapToGrid w:val="0"/>
                <w:sz w:val="22"/>
                <w:szCs w:val="22"/>
                <w:lang w:eastAsia="zh-CN" w:bidi="ar"/>
              </w:rPr>
              <w:t xml:space="preserve"> </w:t>
            </w:r>
            <w:r w:rsidR="00351B32">
              <w:rPr>
                <w:rFonts w:ascii="Arial" w:hAnsi="Arial" w:cs="Arial"/>
                <w:snapToGrid w:val="0"/>
                <w:sz w:val="22"/>
                <w:szCs w:val="22"/>
                <w:lang w:eastAsia="zh-CN" w:bidi="ar"/>
              </w:rPr>
              <w:t>k</w:t>
            </w:r>
            <w:r w:rsidRPr="00BF657C">
              <w:rPr>
                <w:rFonts w:ascii="Arial" w:hAnsi="Arial" w:cs="Arial"/>
                <w:snapToGrid w:val="0"/>
                <w:sz w:val="22"/>
                <w:szCs w:val="22"/>
                <w:lang w:eastAsia="zh-CN" w:bidi="ar"/>
              </w:rPr>
              <w:t>onkrétní výše finanční opravy bude vypočítána u jednotlivých indikátorů následovně:</w:t>
            </w:r>
          </w:p>
          <w:p w14:paraId="65BB193C" w14:textId="4E04D1DB" w:rsidR="009132E6" w:rsidRPr="00351B32" w:rsidRDefault="00351B32" w:rsidP="0042247B">
            <w:pPr>
              <w:pStyle w:val="Odstavecseseznamem"/>
              <w:numPr>
                <w:ilvl w:val="0"/>
                <w:numId w:val="15"/>
              </w:numPr>
              <w:spacing w:before="120" w:after="120" w:line="271" w:lineRule="auto"/>
              <w:ind w:left="338" w:hanging="283"/>
              <w:jc w:val="both"/>
              <w:rPr>
                <w:rFonts w:ascii="Arial" w:hAnsi="Arial" w:cs="Arial"/>
                <w:snapToGrid w:val="0"/>
                <w:sz w:val="22"/>
                <w:szCs w:val="22"/>
                <w:lang w:eastAsia="zh-CN" w:bidi="ar"/>
              </w:rPr>
            </w:pPr>
            <w:r w:rsidRPr="00351B32">
              <w:rPr>
                <w:rFonts w:ascii="Arial" w:hAnsi="Arial" w:cs="Arial"/>
                <w:i/>
                <w:iCs/>
                <w:snapToGrid w:val="0"/>
                <w:sz w:val="22"/>
                <w:szCs w:val="22"/>
                <w:lang w:eastAsia="zh-CN" w:bidi="ar"/>
              </w:rPr>
              <w:t xml:space="preserve">u indikátorů </w:t>
            </w:r>
            <w:r w:rsidR="009132E6" w:rsidRPr="00351B32">
              <w:rPr>
                <w:rFonts w:ascii="Arial" w:hAnsi="Arial" w:cs="Arial"/>
                <w:i/>
                <w:iCs/>
                <w:snapToGrid w:val="0"/>
                <w:sz w:val="22"/>
                <w:szCs w:val="22"/>
                <w:lang w:eastAsia="zh-CN" w:bidi="ar"/>
              </w:rPr>
              <w:t>I.</w:t>
            </w:r>
            <w:r w:rsidRPr="00351B32">
              <w:rPr>
                <w:rFonts w:ascii="Arial" w:hAnsi="Arial" w:cs="Arial"/>
                <w:i/>
                <w:iCs/>
                <w:snapToGrid w:val="0"/>
                <w:sz w:val="22"/>
                <w:szCs w:val="22"/>
                <w:lang w:eastAsia="zh-CN" w:bidi="ar"/>
              </w:rPr>
              <w:t xml:space="preserve"> a II.</w:t>
            </w:r>
            <w:r w:rsidR="009132E6" w:rsidRPr="00351B32">
              <w:rPr>
                <w:rFonts w:ascii="Arial" w:hAnsi="Arial" w:cs="Arial"/>
                <w:snapToGrid w:val="0"/>
                <w:sz w:val="22"/>
                <w:szCs w:val="22"/>
                <w:lang w:eastAsia="zh-CN" w:bidi="ar"/>
              </w:rPr>
              <w:t xml:space="preserve"> v poměrné výši zohledňující dosaženou hodnotu indikátoru a skutečně udrženou hodnotu indikátoru,</w:t>
            </w:r>
          </w:p>
          <w:p w14:paraId="55C40FDA" w14:textId="6CBD75F7" w:rsidR="009132E6" w:rsidRPr="00351B32" w:rsidRDefault="00351B32" w:rsidP="0042247B">
            <w:pPr>
              <w:pStyle w:val="Odstavecseseznamem"/>
              <w:numPr>
                <w:ilvl w:val="0"/>
                <w:numId w:val="15"/>
              </w:numPr>
              <w:spacing w:before="120" w:after="120" w:line="271" w:lineRule="auto"/>
              <w:ind w:left="338" w:hanging="283"/>
              <w:jc w:val="both"/>
              <w:rPr>
                <w:rFonts w:ascii="Arial" w:hAnsi="Arial" w:cs="Arial"/>
                <w:sz w:val="22"/>
                <w:szCs w:val="22"/>
                <w:lang w:eastAsia="zh-CN" w:bidi="ar"/>
              </w:rPr>
            </w:pPr>
            <w:r w:rsidRPr="00351B32">
              <w:rPr>
                <w:rFonts w:ascii="Arial" w:hAnsi="Arial" w:cs="Arial"/>
                <w:i/>
                <w:iCs/>
                <w:snapToGrid w:val="0"/>
                <w:sz w:val="22"/>
                <w:szCs w:val="22"/>
                <w:lang w:eastAsia="zh-CN" w:bidi="ar"/>
              </w:rPr>
              <w:t xml:space="preserve">u indikátorů </w:t>
            </w:r>
            <w:r w:rsidR="009132E6" w:rsidRPr="00351B32">
              <w:rPr>
                <w:rFonts w:ascii="Arial" w:hAnsi="Arial" w:cs="Arial"/>
                <w:i/>
                <w:iCs/>
                <w:snapToGrid w:val="0"/>
                <w:sz w:val="22"/>
                <w:szCs w:val="22"/>
                <w:lang w:eastAsia="zh-CN" w:bidi="ar"/>
              </w:rPr>
              <w:t>II</w:t>
            </w:r>
            <w:r w:rsidRPr="00351B32">
              <w:rPr>
                <w:rFonts w:ascii="Arial" w:hAnsi="Arial" w:cs="Arial"/>
                <w:i/>
                <w:iCs/>
                <w:snapToGrid w:val="0"/>
                <w:sz w:val="22"/>
                <w:szCs w:val="22"/>
                <w:lang w:eastAsia="zh-CN" w:bidi="ar"/>
              </w:rPr>
              <w:t>I</w:t>
            </w:r>
            <w:r>
              <w:rPr>
                <w:rFonts w:ascii="Arial" w:hAnsi="Arial" w:cs="Arial"/>
                <w:i/>
                <w:iCs/>
                <w:snapToGrid w:val="0"/>
                <w:sz w:val="22"/>
                <w:szCs w:val="22"/>
                <w:lang w:eastAsia="zh-CN" w:bidi="ar"/>
              </w:rPr>
              <w:t>.</w:t>
            </w:r>
            <w:r w:rsidRPr="00351B32">
              <w:rPr>
                <w:rFonts w:ascii="Arial" w:hAnsi="Arial" w:cs="Arial"/>
                <w:i/>
                <w:iCs/>
                <w:snapToGrid w:val="0"/>
                <w:sz w:val="22"/>
                <w:szCs w:val="22"/>
                <w:lang w:eastAsia="zh-CN" w:bidi="ar"/>
              </w:rPr>
              <w:t xml:space="preserve"> a IV.</w:t>
            </w:r>
            <w:r w:rsidR="009132E6" w:rsidRPr="00351B32">
              <w:rPr>
                <w:rFonts w:ascii="Arial" w:hAnsi="Arial" w:cs="Arial"/>
                <w:snapToGrid w:val="0"/>
                <w:sz w:val="22"/>
                <w:szCs w:val="22"/>
                <w:lang w:eastAsia="zh-CN" w:bidi="ar"/>
              </w:rPr>
              <w:t xml:space="preserve"> v poměrné výši zohledňující dosaženou hodnotu indikátoru se započtením minimální hranice tolerančního pásma a skutečně udrženou hodnotu indikátoru. </w:t>
            </w:r>
          </w:p>
          <w:p w14:paraId="5DA0FE1A"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351B32">
              <w:rPr>
                <w:rFonts w:ascii="Arial" w:hAnsi="Arial" w:cs="Arial"/>
                <w:sz w:val="22"/>
                <w:szCs w:val="22"/>
                <w:lang w:eastAsia="zh-CN" w:bidi="ar"/>
              </w:rPr>
              <w:t>U indikátorů s nenulovou výchozí</w:t>
            </w:r>
            <w:r w:rsidRPr="00BF657C">
              <w:rPr>
                <w:rFonts w:ascii="Arial" w:hAnsi="Arial" w:cs="Arial"/>
                <w:sz w:val="22"/>
                <w:szCs w:val="22"/>
                <w:lang w:eastAsia="zh-CN" w:bidi="ar"/>
              </w:rPr>
              <w:t xml:space="preserve"> hodnotou se výpočet udržení vždy vztahuje pouze k nárůstu/poklesu, který se váže k období, kdy byl projekt realizován, fakticky tedy k rozdílu mezi cílovou a výchozí hodnotou. </w:t>
            </w:r>
          </w:p>
          <w:p w14:paraId="04411878"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0547215" w14:textId="0B0F118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V případě indikátorů (</w:t>
            </w:r>
            <w:r w:rsidR="00277403" w:rsidRPr="00351B32">
              <w:rPr>
                <w:rFonts w:ascii="Arial" w:hAnsi="Arial" w:cs="Arial"/>
                <w:i/>
                <w:iCs/>
                <w:snapToGrid w:val="0"/>
                <w:sz w:val="22"/>
                <w:szCs w:val="22"/>
              </w:rPr>
              <w:t>IV.</w:t>
            </w:r>
            <w:r w:rsidRPr="00BF657C">
              <w:rPr>
                <w:rFonts w:ascii="Arial" w:hAnsi="Arial" w:cs="Arial"/>
                <w:snapToGrid w:val="0"/>
                <w:sz w:val="22"/>
                <w:szCs w:val="22"/>
              </w:rPr>
              <w:t>) naplňovaných za 1. rok udržitelnosti je jejich udržení zkoumáno až od 2. roku udržitelnosti.</w:t>
            </w:r>
          </w:p>
          <w:p w14:paraId="52A97C33" w14:textId="2A1DACC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263F6E">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6"/>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Finanční oprava bude stanovena ve výši 10 %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29B48B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7"/>
            </w:r>
            <w:r w:rsidRPr="00BF657C">
              <w:rPr>
                <w:rFonts w:ascii="Arial" w:hAnsi="Arial" w:cs="Arial"/>
                <w:snapToGrid w:val="0"/>
                <w:sz w:val="22"/>
                <w:szCs w:val="22"/>
              </w:rPr>
              <w:t xml:space="preserve">, </w:t>
            </w:r>
            <w:r w:rsidRPr="00BF657C">
              <w:rPr>
                <w:rFonts w:ascii="Arial" w:hAnsi="Arial" w:cs="Arial"/>
                <w:snapToGrid w:val="0"/>
                <w:sz w:val="22"/>
                <w:szCs w:val="22"/>
              </w:rPr>
              <w:lastRenderedPageBreak/>
              <w:t>související s realizací projektu, minimálně do konce roku 203</w:t>
            </w:r>
            <w:r w:rsidR="00F37DB0">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81EEC0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F37DB0">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AOPK, PO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28EECE58"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 archivace do roku 203</w:t>
            </w:r>
            <w:r w:rsidR="00F37DB0">
              <w:rPr>
                <w:rFonts w:ascii="Arial" w:hAnsi="Arial" w:cs="Arial"/>
                <w:snapToGrid w:val="0"/>
                <w:sz w:val="22"/>
                <w:szCs w:val="22"/>
              </w:rPr>
              <w:t>5</w:t>
            </w:r>
            <w:bookmarkStart w:id="11" w:name="_GoBack"/>
            <w:bookmarkEnd w:id="11"/>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lastRenderedPageBreak/>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Finanční oprava bude stanovena ve výši 100 % částky poskytnuté dotace, resp. 100 % výdajů za danou zakázku. </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lastRenderedPageBreak/>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10 000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3992FC2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ástroj chybí zcela - 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 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 v </w:t>
            </w:r>
            <w:r w:rsidRPr="00BF657C">
              <w:rPr>
                <w:rFonts w:ascii="Arial" w:hAnsi="Arial" w:cs="Arial"/>
                <w:snapToGrid w:val="0"/>
                <w:sz w:val="22"/>
                <w:szCs w:val="22"/>
              </w:rPr>
              <w:lastRenderedPageBreak/>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V případě, že nesplnění některé z výše uvedených podmínek (část IV) má vliv na plnění kritérií hodnocení, na základě něhož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8CAD050"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 xml:space="preserve">Pokud příjemce dotace neprovede uložená opatření k nápravě nebo nevrátí dotaci nebo její část ve 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8D0FB2">
        <w:rPr>
          <w:rFonts w:ascii="Arial" w:hAnsi="Arial" w:cs="Arial"/>
          <w:b/>
          <w:i/>
          <w:snapToGrid w:val="0"/>
          <w:sz w:val="22"/>
          <w:szCs w:val="22"/>
        </w:rPr>
        <w:t>Veřejná podpora</w:t>
      </w:r>
    </w:p>
    <w:p w14:paraId="4999B7AF" w14:textId="2E2F2335"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w:t>
      </w:r>
      <w:r w:rsidRPr="008D0FB2">
        <w:rPr>
          <w:rFonts w:ascii="Arial" w:hAnsi="Arial" w:cs="Arial"/>
          <w:b w:val="0"/>
          <w:i w:val="0"/>
          <w:sz w:val="22"/>
          <w:szCs w:val="22"/>
        </w:rPr>
        <w:lastRenderedPageBreak/>
        <w:t xml:space="preserve">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E322C8">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43586541"/>
      <w:docPartObj>
        <w:docPartGallery w:val="Page Numbers (Bottom of Page)"/>
        <w:docPartUnique/>
      </w:docPartObj>
    </w:sdtPr>
    <w:sdtEndPr/>
    <w:sdtContent>
      <w:p w14:paraId="3AD5A18D" w14:textId="073F7226" w:rsidR="004C5E47" w:rsidRDefault="004C5E47">
        <w:pPr>
          <w:pStyle w:val="Zpat"/>
          <w:jc w:val="right"/>
        </w:pPr>
        <w:r>
          <w:fldChar w:fldCharType="begin"/>
        </w:r>
        <w:r>
          <w:instrText>PAGE   \* MERGEFORMAT</w:instrText>
        </w:r>
        <w:r>
          <w:fldChar w:fldCharType="separate"/>
        </w:r>
        <w:r>
          <w:t>2</w:t>
        </w:r>
        <w:r>
          <w:fldChar w:fldCharType="end"/>
        </w:r>
      </w:p>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77777777"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pPr>
        <w:pStyle w:val="Textpoznpodarou"/>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77777777"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 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 o 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7B27E831" w14:textId="77777777"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 vydání změnového Rozhodnutí, rozhodující je hodnota uvedená v MS2021+.</w:t>
      </w:r>
    </w:p>
  </w:footnote>
  <w:footnote w:id="14">
    <w:p w14:paraId="277A9A7F" w14:textId="61666791" w:rsidR="00263F6E" w:rsidRDefault="00263F6E">
      <w:pPr>
        <w:pStyle w:val="Textpoznpodarou"/>
      </w:pPr>
      <w:r>
        <w:rPr>
          <w:rStyle w:val="Znakapoznpodarou"/>
        </w:rPr>
        <w:footnoteRef/>
      </w:r>
      <w:r>
        <w:t xml:space="preserve"> </w:t>
      </w:r>
      <w:bookmarkStart w:id="9" w:name="_Hlk109895410"/>
      <w:r>
        <w:rPr>
          <w:rFonts w:ascii="Arial" w:hAnsi="Arial" w:cs="Arial"/>
          <w:sz w:val="18"/>
          <w:szCs w:val="18"/>
        </w:rPr>
        <w:t>Vyšší než cílové hodnoty znamená udržování lepšího než plánovaného či dosaženého stavu.</w:t>
      </w:r>
      <w:bookmarkEnd w:id="9"/>
    </w:p>
  </w:footnote>
  <w:footnote w:id="15">
    <w:p w14:paraId="4F7ADB96" w14:textId="30A0122C" w:rsidR="00263F6E" w:rsidRDefault="00263F6E" w:rsidP="00263F6E">
      <w:pPr>
        <w:pStyle w:val="Textpoznpodarou"/>
      </w:pPr>
      <w:r>
        <w:rPr>
          <w:rStyle w:val="Znakapoznpodarou"/>
        </w:rPr>
        <w:footnoteRef/>
      </w:r>
      <w:r>
        <w:t xml:space="preserve"> </w:t>
      </w:r>
      <w:r w:rsidRPr="00263F6E">
        <w:rPr>
          <w:rFonts w:ascii="Arial" w:hAnsi="Arial" w:cs="Arial"/>
          <w:sz w:val="18"/>
          <w:szCs w:val="18"/>
        </w:rPr>
        <w:t>Vyšší než cílové hodnoty znamená udržování lepšího než plánovaného či dosaženého stavu.</w:t>
      </w:r>
    </w:p>
  </w:footnote>
  <w:footnote w:id="16">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7">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23D024DB"/>
    <w:lvl w:ilvl="0">
      <w:start w:val="1"/>
      <w:numFmt w:val="decimal"/>
      <w:lvlText w:val="%1."/>
      <w:lvlJc w:val="left"/>
      <w:pPr>
        <w:tabs>
          <w:tab w:val="left" w:pos="786"/>
        </w:tabs>
        <w:ind w:left="786" w:hanging="360"/>
      </w:pPr>
      <w:rPr>
        <w:rFonts w:hint="default"/>
        <w:b w:val="0"/>
        <w:color w:val="auto"/>
        <w:sz w:val="24"/>
        <w:szCs w:val="24"/>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7296517C"/>
    <w:lvl w:ilvl="0" w:tplc="04050001">
      <w:start w:val="1"/>
      <w:numFmt w:val="bullet"/>
      <w:lvlText w:val=""/>
      <w:lvlJc w:val="left"/>
      <w:pPr>
        <w:ind w:left="917" w:hanging="360"/>
      </w:pPr>
      <w:rPr>
        <w:rFonts w:ascii="Symbol" w:hAnsi="Symbol" w:hint="default"/>
      </w:rPr>
    </w:lvl>
    <w:lvl w:ilvl="1" w:tplc="04050001">
      <w:start w:val="1"/>
      <w:numFmt w:val="bullet"/>
      <w:lvlText w:val=""/>
      <w:lvlJc w:val="left"/>
      <w:pPr>
        <w:ind w:left="1637" w:hanging="360"/>
      </w:pPr>
      <w:rPr>
        <w:rFonts w:ascii="Symbol" w:hAnsi="Symbol"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23D024DB"/>
    <w:lvl w:ilvl="0">
      <w:start w:val="1"/>
      <w:numFmt w:val="decimal"/>
      <w:lvlText w:val="%1."/>
      <w:lvlJc w:val="left"/>
      <w:pPr>
        <w:tabs>
          <w:tab w:val="left" w:pos="786"/>
        </w:tabs>
        <w:ind w:left="786" w:hanging="360"/>
      </w:pPr>
      <w:rPr>
        <w:rFonts w:hint="default"/>
        <w:b w:val="0"/>
        <w:color w:val="auto"/>
        <w:sz w:val="24"/>
        <w:szCs w:val="24"/>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2"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9"/>
  </w:num>
  <w:num w:numId="2">
    <w:abstractNumId w:val="28"/>
  </w:num>
  <w:num w:numId="3">
    <w:abstractNumId w:val="2"/>
  </w:num>
  <w:num w:numId="4">
    <w:abstractNumId w:val="7"/>
  </w:num>
  <w:num w:numId="5">
    <w:abstractNumId w:val="12"/>
  </w:num>
  <w:num w:numId="6">
    <w:abstractNumId w:val="18"/>
  </w:num>
  <w:num w:numId="7">
    <w:abstractNumId w:val="6"/>
  </w:num>
  <w:num w:numId="8">
    <w:abstractNumId w:val="24"/>
  </w:num>
  <w:num w:numId="9">
    <w:abstractNumId w:val="31"/>
  </w:num>
  <w:num w:numId="10">
    <w:abstractNumId w:val="27"/>
  </w:num>
  <w:num w:numId="11">
    <w:abstractNumId w:val="8"/>
  </w:num>
  <w:num w:numId="12">
    <w:abstractNumId w:val="10"/>
  </w:num>
  <w:num w:numId="13">
    <w:abstractNumId w:val="33"/>
  </w:num>
  <w:num w:numId="14">
    <w:abstractNumId w:val="29"/>
  </w:num>
  <w:num w:numId="15">
    <w:abstractNumId w:val="13"/>
  </w:num>
  <w:num w:numId="16">
    <w:abstractNumId w:val="20"/>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3"/>
  </w:num>
  <w:num w:numId="24">
    <w:abstractNumId w:val="3"/>
  </w:num>
  <w:num w:numId="25">
    <w:abstractNumId w:val="1"/>
  </w:num>
  <w:num w:numId="26">
    <w:abstractNumId w:val="26"/>
  </w:num>
  <w:num w:numId="27">
    <w:abstractNumId w:val="21"/>
  </w:num>
  <w:num w:numId="28">
    <w:abstractNumId w:val="9"/>
  </w:num>
  <w:num w:numId="29">
    <w:abstractNumId w:val="25"/>
  </w:num>
  <w:num w:numId="30">
    <w:abstractNumId w:val="32"/>
  </w:num>
  <w:num w:numId="31">
    <w:abstractNumId w:val="22"/>
  </w:num>
  <w:num w:numId="32">
    <w:abstractNumId w:val="0"/>
  </w:num>
  <w:num w:numId="33">
    <w:abstractNumId w:val="11"/>
  </w:num>
  <w:num w:numId="34">
    <w:abstractNumId w:val="3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7372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5E47"/>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4BA"/>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4CF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37DB0"/>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0.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s:customData xmlns="http://www.wps.cn/officeDocument/2013/wpsCustomData" xmlns:s="http://www.wps.cn/officeDocument/2013/wpsCustomData">
  <customSectProps>
    <customSectPr/>
  </customSectProps>
</s:customDat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mso-contentType ?>
<FormTemplates xmlns="http://schemas.microsoft.com/sharepoint/v3/contenttype/forms">
  <Display>DocumentLibraryForm</Display>
  <Edit>DocumentLibraryForm</Edit>
  <New>DocumentLibraryForm</New>
</FormTemplates>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AECFE9-10E6-4AB0-8163-A72CF5DB0AE0}">
  <ds:schemaRefs>
    <ds:schemaRef ds:uri="http://purl.org/dc/dcmitype/"/>
    <ds:schemaRef ds:uri="http://purl.org/dc/elements/1.1/"/>
    <ds:schemaRef ds:uri="http://schemas.microsoft.com/office/infopath/2007/PartnerControls"/>
    <ds:schemaRef ds:uri="96f83003-48fd-4f52-836f-d78a4dd9c06d"/>
    <ds:schemaRef ds:uri="http://www.w3.org/XML/1998/namespace"/>
    <ds:schemaRef ds:uri="http://schemas.openxmlformats.org/package/2006/metadata/core-properties"/>
    <ds:schemaRef ds:uri="http://schemas.microsoft.com/office/2006/metadata/properties"/>
    <ds:schemaRef ds:uri="38a97ebd-7b55-4e0a-b11e-b1f20907ee6a"/>
    <ds:schemaRef ds:uri="http://schemas.microsoft.com/office/2006/documentManagement/types"/>
    <ds:schemaRef ds:uri="http://purl.org/dc/terms/"/>
  </ds:schemaRefs>
</ds:datastoreItem>
</file>

<file path=customXml/itemProps10.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1.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1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3.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14.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5.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16.xml><?xml version="1.0" encoding="utf-8"?>
<ds:datastoreItem xmlns:ds="http://schemas.openxmlformats.org/officeDocument/2006/customXml" ds:itemID="{D2078CF1-A9CB-461E-8F9B-04B3598DF705}">
  <ds:schemaRefs>
    <ds:schemaRef ds:uri="http://schemas.openxmlformats.org/officeDocument/2006/bibliography"/>
  </ds:schemaRefs>
</ds:datastoreItem>
</file>

<file path=customXml/itemProps17.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18.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19.xml><?xml version="1.0" encoding="utf-8"?>
<ds:datastoreItem xmlns:ds="http://schemas.openxmlformats.org/officeDocument/2006/customXml" ds:itemID="{FAB69486-047C-4CD9-AF5F-3AF86FC18209}">
  <ds:schemaRefs>
    <ds:schemaRef ds:uri="http://schemas.openxmlformats.org/officeDocument/2006/bibliography"/>
  </ds:schemaRefs>
</ds:datastoreItem>
</file>

<file path=customXml/itemProps2.xml><?xml version="1.0" encoding="utf-8"?>
<ds:datastoreItem xmlns:ds="http://schemas.openxmlformats.org/officeDocument/2006/customXml" ds:itemID="{061ED55C-4334-44C2-9E9F-AF710860CD3B}">
  <ds:schemaRefs>
    <ds:schemaRef ds:uri="http://schemas.openxmlformats.org/officeDocument/2006/bibliography"/>
  </ds:schemaRefs>
</ds:datastoreItem>
</file>

<file path=customXml/itemProps20.xml><?xml version="1.0" encoding="utf-8"?>
<ds:datastoreItem xmlns:ds="http://schemas.openxmlformats.org/officeDocument/2006/customXml" ds:itemID="{532F0FEA-F6AD-4D7A-85D1-73A9F8E5375D}">
  <ds:schemaRefs>
    <ds:schemaRef ds:uri="http://schemas.openxmlformats.org/officeDocument/2006/bibliography"/>
  </ds:schemaRefs>
</ds:datastoreItem>
</file>

<file path=customXml/itemProps21.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22.xml><?xml version="1.0" encoding="utf-8"?>
<ds:datastoreItem xmlns:ds="http://schemas.openxmlformats.org/officeDocument/2006/customXml" ds:itemID="{2D9B5390-83C2-4EA7-B4AE-0674B2F5EC54}">
  <ds:schemaRefs>
    <ds:schemaRef ds:uri="http://schemas.openxmlformats.org/officeDocument/2006/bibliography"/>
  </ds:schemaRefs>
</ds:datastoreItem>
</file>

<file path=customXml/itemProps23.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24.xml><?xml version="1.0" encoding="utf-8"?>
<ds:datastoreItem xmlns:ds="http://schemas.openxmlformats.org/officeDocument/2006/customXml" ds:itemID="{0C79B25A-2E17-4094-AD10-FE8CD5A4F3D0}">
  <ds:schemaRefs>
    <ds:schemaRef ds:uri="http://schemas.openxmlformats.org/officeDocument/2006/bibliography"/>
  </ds:schemaRefs>
</ds:datastoreItem>
</file>

<file path=customXml/itemProps25.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26.xml><?xml version="1.0" encoding="utf-8"?>
<ds:datastoreItem xmlns:ds="http://schemas.openxmlformats.org/officeDocument/2006/customXml" ds:itemID="{E347EDB6-079E-4396-BB0E-FE0B6686954B}">
  <ds:schemaRefs>
    <ds:schemaRef ds:uri="http://schemas.openxmlformats.org/officeDocument/2006/bibliography"/>
  </ds:schemaRefs>
</ds:datastoreItem>
</file>

<file path=customXml/itemProps3.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4.xml><?xml version="1.0" encoding="utf-8"?>
<ds:datastoreItem xmlns:ds="http://schemas.openxmlformats.org/officeDocument/2006/customXml" ds:itemID="{04D43D70-FC18-48FF-B9A2-48C97B9FA63D}">
  <ds:schemaRefs>
    <ds:schemaRef ds:uri="http://schemas.openxmlformats.org/officeDocument/2006/bibliography"/>
  </ds:schemaRefs>
</ds:datastoreItem>
</file>

<file path=customXml/itemProps5.xml><?xml version="1.0" encoding="utf-8"?>
<ds:datastoreItem xmlns:ds="http://schemas.openxmlformats.org/officeDocument/2006/customXml" ds:itemID="{9BAE984F-A25F-4A83-ACA4-BEE32DA98E7C}">
  <ds:schemaRefs>
    <ds:schemaRef ds:uri="http://schemas.openxmlformats.org/officeDocument/2006/bibliography"/>
  </ds:schemaRefs>
</ds:datastoreItem>
</file>

<file path=customXml/itemProps6.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7.xml><?xml version="1.0" encoding="utf-8"?>
<ds:datastoreItem xmlns:ds="http://schemas.openxmlformats.org/officeDocument/2006/customXml" ds:itemID="{896F23D9-D253-4624-AFBA-A1EB75EEA941}">
  <ds:schemaRefs>
    <ds:schemaRef ds:uri="http://schemas.openxmlformats.org/officeDocument/2006/bibliography"/>
  </ds:schemaRefs>
</ds:datastoreItem>
</file>

<file path=customXml/itemProps8.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9.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Pages>
  <Words>3760</Words>
  <Characters>21470</Characters>
  <Application>Microsoft Office Word</Application>
  <DocSecurity>0</DocSecurity>
  <Lines>178</Lines>
  <Paragraphs>50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Fišerová Martina</cp:lastModifiedBy>
  <cp:revision>8</cp:revision>
  <cp:lastPrinted>2022-07-27T10:25:00Z</cp:lastPrinted>
  <dcterms:created xsi:type="dcterms:W3CDTF">2022-07-28T09:38:00Z</dcterms:created>
  <dcterms:modified xsi:type="dcterms:W3CDTF">2022-07-28T10:55:00Z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