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689" w:rsidRPr="00543CED" w:rsidRDefault="008F3689" w:rsidP="00543CED">
      <w:pPr>
        <w:pStyle w:val="Zkladnodstavec"/>
        <w:rPr>
          <w:rFonts w:asciiTheme="majorHAnsi" w:hAnsiTheme="majorHAnsi" w:cs="MyriadPro-Black"/>
          <w:caps/>
          <w:sz w:val="72"/>
          <w:szCs w:val="72"/>
        </w:rPr>
      </w:pPr>
    </w:p>
    <w:p w:rsidR="008F3689" w:rsidRPr="00B304E9" w:rsidRDefault="008F3689" w:rsidP="00543CED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8F3689" w:rsidRDefault="008F3689" w:rsidP="008F3689">
      <w:pPr>
        <w:rPr>
          <w:rFonts w:ascii="Arial" w:hAnsi="Arial" w:cs="Arial"/>
          <w:b/>
          <w:sz w:val="40"/>
          <w:szCs w:val="40"/>
        </w:rPr>
      </w:pPr>
    </w:p>
    <w:p w:rsidR="008F3689" w:rsidRDefault="008F3689" w:rsidP="008F3689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8F3689" w:rsidRDefault="008F3689" w:rsidP="008F3689"/>
    <w:p w:rsidR="00D647F5" w:rsidRPr="003756C2" w:rsidRDefault="00D647F5" w:rsidP="00D647F5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D647F5" w:rsidRPr="00B87595" w:rsidRDefault="00D647F5" w:rsidP="00D647F5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8F3689" w:rsidRDefault="008F3689" w:rsidP="008F3689">
      <w:pPr>
        <w:rPr>
          <w:rFonts w:asciiTheme="majorHAnsi" w:hAnsiTheme="majorHAnsi" w:cs="Arial"/>
          <w:b/>
          <w:sz w:val="40"/>
          <w:szCs w:val="40"/>
        </w:rPr>
      </w:pPr>
    </w:p>
    <w:p w:rsidR="00D647F5" w:rsidRPr="00D647F5" w:rsidRDefault="00D647F5" w:rsidP="008F3689">
      <w:pPr>
        <w:rPr>
          <w:rFonts w:asciiTheme="majorHAnsi" w:hAnsiTheme="majorHAnsi" w:cs="Arial"/>
          <w:b/>
          <w:sz w:val="40"/>
          <w:szCs w:val="40"/>
        </w:rPr>
      </w:pPr>
    </w:p>
    <w:p w:rsidR="00D647F5" w:rsidRDefault="00D647F5" w:rsidP="00D647F5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>SPECIFICKÝ CÍL 3.3</w:t>
      </w:r>
    </w:p>
    <w:p w:rsidR="00D647F5" w:rsidRPr="00D647F5" w:rsidRDefault="00D647F5" w:rsidP="00D647F5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 výzva č. 2</w:t>
      </w:r>
    </w:p>
    <w:p w:rsidR="00D647F5" w:rsidRDefault="00D647F5" w:rsidP="008F3689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F3689" w:rsidRPr="00931A63" w:rsidRDefault="008F3689" w:rsidP="008F3689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7A361A">
        <w:rPr>
          <w:rFonts w:asciiTheme="majorHAnsi" w:hAnsiTheme="majorHAnsi" w:cs="MyriadPro-Black"/>
          <w:caps/>
          <w:sz w:val="40"/>
          <w:szCs w:val="40"/>
        </w:rPr>
        <w:t>3</w:t>
      </w:r>
    </w:p>
    <w:p w:rsidR="008F3689" w:rsidRDefault="008F3689" w:rsidP="008F3689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8F3689" w:rsidRDefault="008F3689" w:rsidP="00D647F5">
      <w:pPr>
        <w:tabs>
          <w:tab w:val="left" w:pos="5055"/>
        </w:tabs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Metodický list indikátorů</w:t>
      </w:r>
    </w:p>
    <w:p w:rsidR="008F3689" w:rsidRDefault="008F3689" w:rsidP="008F3689">
      <w:pPr>
        <w:tabs>
          <w:tab w:val="left" w:pos="5055"/>
        </w:tabs>
        <w:jc w:val="center"/>
      </w:pPr>
    </w:p>
    <w:p w:rsidR="008F3689" w:rsidRDefault="008F3689" w:rsidP="008F3689">
      <w:pPr>
        <w:tabs>
          <w:tab w:val="left" w:pos="5055"/>
        </w:tabs>
        <w:jc w:val="center"/>
      </w:pPr>
    </w:p>
    <w:p w:rsidR="008F3689" w:rsidRDefault="008F3689" w:rsidP="008F3689">
      <w:pPr>
        <w:tabs>
          <w:tab w:val="left" w:pos="5055"/>
        </w:tabs>
        <w:jc w:val="center"/>
      </w:pPr>
    </w:p>
    <w:p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D647F5" w:rsidRDefault="00D647F5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8F3689" w:rsidRPr="007979A3" w:rsidRDefault="008F3689" w:rsidP="008F3689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7979A3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DD42A6">
        <w:rPr>
          <w:rFonts w:asciiTheme="majorHAnsi" w:hAnsiTheme="majorHAnsi" w:cs="MyriadPro-Black"/>
          <w:caps/>
          <w:sz w:val="32"/>
          <w:szCs w:val="40"/>
        </w:rPr>
        <w:t>11</w:t>
      </w:r>
      <w:r w:rsidR="003B59AE">
        <w:rPr>
          <w:rFonts w:asciiTheme="majorHAnsi" w:hAnsiTheme="majorHAnsi" w:cs="MyriadPro-Black"/>
          <w:caps/>
          <w:sz w:val="32"/>
          <w:szCs w:val="40"/>
        </w:rPr>
        <w:t>.</w:t>
      </w:r>
      <w:r w:rsidR="002514A3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3B59AE">
        <w:rPr>
          <w:rFonts w:asciiTheme="majorHAnsi" w:hAnsiTheme="majorHAnsi" w:cs="MyriadPro-Black"/>
          <w:caps/>
          <w:sz w:val="32"/>
          <w:szCs w:val="40"/>
        </w:rPr>
        <w:t>11</w:t>
      </w:r>
      <w:r w:rsidRPr="007979A3">
        <w:rPr>
          <w:rFonts w:asciiTheme="majorHAnsi" w:hAnsiTheme="majorHAnsi" w:cs="MyriadPro-Black"/>
          <w:caps/>
          <w:sz w:val="32"/>
          <w:szCs w:val="40"/>
        </w:rPr>
        <w:t xml:space="preserve">. </w:t>
      </w:r>
      <w:bookmarkStart w:id="0" w:name="_GoBack"/>
      <w:r w:rsidRPr="007979A3">
        <w:rPr>
          <w:rFonts w:asciiTheme="majorHAnsi" w:hAnsiTheme="majorHAnsi" w:cs="MyriadPro-Black"/>
          <w:caps/>
          <w:sz w:val="32"/>
          <w:szCs w:val="40"/>
        </w:rPr>
        <w:t>201</w:t>
      </w:r>
      <w:r w:rsidR="00DD42A6">
        <w:rPr>
          <w:rFonts w:asciiTheme="majorHAnsi" w:hAnsiTheme="majorHAnsi" w:cs="MyriadPro-Black"/>
          <w:caps/>
          <w:sz w:val="32"/>
          <w:szCs w:val="40"/>
        </w:rPr>
        <w:t>9</w:t>
      </w:r>
      <w:bookmarkEnd w:id="0"/>
    </w:p>
    <w:p w:rsidR="008F3689" w:rsidRPr="004347E5" w:rsidRDefault="008F3689" w:rsidP="008F3689">
      <w:pPr>
        <w:tabs>
          <w:tab w:val="left" w:pos="5055"/>
        </w:tabs>
      </w:pPr>
      <w:r>
        <w:br w:type="page"/>
      </w:r>
    </w:p>
    <w:tbl>
      <w:tblPr>
        <w:tblW w:w="980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4"/>
        <w:gridCol w:w="1843"/>
        <w:gridCol w:w="992"/>
        <w:gridCol w:w="1134"/>
        <w:gridCol w:w="1843"/>
        <w:gridCol w:w="1826"/>
      </w:tblGrid>
      <w:tr w:rsidR="00E555A1" w:rsidRPr="0098535B" w:rsidTr="00510CE2">
        <w:trPr>
          <w:trHeight w:val="390"/>
          <w:jc w:val="center"/>
        </w:trPr>
        <w:tc>
          <w:tcPr>
            <w:tcW w:w="9802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E555A1" w:rsidRPr="001634C6" w:rsidRDefault="00E555A1" w:rsidP="00270810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1634C6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744284" w:rsidRPr="001634C6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E555A1" w:rsidRPr="0098535B" w:rsidTr="00510CE2">
        <w:trPr>
          <w:trHeight w:val="328"/>
          <w:jc w:val="center"/>
        </w:trPr>
        <w:tc>
          <w:tcPr>
            <w:tcW w:w="9802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E555A1" w:rsidRPr="001634C6" w:rsidRDefault="00744284" w:rsidP="00270810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1634C6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Název indikátoru</w:t>
            </w:r>
            <w:r w:rsidR="00E555A1" w:rsidRPr="001634C6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555A1" w:rsidRPr="0098535B" w:rsidTr="00510CE2">
        <w:trPr>
          <w:trHeight w:val="312"/>
          <w:jc w:val="center"/>
        </w:trPr>
        <w:tc>
          <w:tcPr>
            <w:tcW w:w="9802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E555A1" w:rsidRPr="001634C6" w:rsidRDefault="00E555A1" w:rsidP="00E555A1">
            <w:pPr>
              <w:spacing w:before="120" w:after="12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1634C6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PLOCHA ÚZEMÍ POKRYTÁ ÚZEMNÍM PLÁNEM, REGULAČNÍM PLÁNEM A ÚZEMNÍ STUDIÍ</w:t>
            </w:r>
          </w:p>
        </w:tc>
      </w:tr>
      <w:tr w:rsidR="00E555A1" w:rsidRPr="0098535B" w:rsidTr="00510CE2">
        <w:trPr>
          <w:trHeight w:val="545"/>
          <w:jc w:val="center"/>
        </w:trPr>
        <w:tc>
          <w:tcPr>
            <w:tcW w:w="2164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E555A1" w:rsidRPr="001634C6" w:rsidRDefault="00744284" w:rsidP="00270810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1634C6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555A1" w:rsidRPr="001634C6" w:rsidRDefault="00744284" w:rsidP="00270810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1634C6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555A1" w:rsidRPr="001634C6" w:rsidRDefault="00744284" w:rsidP="00270810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1634C6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555A1" w:rsidRPr="001634C6" w:rsidRDefault="00744284" w:rsidP="00270810">
            <w:pPr>
              <w:spacing w:before="80" w:after="80"/>
              <w:ind w:left="57" w:right="57"/>
              <w:jc w:val="center"/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1634C6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8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E555A1" w:rsidRPr="001634C6" w:rsidRDefault="00744284" w:rsidP="00270810">
            <w:pPr>
              <w:spacing w:before="80" w:after="80"/>
              <w:ind w:right="57"/>
              <w:jc w:val="center"/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1634C6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E555A1" w:rsidRPr="0098535B" w:rsidTr="00510CE2">
        <w:trPr>
          <w:trHeight w:val="438"/>
          <w:jc w:val="center"/>
        </w:trPr>
        <w:tc>
          <w:tcPr>
            <w:tcW w:w="2164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A1" w:rsidRPr="001634C6" w:rsidRDefault="00E555A1" w:rsidP="00270810">
            <w:pPr>
              <w:spacing w:before="120" w:after="12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1634C6">
              <w:rPr>
                <w:rFonts w:asciiTheme="majorHAnsi" w:hAnsiTheme="majorHAnsi"/>
                <w:b/>
                <w:bCs/>
                <w:color w:val="000000"/>
              </w:rPr>
              <w:t>9 02 10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A1" w:rsidRPr="001634C6" w:rsidRDefault="000709B8" w:rsidP="00270810">
            <w:pPr>
              <w:spacing w:before="120" w:after="12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1634C6">
              <w:rPr>
                <w:rFonts w:asciiTheme="majorHAnsi" w:hAnsiTheme="majorHAnsi"/>
                <w:b/>
                <w:bCs/>
                <w:color w:val="000000"/>
              </w:rPr>
              <w:t>Výsledkový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A1" w:rsidRPr="001634C6" w:rsidRDefault="000709B8" w:rsidP="00270810">
            <w:pPr>
              <w:spacing w:before="120" w:after="120"/>
              <w:jc w:val="center"/>
              <w:rPr>
                <w:rFonts w:asciiTheme="majorHAnsi" w:hAnsiTheme="majorHAnsi"/>
                <w:b/>
                <w:bCs/>
                <w:color w:val="000000"/>
                <w:vertAlign w:val="superscript"/>
              </w:rPr>
            </w:pPr>
            <w:r w:rsidRPr="001634C6">
              <w:rPr>
                <w:rFonts w:asciiTheme="majorHAnsi" w:hAnsiTheme="majorHAnsi"/>
                <w:b/>
                <w:bCs/>
                <w:color w:val="000000"/>
              </w:rPr>
              <w:t>km</w:t>
            </w:r>
            <w:r w:rsidRPr="001634C6">
              <w:rPr>
                <w:rFonts w:asciiTheme="majorHAnsi" w:hAnsiTheme="majorHAnsi"/>
                <w:b/>
                <w:bCs/>
                <w:color w:val="000000"/>
                <w:vertAlign w:val="superscrip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5A1" w:rsidRPr="001634C6" w:rsidRDefault="00E555A1" w:rsidP="00E555A1">
            <w:pPr>
              <w:spacing w:before="120" w:after="12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1634C6">
              <w:rPr>
                <w:rFonts w:asciiTheme="majorHAnsi" w:hAnsiTheme="majorHAnsi"/>
                <w:b/>
                <w:bCs/>
                <w:color w:val="000000"/>
              </w:rPr>
              <w:t>Ne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555A1" w:rsidRPr="001634C6" w:rsidRDefault="00E555A1" w:rsidP="00270810">
            <w:pPr>
              <w:spacing w:before="120" w:after="120"/>
              <w:ind w:left="-70" w:firstLine="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1634C6">
              <w:rPr>
                <w:rFonts w:asciiTheme="majorHAnsi" w:hAnsiTheme="majorHAnsi"/>
                <w:b/>
                <w:bCs/>
                <w:color w:val="000000"/>
              </w:rPr>
              <w:t>Ano</w:t>
            </w:r>
          </w:p>
        </w:tc>
      </w:tr>
      <w:tr w:rsidR="00E555A1" w:rsidRPr="0098535B" w:rsidTr="00510CE2">
        <w:trPr>
          <w:trHeight w:val="236"/>
          <w:jc w:val="center"/>
        </w:trPr>
        <w:tc>
          <w:tcPr>
            <w:tcW w:w="9802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E555A1" w:rsidRPr="0098535B" w:rsidRDefault="00744284" w:rsidP="0027081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E555A1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555A1" w:rsidRPr="0098535B" w:rsidTr="00510CE2">
        <w:trPr>
          <w:trHeight w:val="1061"/>
          <w:jc w:val="center"/>
        </w:trPr>
        <w:tc>
          <w:tcPr>
            <w:tcW w:w="9802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A6067" w:rsidRDefault="000709B8" w:rsidP="00566AAA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294487">
              <w:rPr>
                <w:rFonts w:asciiTheme="minorHAnsi" w:hAnsiTheme="minorHAnsi"/>
                <w:color w:val="000000"/>
              </w:rPr>
              <w:t>Jedná se o plošnou výměru území v měrné jednotce km</w:t>
            </w:r>
            <w:r w:rsidRPr="00294487">
              <w:rPr>
                <w:rFonts w:asciiTheme="minorHAnsi" w:hAnsiTheme="minorHAnsi"/>
                <w:color w:val="000000"/>
                <w:vertAlign w:val="superscript"/>
              </w:rPr>
              <w:t>2</w:t>
            </w:r>
            <w:r w:rsidR="002E6F1B">
              <w:rPr>
                <w:rFonts w:asciiTheme="minorHAnsi" w:hAnsiTheme="minorHAnsi"/>
                <w:color w:val="000000"/>
                <w:vertAlign w:val="superscript"/>
              </w:rPr>
              <w:t>,</w:t>
            </w:r>
            <w:r w:rsidRPr="00294487">
              <w:rPr>
                <w:rFonts w:asciiTheme="minorHAnsi" w:hAnsiTheme="minorHAnsi"/>
                <w:color w:val="000000"/>
              </w:rPr>
              <w:t xml:space="preserve"> pokrytou </w:t>
            </w:r>
            <w:r w:rsidR="00F7617B">
              <w:rPr>
                <w:rFonts w:asciiTheme="minorHAnsi" w:hAnsiTheme="minorHAnsi"/>
                <w:color w:val="000000"/>
              </w:rPr>
              <w:t>pořízeným</w:t>
            </w:r>
            <w:r w:rsidR="00824F07">
              <w:rPr>
                <w:rFonts w:asciiTheme="minorHAnsi" w:hAnsiTheme="minorHAnsi"/>
                <w:color w:val="000000"/>
              </w:rPr>
              <w:t>i</w:t>
            </w:r>
            <w:r w:rsidR="00F7617B">
              <w:rPr>
                <w:rFonts w:asciiTheme="minorHAnsi" w:hAnsiTheme="minorHAnsi"/>
                <w:color w:val="000000"/>
              </w:rPr>
              <w:t xml:space="preserve"> doku</w:t>
            </w:r>
            <w:r w:rsidR="00824F07">
              <w:rPr>
                <w:rFonts w:asciiTheme="minorHAnsi" w:hAnsiTheme="minorHAnsi"/>
                <w:color w:val="000000"/>
              </w:rPr>
              <w:t>menty</w:t>
            </w:r>
            <w:r w:rsidR="005230F9">
              <w:rPr>
                <w:rFonts w:asciiTheme="minorHAnsi" w:hAnsiTheme="minorHAnsi"/>
                <w:color w:val="000000"/>
              </w:rPr>
              <w:t>:</w:t>
            </w:r>
          </w:p>
          <w:p w:rsidR="00E555A1" w:rsidRPr="006A6067" w:rsidRDefault="006A6067" w:rsidP="00E763A2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a) územních plánů</w:t>
            </w:r>
            <w:r w:rsidR="000709B8" w:rsidRPr="00294487">
              <w:rPr>
                <w:rFonts w:asciiTheme="minorHAnsi" w:hAnsiTheme="minorHAnsi"/>
                <w:color w:val="000000"/>
              </w:rPr>
              <w:t xml:space="preserve"> </w:t>
            </w:r>
            <w:r>
              <w:rPr>
                <w:rFonts w:asciiTheme="minorHAnsi" w:hAnsiTheme="minorHAnsi"/>
                <w:color w:val="000000"/>
              </w:rPr>
              <w:br/>
            </w:r>
            <w:r w:rsidR="000709B8" w:rsidRPr="00294487">
              <w:rPr>
                <w:rFonts w:asciiTheme="minorHAnsi" w:hAnsiTheme="minorHAnsi"/>
                <w:color w:val="000000"/>
              </w:rPr>
              <w:t xml:space="preserve">b) regulačních plánů </w:t>
            </w:r>
            <w:r w:rsidR="005230F9">
              <w:rPr>
                <w:rFonts w:asciiTheme="minorHAnsi" w:hAnsiTheme="minorHAnsi"/>
                <w:color w:val="000000"/>
              </w:rPr>
              <w:t>(</w:t>
            </w:r>
            <w:r w:rsidR="000709B8" w:rsidRPr="00294487">
              <w:rPr>
                <w:rFonts w:asciiTheme="minorHAnsi" w:hAnsiTheme="minorHAnsi"/>
                <w:color w:val="000000"/>
              </w:rPr>
              <w:t>z</w:t>
            </w:r>
            <w:r w:rsidR="00F7617B">
              <w:rPr>
                <w:rFonts w:asciiTheme="minorHAnsi" w:hAnsiTheme="minorHAnsi"/>
                <w:color w:val="000000"/>
              </w:rPr>
              <w:t> </w:t>
            </w:r>
            <w:r w:rsidR="000709B8" w:rsidRPr="00294487">
              <w:rPr>
                <w:rFonts w:asciiTheme="minorHAnsi" w:hAnsiTheme="minorHAnsi"/>
                <w:color w:val="000000"/>
              </w:rPr>
              <w:t>podnětu</w:t>
            </w:r>
            <w:r w:rsidR="00F7617B">
              <w:rPr>
                <w:rFonts w:asciiTheme="minorHAnsi" w:hAnsiTheme="minorHAnsi"/>
                <w:color w:val="000000"/>
              </w:rPr>
              <w:t xml:space="preserve"> </w:t>
            </w:r>
            <w:r w:rsidR="00FC4AB4">
              <w:rPr>
                <w:rFonts w:asciiTheme="minorHAnsi" w:hAnsiTheme="minorHAnsi"/>
                <w:color w:val="000000"/>
              </w:rPr>
              <w:t>obce</w:t>
            </w:r>
            <w:r w:rsidR="000709B8" w:rsidRPr="00294487">
              <w:rPr>
                <w:rFonts w:asciiTheme="minorHAnsi" w:hAnsiTheme="minorHAnsi"/>
                <w:color w:val="000000"/>
              </w:rPr>
              <w:t xml:space="preserve"> ne</w:t>
            </w:r>
            <w:r>
              <w:rPr>
                <w:rFonts w:asciiTheme="minorHAnsi" w:hAnsiTheme="minorHAnsi"/>
                <w:color w:val="000000"/>
              </w:rPr>
              <w:t>nahrazujících územní rozhodnutí</w:t>
            </w:r>
            <w:r w:rsidR="00824F07">
              <w:rPr>
                <w:rFonts w:asciiTheme="minorHAnsi" w:hAnsiTheme="minorHAnsi"/>
                <w:color w:val="000000"/>
              </w:rPr>
              <w:t>)</w:t>
            </w:r>
            <w:r>
              <w:rPr>
                <w:rFonts w:asciiTheme="minorHAnsi" w:hAnsiTheme="minorHAnsi"/>
                <w:color w:val="000000"/>
              </w:rPr>
              <w:br/>
            </w:r>
            <w:r w:rsidR="000709B8" w:rsidRPr="00294487">
              <w:rPr>
                <w:rFonts w:asciiTheme="minorHAnsi" w:hAnsiTheme="minorHAnsi"/>
                <w:color w:val="000000"/>
              </w:rPr>
              <w:t>c) územních studií.</w:t>
            </w:r>
          </w:p>
        </w:tc>
      </w:tr>
      <w:tr w:rsidR="00E555A1" w:rsidRPr="0098535B" w:rsidTr="00510CE2">
        <w:trPr>
          <w:trHeight w:val="301"/>
          <w:jc w:val="center"/>
        </w:trPr>
        <w:tc>
          <w:tcPr>
            <w:tcW w:w="499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E555A1" w:rsidRPr="001634C6" w:rsidRDefault="00E555A1" w:rsidP="00270810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color w:val="000000"/>
              </w:rPr>
            </w:pPr>
            <w:r w:rsidRPr="001634C6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E555A1" w:rsidRPr="001634C6" w:rsidRDefault="00E555A1" w:rsidP="00270810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color w:val="000000"/>
              </w:rPr>
            </w:pPr>
            <w:r w:rsidRPr="001634C6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E555A1" w:rsidRPr="0098535B" w:rsidTr="00510CE2">
        <w:trPr>
          <w:trHeight w:val="285"/>
          <w:jc w:val="center"/>
        </w:trPr>
        <w:tc>
          <w:tcPr>
            <w:tcW w:w="4999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5A1" w:rsidRPr="0098535B" w:rsidRDefault="00E555A1" w:rsidP="00270810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294487">
              <w:rPr>
                <w:rFonts w:asciiTheme="minorHAnsi" w:hAnsiTheme="minorHAnsi"/>
                <w:b/>
                <w:color w:val="000000"/>
              </w:rPr>
              <w:t>3</w:t>
            </w:r>
            <w:r w:rsidRPr="00294487">
              <w:rPr>
                <w:rFonts w:asciiTheme="minorHAnsi" w:hAnsiTheme="minorHAnsi"/>
                <w:color w:val="000000"/>
              </w:rPr>
              <w:t xml:space="preserve"> -  Dobrá správa území a zefektivnění veřejných institucí</w:t>
            </w:r>
          </w:p>
        </w:tc>
        <w:tc>
          <w:tcPr>
            <w:tcW w:w="480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555A1" w:rsidRPr="0098535B" w:rsidRDefault="00E555A1" w:rsidP="00270810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 w:rsidRPr="00294487">
              <w:rPr>
                <w:rFonts w:asciiTheme="minorHAnsi" w:hAnsiTheme="minorHAnsi"/>
                <w:b/>
              </w:rPr>
              <w:t>3.3</w:t>
            </w:r>
            <w:r w:rsidRPr="00294487">
              <w:rPr>
                <w:rFonts w:asciiTheme="minorHAnsi" w:hAnsiTheme="minorHAnsi"/>
              </w:rPr>
              <w:t xml:space="preserve"> - Podpora pořizování a uplatňování dokumentů územního rozvoje</w:t>
            </w:r>
          </w:p>
        </w:tc>
      </w:tr>
      <w:tr w:rsidR="00E555A1" w:rsidRPr="0098535B" w:rsidTr="00510CE2">
        <w:trPr>
          <w:trHeight w:val="375"/>
          <w:jc w:val="center"/>
        </w:trPr>
        <w:tc>
          <w:tcPr>
            <w:tcW w:w="9802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E555A1" w:rsidRPr="001634C6" w:rsidRDefault="00744284" w:rsidP="00270810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1634C6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E555A1" w:rsidRPr="0098535B" w:rsidTr="00510CE2">
        <w:trPr>
          <w:trHeight w:val="368"/>
          <w:jc w:val="center"/>
        </w:trPr>
        <w:tc>
          <w:tcPr>
            <w:tcW w:w="9802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E555A1" w:rsidRPr="001634C6" w:rsidRDefault="00DB0666" w:rsidP="00E555A1">
            <w:pPr>
              <w:spacing w:before="120" w:after="12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1634C6">
              <w:rPr>
                <w:rFonts w:asciiTheme="majorHAnsi" w:hAnsiTheme="majorHAnsi"/>
                <w:b/>
                <w:bCs/>
              </w:rPr>
              <w:t>nulová</w:t>
            </w:r>
          </w:p>
        </w:tc>
      </w:tr>
      <w:tr w:rsidR="00E555A1" w:rsidRPr="0098535B" w:rsidTr="00510CE2">
        <w:trPr>
          <w:trHeight w:val="269"/>
          <w:jc w:val="center"/>
        </w:trPr>
        <w:tc>
          <w:tcPr>
            <w:tcW w:w="9802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E555A1" w:rsidRPr="001634C6" w:rsidRDefault="00744284" w:rsidP="00270810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1634C6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E555A1" w:rsidRPr="0098535B" w:rsidTr="00510CE2">
        <w:trPr>
          <w:trHeight w:val="70"/>
          <w:jc w:val="center"/>
        </w:trPr>
        <w:tc>
          <w:tcPr>
            <w:tcW w:w="9802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115865" w:rsidRPr="009871AD" w:rsidRDefault="009871AD" w:rsidP="009871AD">
            <w:pPr>
              <w:spacing w:before="120" w:after="120"/>
              <w:ind w:right="170"/>
              <w:rPr>
                <w:rFonts w:asciiTheme="minorHAnsi" w:hAnsiTheme="minorHAnsi"/>
                <w:b/>
              </w:rPr>
            </w:pPr>
            <w:r w:rsidRPr="009871AD">
              <w:rPr>
                <w:rFonts w:asciiTheme="minorHAnsi" w:hAnsiTheme="minorHAnsi"/>
                <w:b/>
              </w:rPr>
              <w:t xml:space="preserve">    Pravidla </w:t>
            </w:r>
            <w:r w:rsidR="009512E0">
              <w:rPr>
                <w:rFonts w:asciiTheme="minorHAnsi" w:hAnsiTheme="minorHAnsi"/>
                <w:b/>
              </w:rPr>
              <w:t>pro vykazování indikátoru</w:t>
            </w:r>
          </w:p>
          <w:p w:rsidR="00BD496D" w:rsidRDefault="00115865" w:rsidP="00BD496D">
            <w:pPr>
              <w:spacing w:before="120" w:after="120"/>
              <w:ind w:left="170" w:right="170"/>
              <w:rPr>
                <w:rFonts w:asciiTheme="minorHAnsi" w:hAnsiTheme="minorHAnsi"/>
                <w:b/>
              </w:rPr>
            </w:pPr>
            <w:r w:rsidRPr="00BD496D">
              <w:rPr>
                <w:rFonts w:asciiTheme="minorHAnsi" w:hAnsiTheme="minorHAnsi"/>
                <w:b/>
              </w:rPr>
              <w:t>ÚZEMNÍ PLÁNY</w:t>
            </w:r>
          </w:p>
          <w:p w:rsidR="009512E0" w:rsidRDefault="002E6F1B" w:rsidP="00BD496D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Ž</w:t>
            </w:r>
            <w:r w:rsidR="009871AD" w:rsidRPr="00BD496D">
              <w:rPr>
                <w:rFonts w:asciiTheme="minorHAnsi" w:hAnsiTheme="minorHAnsi"/>
              </w:rPr>
              <w:t>adatel volí tento indikátor</w:t>
            </w:r>
            <w:r>
              <w:rPr>
                <w:rFonts w:asciiTheme="minorHAnsi" w:hAnsiTheme="minorHAnsi"/>
              </w:rPr>
              <w:t>,</w:t>
            </w:r>
            <w:r w:rsidR="009871AD" w:rsidRPr="00BD496D">
              <w:rPr>
                <w:rFonts w:asciiTheme="minorHAnsi" w:hAnsiTheme="minorHAnsi"/>
              </w:rPr>
              <w:t xml:space="preserve"> po</w:t>
            </w:r>
            <w:r>
              <w:rPr>
                <w:rFonts w:asciiTheme="minorHAnsi" w:hAnsiTheme="minorHAnsi"/>
              </w:rPr>
              <w:t>k</w:t>
            </w:r>
            <w:r w:rsidR="009871AD" w:rsidRPr="00BD496D">
              <w:rPr>
                <w:rFonts w:asciiTheme="minorHAnsi" w:hAnsiTheme="minorHAnsi"/>
              </w:rPr>
              <w:t xml:space="preserve">ud nahrazuje </w:t>
            </w:r>
            <w:r w:rsidR="00E92F3A">
              <w:rPr>
                <w:rFonts w:asciiTheme="minorHAnsi" w:hAnsiTheme="minorHAnsi"/>
              </w:rPr>
              <w:t>územní plán</w:t>
            </w:r>
            <w:r w:rsidR="009871AD" w:rsidRPr="00BD496D">
              <w:rPr>
                <w:rFonts w:asciiTheme="minorHAnsi" w:hAnsiTheme="minorHAnsi"/>
              </w:rPr>
              <w:t xml:space="preserve"> </w:t>
            </w:r>
            <w:r w:rsidR="00E763A2">
              <w:rPr>
                <w:rFonts w:asciiTheme="minorHAnsi" w:hAnsiTheme="minorHAnsi"/>
              </w:rPr>
              <w:t>vydaný</w:t>
            </w:r>
            <w:r w:rsidR="009871AD" w:rsidRPr="00BD496D">
              <w:rPr>
                <w:rFonts w:asciiTheme="minorHAnsi" w:hAnsiTheme="minorHAnsi"/>
              </w:rPr>
              <w:t xml:space="preserve"> před 1. 1. 2007. </w:t>
            </w:r>
            <w:r w:rsidR="00115865" w:rsidRPr="00BD496D">
              <w:rPr>
                <w:rFonts w:asciiTheme="minorHAnsi" w:hAnsiTheme="minorHAnsi"/>
              </w:rPr>
              <w:t xml:space="preserve"> </w:t>
            </w:r>
          </w:p>
          <w:p w:rsidR="00BE6B10" w:rsidRPr="00BD496D" w:rsidRDefault="00BD496D" w:rsidP="00BD496D">
            <w:pPr>
              <w:spacing w:before="120" w:after="120"/>
              <w:ind w:left="170" w:right="17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V ostatních případech </w:t>
            </w:r>
            <w:r w:rsidR="00E763A2">
              <w:rPr>
                <w:rFonts w:asciiTheme="minorHAnsi" w:hAnsiTheme="minorHAnsi"/>
              </w:rPr>
              <w:t>(</w:t>
            </w:r>
            <w:r>
              <w:rPr>
                <w:rFonts w:asciiTheme="minorHAnsi" w:hAnsiTheme="minorHAnsi"/>
              </w:rPr>
              <w:t>projekt</w:t>
            </w:r>
            <w:r w:rsidR="00D478FB" w:rsidRPr="00BD496D">
              <w:rPr>
                <w:rFonts w:asciiTheme="minorHAnsi" w:hAnsiTheme="minorHAnsi"/>
              </w:rPr>
              <w:t xml:space="preserve"> na nový územní plán</w:t>
            </w:r>
            <w:r w:rsidR="00DB0666" w:rsidRPr="00BD496D">
              <w:rPr>
                <w:rFonts w:asciiTheme="minorHAnsi" w:hAnsiTheme="minorHAnsi"/>
              </w:rPr>
              <w:t>, který</w:t>
            </w:r>
            <w:r w:rsidR="00115865" w:rsidRPr="00BD496D">
              <w:rPr>
                <w:rFonts w:asciiTheme="minorHAnsi" w:hAnsiTheme="minorHAnsi"/>
              </w:rPr>
              <w:t xml:space="preserve"> </w:t>
            </w:r>
            <w:r w:rsidR="00DB0666" w:rsidRPr="00BD496D">
              <w:rPr>
                <w:rFonts w:asciiTheme="minorHAnsi" w:hAnsiTheme="minorHAnsi"/>
              </w:rPr>
              <w:t xml:space="preserve">nahrazuje územní plán vydaný </w:t>
            </w:r>
            <w:r w:rsidR="00DB0666" w:rsidRPr="002F46E1">
              <w:rPr>
                <w:rFonts w:asciiTheme="minorHAnsi" w:hAnsiTheme="minorHAnsi"/>
                <w:b/>
              </w:rPr>
              <w:t>po 1. 1. 2007</w:t>
            </w:r>
            <w:r w:rsidR="00DB0666" w:rsidRPr="00BD496D">
              <w:rPr>
                <w:rFonts w:asciiTheme="minorHAnsi" w:hAnsiTheme="minorHAnsi"/>
              </w:rPr>
              <w:t xml:space="preserve">, </w:t>
            </w:r>
            <w:r w:rsidR="00D478FB" w:rsidRPr="00BD496D">
              <w:rPr>
                <w:rFonts w:asciiTheme="minorHAnsi" w:hAnsiTheme="minorHAnsi"/>
              </w:rPr>
              <w:t>nebo</w:t>
            </w:r>
            <w:r w:rsidR="00E763A2">
              <w:rPr>
                <w:rFonts w:asciiTheme="minorHAnsi" w:hAnsiTheme="minorHAnsi"/>
              </w:rPr>
              <w:t xml:space="preserve"> projekt,</w:t>
            </w:r>
            <w:r w:rsidR="00DB0666" w:rsidRPr="00BD496D">
              <w:rPr>
                <w:rFonts w:asciiTheme="minorHAnsi" w:hAnsiTheme="minorHAnsi"/>
              </w:rPr>
              <w:t xml:space="preserve"> jehož předmětem je pouze změna </w:t>
            </w:r>
            <w:r w:rsidR="009512E0">
              <w:rPr>
                <w:rFonts w:asciiTheme="minorHAnsi" w:hAnsiTheme="minorHAnsi"/>
              </w:rPr>
              <w:t>územního plánu</w:t>
            </w:r>
            <w:r>
              <w:rPr>
                <w:rFonts w:asciiTheme="minorHAnsi" w:hAnsiTheme="minorHAnsi"/>
              </w:rPr>
              <w:t>)</w:t>
            </w:r>
            <w:r w:rsidR="009512E0">
              <w:rPr>
                <w:rFonts w:asciiTheme="minorHAnsi" w:hAnsiTheme="minorHAnsi"/>
              </w:rPr>
              <w:t>,</w:t>
            </w:r>
            <w:r>
              <w:rPr>
                <w:rFonts w:asciiTheme="minorHAnsi" w:hAnsiTheme="minorHAnsi"/>
              </w:rPr>
              <w:t xml:space="preserve"> </w:t>
            </w:r>
            <w:r w:rsidR="009871AD" w:rsidRPr="00BD496D">
              <w:rPr>
                <w:rFonts w:asciiTheme="minorHAnsi" w:hAnsiTheme="minorHAnsi"/>
              </w:rPr>
              <w:t xml:space="preserve">žadatelé tento indikátor </w:t>
            </w:r>
            <w:r w:rsidR="009871AD" w:rsidRPr="00BD496D">
              <w:rPr>
                <w:rFonts w:asciiTheme="minorHAnsi" w:hAnsiTheme="minorHAnsi"/>
                <w:b/>
              </w:rPr>
              <w:t>NEVYKAZUJÍ</w:t>
            </w:r>
            <w:r w:rsidR="009871AD" w:rsidRPr="00BD496D">
              <w:rPr>
                <w:rFonts w:asciiTheme="minorHAnsi" w:hAnsiTheme="minorHAnsi"/>
              </w:rPr>
              <w:t>.</w:t>
            </w:r>
            <w:r w:rsidR="00D82C8B" w:rsidRPr="00BD496D">
              <w:rPr>
                <w:rFonts w:asciiTheme="minorHAnsi" w:hAnsiTheme="minorHAnsi"/>
              </w:rPr>
              <w:t xml:space="preserve"> </w:t>
            </w:r>
          </w:p>
          <w:p w:rsidR="00115865" w:rsidRPr="00BD496D" w:rsidRDefault="00BD496D" w:rsidP="00BE6B10">
            <w:pPr>
              <w:spacing w:before="120" w:after="120"/>
              <w:ind w:left="170" w:right="170"/>
              <w:rPr>
                <w:rFonts w:asciiTheme="minorHAnsi" w:hAnsiTheme="minorHAnsi"/>
                <w:b/>
              </w:rPr>
            </w:pPr>
            <w:r w:rsidRPr="00BD496D">
              <w:rPr>
                <w:rFonts w:asciiTheme="minorHAnsi" w:hAnsiTheme="minorHAnsi"/>
                <w:b/>
              </w:rPr>
              <w:t>REGULAČNÍ PLÁNY</w:t>
            </w:r>
          </w:p>
          <w:p w:rsidR="00566AAA" w:rsidRDefault="00BD496D" w:rsidP="00A67D72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</w:t>
            </w:r>
            <w:r w:rsidR="00AC23AA">
              <w:rPr>
                <w:rFonts w:asciiTheme="minorHAnsi" w:hAnsiTheme="minorHAnsi"/>
              </w:rPr>
              <w:t>ndikátor vykazuj</w:t>
            </w:r>
            <w:r w:rsidR="002E6F1B">
              <w:rPr>
                <w:rFonts w:asciiTheme="minorHAnsi" w:hAnsiTheme="minorHAnsi"/>
              </w:rPr>
              <w:t>í</w:t>
            </w:r>
            <w:r w:rsidR="00AC23AA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všech</w:t>
            </w:r>
            <w:r w:rsidR="002E6F1B">
              <w:rPr>
                <w:rFonts w:asciiTheme="minorHAnsi" w:hAnsiTheme="minorHAnsi"/>
              </w:rPr>
              <w:t>ny</w:t>
            </w:r>
            <w:r>
              <w:rPr>
                <w:rFonts w:asciiTheme="minorHAnsi" w:hAnsiTheme="minorHAnsi"/>
              </w:rPr>
              <w:t xml:space="preserve"> projekt</w:t>
            </w:r>
            <w:r w:rsidR="002E6F1B">
              <w:rPr>
                <w:rFonts w:asciiTheme="minorHAnsi" w:hAnsiTheme="minorHAnsi"/>
              </w:rPr>
              <w:t>y</w:t>
            </w:r>
            <w:r>
              <w:rPr>
                <w:rFonts w:asciiTheme="minorHAnsi" w:hAnsiTheme="minorHAnsi"/>
              </w:rPr>
              <w:t xml:space="preserve"> </w:t>
            </w:r>
            <w:r w:rsidR="00C926F7">
              <w:rPr>
                <w:rFonts w:asciiTheme="minorHAnsi" w:hAnsiTheme="minorHAnsi"/>
              </w:rPr>
              <w:t>zaměřen</w:t>
            </w:r>
            <w:r w:rsidR="002E6F1B">
              <w:rPr>
                <w:rFonts w:asciiTheme="minorHAnsi" w:hAnsiTheme="minorHAnsi"/>
              </w:rPr>
              <w:t>é</w:t>
            </w:r>
            <w:r w:rsidR="00C926F7">
              <w:rPr>
                <w:rFonts w:asciiTheme="minorHAnsi" w:hAnsiTheme="minorHAnsi"/>
              </w:rPr>
              <w:t xml:space="preserve"> na regulační plány.  V</w:t>
            </w:r>
            <w:r w:rsidR="00AC23AA">
              <w:rPr>
                <w:rFonts w:asciiTheme="minorHAnsi" w:hAnsiTheme="minorHAnsi"/>
              </w:rPr>
              <w:t>ýchozí hodnota je</w:t>
            </w:r>
            <w:r w:rsidR="00C926F7">
              <w:rPr>
                <w:rFonts w:asciiTheme="minorHAnsi" w:hAnsiTheme="minorHAnsi"/>
              </w:rPr>
              <w:t xml:space="preserve"> vždy</w:t>
            </w:r>
            <w:r w:rsidR="00AC23AA">
              <w:rPr>
                <w:rFonts w:asciiTheme="minorHAnsi" w:hAnsiTheme="minorHAnsi"/>
              </w:rPr>
              <w:t xml:space="preserve"> 0 km</w:t>
            </w:r>
            <w:r w:rsidR="00AC23AA" w:rsidRPr="00BD496D">
              <w:rPr>
                <w:rFonts w:asciiTheme="minorHAnsi" w:hAnsiTheme="minorHAnsi"/>
                <w:vertAlign w:val="superscript"/>
              </w:rPr>
              <w:t>2</w:t>
            </w:r>
            <w:r w:rsidR="00AC23AA">
              <w:rPr>
                <w:rFonts w:asciiTheme="minorHAnsi" w:hAnsiTheme="minorHAnsi"/>
              </w:rPr>
              <w:t xml:space="preserve"> </w:t>
            </w:r>
            <w:r w:rsidR="00427A06">
              <w:rPr>
                <w:rFonts w:asciiTheme="minorHAnsi" w:hAnsiTheme="minorHAnsi"/>
              </w:rPr>
              <w:t>a cílov</w:t>
            </w:r>
            <w:r w:rsidR="002E6F1B">
              <w:rPr>
                <w:rFonts w:asciiTheme="minorHAnsi" w:hAnsiTheme="minorHAnsi"/>
              </w:rPr>
              <w:t>ou</w:t>
            </w:r>
            <w:r w:rsidR="00427A06">
              <w:rPr>
                <w:rFonts w:asciiTheme="minorHAnsi" w:hAnsiTheme="minorHAnsi"/>
              </w:rPr>
              <w:t xml:space="preserve"> hodnot</w:t>
            </w:r>
            <w:r w:rsidR="002E6F1B">
              <w:rPr>
                <w:rFonts w:asciiTheme="minorHAnsi" w:hAnsiTheme="minorHAnsi"/>
              </w:rPr>
              <w:t>ou</w:t>
            </w:r>
            <w:r w:rsidR="00427A06">
              <w:rPr>
                <w:rFonts w:asciiTheme="minorHAnsi" w:hAnsiTheme="minorHAnsi"/>
              </w:rPr>
              <w:t xml:space="preserve"> </w:t>
            </w:r>
            <w:r w:rsidR="00C926F7">
              <w:rPr>
                <w:rFonts w:asciiTheme="minorHAnsi" w:hAnsiTheme="minorHAnsi"/>
              </w:rPr>
              <w:t xml:space="preserve">je plocha území </w:t>
            </w:r>
            <w:r w:rsidR="002E6F1B">
              <w:rPr>
                <w:rFonts w:asciiTheme="minorHAnsi" w:hAnsiTheme="minorHAnsi"/>
              </w:rPr>
              <w:t xml:space="preserve">pokrytého </w:t>
            </w:r>
            <w:r w:rsidR="00C926F7">
              <w:rPr>
                <w:rFonts w:asciiTheme="minorHAnsi" w:hAnsiTheme="minorHAnsi"/>
              </w:rPr>
              <w:t>regulačním plánem v rámci daného projektu.</w:t>
            </w:r>
            <w:r w:rsidR="00295B3F">
              <w:rPr>
                <w:rFonts w:asciiTheme="minorHAnsi" w:hAnsiTheme="minorHAnsi"/>
              </w:rPr>
              <w:t xml:space="preserve"> V případě, že součástí projektu je více regulačních plánů, </w:t>
            </w:r>
            <w:r w:rsidR="00566AAA">
              <w:rPr>
                <w:rFonts w:asciiTheme="minorHAnsi" w:hAnsiTheme="minorHAnsi"/>
              </w:rPr>
              <w:t>je cílová hodnota součtem jejich ploch.</w:t>
            </w:r>
          </w:p>
          <w:p w:rsidR="00C926F7" w:rsidRPr="00C926F7" w:rsidRDefault="00C926F7" w:rsidP="00A67D72">
            <w:pPr>
              <w:spacing w:before="120" w:after="120"/>
              <w:ind w:left="170" w:right="170"/>
              <w:rPr>
                <w:rFonts w:asciiTheme="minorHAnsi" w:hAnsiTheme="minorHAnsi"/>
                <w:b/>
              </w:rPr>
            </w:pPr>
            <w:r w:rsidRPr="00C926F7">
              <w:rPr>
                <w:rFonts w:asciiTheme="minorHAnsi" w:hAnsiTheme="minorHAnsi"/>
                <w:b/>
              </w:rPr>
              <w:t>ÚZEMNÍ STUDIE</w:t>
            </w:r>
          </w:p>
          <w:p w:rsidR="00566AAA" w:rsidRDefault="00C926F7" w:rsidP="00566AAA">
            <w:pPr>
              <w:spacing w:before="120" w:after="120"/>
              <w:ind w:left="170" w:right="17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Indikátor vykazuj</w:t>
            </w:r>
            <w:r w:rsidR="002E6F1B">
              <w:rPr>
                <w:rFonts w:asciiTheme="minorHAnsi" w:hAnsiTheme="minorHAnsi"/>
              </w:rPr>
              <w:t>í</w:t>
            </w:r>
            <w:r>
              <w:rPr>
                <w:rFonts w:asciiTheme="minorHAnsi" w:hAnsiTheme="minorHAnsi"/>
              </w:rPr>
              <w:t xml:space="preserve"> všech</w:t>
            </w:r>
            <w:r w:rsidR="002E6F1B">
              <w:rPr>
                <w:rFonts w:asciiTheme="minorHAnsi" w:hAnsiTheme="minorHAnsi"/>
              </w:rPr>
              <w:t>ny</w:t>
            </w:r>
            <w:r>
              <w:rPr>
                <w:rFonts w:asciiTheme="minorHAnsi" w:hAnsiTheme="minorHAnsi"/>
              </w:rPr>
              <w:t xml:space="preserve"> projekt</w:t>
            </w:r>
            <w:r w:rsidR="002E6F1B">
              <w:rPr>
                <w:rFonts w:asciiTheme="minorHAnsi" w:hAnsiTheme="minorHAnsi"/>
              </w:rPr>
              <w:t>y</w:t>
            </w:r>
            <w:r>
              <w:rPr>
                <w:rFonts w:asciiTheme="minorHAnsi" w:hAnsiTheme="minorHAnsi"/>
              </w:rPr>
              <w:t xml:space="preserve"> zaměřen</w:t>
            </w:r>
            <w:r w:rsidR="002E6F1B">
              <w:rPr>
                <w:rFonts w:asciiTheme="minorHAnsi" w:hAnsiTheme="minorHAnsi"/>
              </w:rPr>
              <w:t>é</w:t>
            </w:r>
            <w:r>
              <w:rPr>
                <w:rFonts w:asciiTheme="minorHAnsi" w:hAnsiTheme="minorHAnsi"/>
              </w:rPr>
              <w:t xml:space="preserve"> na úze</w:t>
            </w:r>
            <w:r w:rsidR="009512E0">
              <w:rPr>
                <w:rFonts w:asciiTheme="minorHAnsi" w:hAnsiTheme="minorHAnsi"/>
              </w:rPr>
              <w:t>mní studie.  Výchozí hodnota je</w:t>
            </w:r>
            <w:r>
              <w:rPr>
                <w:rFonts w:asciiTheme="minorHAnsi" w:hAnsiTheme="minorHAnsi"/>
              </w:rPr>
              <w:t xml:space="preserve"> 0 km</w:t>
            </w:r>
            <w:r w:rsidRPr="00BD496D">
              <w:rPr>
                <w:rFonts w:asciiTheme="minorHAnsi" w:hAnsiTheme="minorHAnsi"/>
                <w:vertAlign w:val="superscript"/>
              </w:rPr>
              <w:t>2</w:t>
            </w:r>
            <w:r>
              <w:rPr>
                <w:rFonts w:asciiTheme="minorHAnsi" w:hAnsiTheme="minorHAnsi"/>
              </w:rPr>
              <w:t xml:space="preserve"> a cílov</w:t>
            </w:r>
            <w:r w:rsidR="002E6F1B">
              <w:rPr>
                <w:rFonts w:asciiTheme="minorHAnsi" w:hAnsiTheme="minorHAnsi"/>
              </w:rPr>
              <w:t>ou</w:t>
            </w:r>
            <w:r>
              <w:rPr>
                <w:rFonts w:asciiTheme="minorHAnsi" w:hAnsiTheme="minorHAnsi"/>
              </w:rPr>
              <w:t xml:space="preserve"> hodnot</w:t>
            </w:r>
            <w:r w:rsidR="002E6F1B">
              <w:rPr>
                <w:rFonts w:asciiTheme="minorHAnsi" w:hAnsiTheme="minorHAnsi"/>
              </w:rPr>
              <w:t>ou</w:t>
            </w:r>
            <w:r>
              <w:rPr>
                <w:rFonts w:asciiTheme="minorHAnsi" w:hAnsiTheme="minorHAnsi"/>
              </w:rPr>
              <w:t xml:space="preserve"> je plocha pokrytá </w:t>
            </w:r>
            <w:r w:rsidR="00295B3F">
              <w:rPr>
                <w:rFonts w:asciiTheme="minorHAnsi" w:hAnsiTheme="minorHAnsi"/>
              </w:rPr>
              <w:t>územní studií</w:t>
            </w:r>
            <w:r>
              <w:rPr>
                <w:rFonts w:asciiTheme="minorHAnsi" w:hAnsiTheme="minorHAnsi"/>
              </w:rPr>
              <w:t xml:space="preserve"> v rámci daného projektu.</w:t>
            </w:r>
            <w:r w:rsidR="00295B3F">
              <w:rPr>
                <w:rFonts w:asciiTheme="minorHAnsi" w:hAnsiTheme="minorHAnsi"/>
              </w:rPr>
              <w:t xml:space="preserve"> V případě, že součástí projektu je více územních studií, je cílová hodnota</w:t>
            </w:r>
            <w:r w:rsidR="00566AAA">
              <w:rPr>
                <w:rFonts w:asciiTheme="minorHAnsi" w:hAnsiTheme="minorHAnsi"/>
              </w:rPr>
              <w:t xml:space="preserve"> součtem jejich ploch.</w:t>
            </w:r>
          </w:p>
          <w:p w:rsidR="00AB7A28" w:rsidRPr="008934A1" w:rsidRDefault="00AB7A28" w:rsidP="00071BC3">
            <w:pPr>
              <w:ind w:left="170" w:right="170"/>
              <w:rPr>
                <w:rFonts w:asciiTheme="minorHAnsi" w:hAnsiTheme="minorHAnsi"/>
                <w:b/>
              </w:rPr>
            </w:pPr>
            <w:r w:rsidRPr="008934A1">
              <w:rPr>
                <w:rFonts w:asciiTheme="minorHAnsi" w:hAnsiTheme="minorHAnsi"/>
                <w:b/>
              </w:rPr>
              <w:t>Tolerance</w:t>
            </w:r>
          </w:p>
          <w:p w:rsidR="00823E34" w:rsidRDefault="00AB7A28" w:rsidP="008934A1">
            <w:pPr>
              <w:spacing w:after="120"/>
              <w:ind w:left="170" w:right="170"/>
              <w:rPr>
                <w:rFonts w:asciiTheme="minorHAnsi" w:hAnsiTheme="minorHAnsi"/>
              </w:rPr>
            </w:pPr>
            <w:r w:rsidRPr="008934A1">
              <w:rPr>
                <w:rFonts w:asciiTheme="minorHAnsi" w:hAnsiTheme="minorHAnsi"/>
              </w:rPr>
              <w:t>Akceptovateln</w:t>
            </w:r>
            <w:r w:rsidR="00E639A3" w:rsidRPr="008934A1">
              <w:rPr>
                <w:rFonts w:asciiTheme="minorHAnsi" w:hAnsiTheme="minorHAnsi"/>
              </w:rPr>
              <w:t xml:space="preserve">á odchylka </w:t>
            </w:r>
            <w:r w:rsidR="00E92F3A" w:rsidRPr="008934A1">
              <w:rPr>
                <w:rFonts w:asciiTheme="minorHAnsi" w:hAnsiTheme="minorHAnsi"/>
                <w:b/>
              </w:rPr>
              <w:t>dosažené hodnoty jsou</w:t>
            </w:r>
            <w:r w:rsidR="00E639A3" w:rsidRPr="008934A1">
              <w:rPr>
                <w:rFonts w:asciiTheme="minorHAnsi" w:hAnsiTheme="minorHAnsi"/>
                <w:b/>
              </w:rPr>
              <w:t xml:space="preserve"> 2</w:t>
            </w:r>
            <w:r w:rsidRPr="008934A1">
              <w:rPr>
                <w:rFonts w:asciiTheme="minorHAnsi" w:hAnsiTheme="minorHAnsi"/>
                <w:b/>
              </w:rPr>
              <w:t>%</w:t>
            </w:r>
            <w:r w:rsidR="00E639A3" w:rsidRPr="008934A1">
              <w:rPr>
                <w:rFonts w:asciiTheme="minorHAnsi" w:hAnsiTheme="minorHAnsi"/>
                <w:b/>
              </w:rPr>
              <w:t xml:space="preserve"> z</w:t>
            </w:r>
            <w:r w:rsidR="00B665D7" w:rsidRPr="008934A1">
              <w:rPr>
                <w:rFonts w:asciiTheme="minorHAnsi" w:hAnsiTheme="minorHAnsi"/>
                <w:b/>
              </w:rPr>
              <w:t> cílové hodnoty</w:t>
            </w:r>
            <w:r w:rsidR="00B665D7" w:rsidRPr="008934A1">
              <w:rPr>
                <w:rFonts w:asciiTheme="minorHAnsi" w:hAnsiTheme="minorHAnsi"/>
              </w:rPr>
              <w:t xml:space="preserve">. </w:t>
            </w:r>
            <w:r w:rsidR="006770E7" w:rsidRPr="008934A1">
              <w:rPr>
                <w:rFonts w:asciiTheme="minorHAnsi" w:hAnsiTheme="minorHAnsi"/>
              </w:rPr>
              <w:t xml:space="preserve">Pokud se dosažená hodnota dostane </w:t>
            </w:r>
            <w:r w:rsidR="00FE3997" w:rsidRPr="008934A1">
              <w:rPr>
                <w:rFonts w:asciiTheme="minorHAnsi" w:hAnsiTheme="minorHAnsi"/>
              </w:rPr>
              <w:t>m</w:t>
            </w:r>
            <w:r w:rsidR="006770E7" w:rsidRPr="008934A1">
              <w:rPr>
                <w:rFonts w:asciiTheme="minorHAnsi" w:hAnsiTheme="minorHAnsi"/>
              </w:rPr>
              <w:t xml:space="preserve">imo rámec tolerance, je nutné s předstihem iniciovat změnové řízení </w:t>
            </w:r>
            <w:r w:rsidR="00E92F3A" w:rsidRPr="008934A1">
              <w:rPr>
                <w:rFonts w:asciiTheme="minorHAnsi" w:hAnsiTheme="minorHAnsi"/>
              </w:rPr>
              <w:t>po</w:t>
            </w:r>
            <w:r w:rsidR="006770E7" w:rsidRPr="008934A1">
              <w:rPr>
                <w:rFonts w:asciiTheme="minorHAnsi" w:hAnsiTheme="minorHAnsi"/>
              </w:rPr>
              <w:t xml:space="preserve">dle </w:t>
            </w:r>
            <w:r w:rsidR="00E92F3A" w:rsidRPr="008934A1">
              <w:rPr>
                <w:rFonts w:asciiTheme="minorHAnsi" w:hAnsiTheme="minorHAnsi"/>
              </w:rPr>
              <w:t xml:space="preserve">kapitoly 16.3 Obecných pravidel pro žadatele a </w:t>
            </w:r>
            <w:r w:rsidR="008934A1" w:rsidRPr="008934A1">
              <w:rPr>
                <w:rFonts w:asciiTheme="minorHAnsi" w:hAnsiTheme="minorHAnsi"/>
              </w:rPr>
              <w:t>příjemce. Pokud tak žadatel neučiní, a vykáže neodpovídající hodnotu, bude postupováno dle Podmínek Rozhodnutí o poskytnutí dotace, které definují výši a typ případné sankce.</w:t>
            </w:r>
          </w:p>
          <w:p w:rsidR="008934A1" w:rsidRPr="00566AAA" w:rsidRDefault="008934A1" w:rsidP="004A4F67">
            <w:pPr>
              <w:spacing w:after="120"/>
              <w:ind w:left="170" w:right="17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Z</w:t>
            </w:r>
            <w:r w:rsidR="004A4F67">
              <w:rPr>
                <w:rFonts w:asciiTheme="minorHAnsi" w:hAnsiTheme="minorHAnsi"/>
              </w:rPr>
              <w:t>měna</w:t>
            </w:r>
            <w:r>
              <w:rPr>
                <w:rFonts w:asciiTheme="minorHAnsi" w:hAnsiTheme="minorHAnsi"/>
              </w:rPr>
              <w:t xml:space="preserve"> dosažené hodnoty v době udržitelnosti projektu (například z důvodu úpravy územního plánu z důvodů sloučení obcí atd.)</w:t>
            </w:r>
            <w:r w:rsidR="004A4F67">
              <w:rPr>
                <w:rFonts w:asciiTheme="minorHAnsi" w:hAnsiTheme="minorHAnsi"/>
              </w:rPr>
              <w:t xml:space="preserve">, která nevede k zániku územního plánu (ke změně dosažené hodnoty indikátoru 9 02 01 – Počet </w:t>
            </w:r>
            <w:r w:rsidR="004A4F67">
              <w:rPr>
                <w:rFonts w:asciiTheme="minorHAnsi" w:hAnsiTheme="minorHAnsi"/>
              </w:rPr>
              <w:lastRenderedPageBreak/>
              <w:t>územních plánů), nebude předmětem sankce.</w:t>
            </w:r>
          </w:p>
        </w:tc>
      </w:tr>
      <w:tr w:rsidR="00E555A1" w:rsidRPr="0098535B" w:rsidTr="00510CE2">
        <w:trPr>
          <w:trHeight w:val="156"/>
          <w:jc w:val="center"/>
        </w:trPr>
        <w:tc>
          <w:tcPr>
            <w:tcW w:w="9802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E555A1" w:rsidRPr="001634C6" w:rsidRDefault="00744284" w:rsidP="00270810">
            <w:pPr>
              <w:pStyle w:val="text"/>
              <w:spacing w:before="80" w:after="80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1634C6">
              <w:rPr>
                <w:rFonts w:asciiTheme="majorHAnsi" w:hAnsiTheme="majorHAnsi"/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E555A1" w:rsidRPr="0098535B" w:rsidTr="00510CE2">
        <w:trPr>
          <w:trHeight w:val="443"/>
          <w:jc w:val="center"/>
        </w:trPr>
        <w:tc>
          <w:tcPr>
            <w:tcW w:w="9802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7578C" w:rsidRPr="0037578C" w:rsidRDefault="0037578C" w:rsidP="0037578C">
            <w:pPr>
              <w:spacing w:before="120" w:after="120"/>
              <w:ind w:left="170" w:right="170"/>
              <w:rPr>
                <w:rFonts w:asciiTheme="minorHAnsi" w:eastAsiaTheme="minorHAnsi" w:hAnsiTheme="minorHAnsi" w:cstheme="minorBidi"/>
                <w:color w:val="000000"/>
                <w:lang w:eastAsia="en-US"/>
              </w:rPr>
            </w:pPr>
            <w:r w:rsidRPr="0037578C">
              <w:rPr>
                <w:rFonts w:asciiTheme="minorHAnsi" w:eastAsiaTheme="minorHAnsi" w:hAnsiTheme="minorHAnsi" w:cstheme="minorBidi"/>
                <w:color w:val="000000"/>
                <w:lang w:eastAsia="en-US"/>
              </w:rPr>
              <w:t>Hodnoty</w:t>
            </w:r>
            <w:r w:rsidR="002E6F1B">
              <w:rPr>
                <w:rFonts w:asciiTheme="minorHAnsi" w:eastAsiaTheme="minorHAnsi" w:hAnsiTheme="minorHAnsi" w:cstheme="minorBidi"/>
                <w:color w:val="000000"/>
                <w:lang w:eastAsia="en-US"/>
              </w:rPr>
              <w:t>,</w:t>
            </w:r>
            <w:r w:rsidRPr="0037578C">
              <w:rPr>
                <w:rFonts w:asciiTheme="minorHAnsi" w:eastAsiaTheme="minorHAnsi" w:hAnsiTheme="minorHAnsi" w:cstheme="minorBidi"/>
                <w:color w:val="000000"/>
                <w:lang w:eastAsia="en-US"/>
              </w:rPr>
              <w:t xml:space="preserve"> stanovené na základě uvedených pravidel</w:t>
            </w:r>
            <w:r w:rsidR="002E6F1B">
              <w:rPr>
                <w:rFonts w:asciiTheme="minorHAnsi" w:eastAsiaTheme="minorHAnsi" w:hAnsiTheme="minorHAnsi" w:cstheme="minorBidi"/>
                <w:color w:val="000000"/>
                <w:lang w:eastAsia="en-US"/>
              </w:rPr>
              <w:t>,</w:t>
            </w:r>
            <w:r w:rsidRPr="0037578C">
              <w:rPr>
                <w:rFonts w:asciiTheme="minorHAnsi" w:eastAsiaTheme="minorHAnsi" w:hAnsiTheme="minorHAnsi" w:cstheme="minorBidi"/>
                <w:color w:val="000000"/>
                <w:lang w:eastAsia="en-US"/>
              </w:rPr>
              <w:t xml:space="preserve"> žadatel zadává do žádosti o podporu v sy</w:t>
            </w:r>
            <w:r w:rsidR="00E31FE4">
              <w:rPr>
                <w:rFonts w:asciiTheme="minorHAnsi" w:eastAsiaTheme="minorHAnsi" w:hAnsiTheme="minorHAnsi" w:cstheme="minorBidi"/>
                <w:color w:val="000000"/>
                <w:lang w:eastAsia="en-US"/>
              </w:rPr>
              <w:t>s</w:t>
            </w:r>
            <w:r w:rsidRPr="0037578C">
              <w:rPr>
                <w:rFonts w:asciiTheme="minorHAnsi" w:eastAsiaTheme="minorHAnsi" w:hAnsiTheme="minorHAnsi" w:cstheme="minorBidi"/>
                <w:color w:val="000000"/>
                <w:lang w:eastAsia="en-US"/>
              </w:rPr>
              <w:t xml:space="preserve">tému  </w:t>
            </w:r>
            <w:r w:rsidR="00A5170B">
              <w:rPr>
                <w:rFonts w:asciiTheme="minorHAnsi" w:eastAsiaTheme="minorHAnsi" w:hAnsiTheme="minorHAnsi" w:cstheme="minorBidi"/>
                <w:color w:val="000000"/>
                <w:lang w:eastAsia="en-US"/>
              </w:rPr>
              <w:t>MS2014+</w:t>
            </w:r>
            <w:r w:rsidRPr="0037578C">
              <w:rPr>
                <w:rFonts w:asciiTheme="minorHAnsi" w:eastAsiaTheme="minorHAnsi" w:hAnsiTheme="minorHAnsi" w:cstheme="minorBidi"/>
                <w:color w:val="000000"/>
                <w:lang w:eastAsia="en-US"/>
              </w:rPr>
              <w:t>. Dosažené hodnoty vykaz</w:t>
            </w:r>
            <w:r w:rsidR="002E6F1B">
              <w:rPr>
                <w:rFonts w:asciiTheme="minorHAnsi" w:eastAsiaTheme="minorHAnsi" w:hAnsiTheme="minorHAnsi" w:cstheme="minorBidi"/>
                <w:color w:val="000000"/>
                <w:lang w:eastAsia="en-US"/>
              </w:rPr>
              <w:t>uje</w:t>
            </w:r>
            <w:r w:rsidRPr="0037578C">
              <w:rPr>
                <w:rFonts w:asciiTheme="minorHAnsi" w:eastAsiaTheme="minorHAnsi" w:hAnsiTheme="minorHAnsi" w:cstheme="minorBidi"/>
                <w:color w:val="000000"/>
                <w:lang w:eastAsia="en-US"/>
              </w:rPr>
              <w:t xml:space="preserve"> v systému </w:t>
            </w:r>
            <w:r w:rsidR="00A5170B">
              <w:rPr>
                <w:rFonts w:asciiTheme="minorHAnsi" w:eastAsiaTheme="minorHAnsi" w:hAnsiTheme="minorHAnsi" w:cstheme="minorBidi"/>
                <w:color w:val="000000"/>
                <w:lang w:eastAsia="en-US"/>
              </w:rPr>
              <w:t>MS2014+</w:t>
            </w:r>
            <w:r w:rsidRPr="0037578C">
              <w:rPr>
                <w:rFonts w:asciiTheme="minorHAnsi" w:eastAsiaTheme="minorHAnsi" w:hAnsiTheme="minorHAnsi" w:cstheme="minorBidi"/>
                <w:color w:val="000000"/>
                <w:lang w:eastAsia="en-US"/>
              </w:rPr>
              <w:t xml:space="preserve"> prostřednictvím:</w:t>
            </w:r>
          </w:p>
          <w:p w:rsidR="0064634B" w:rsidRPr="0064634B" w:rsidRDefault="0064634B" w:rsidP="0064634B">
            <w:pPr>
              <w:spacing w:before="120" w:after="120" w:line="276" w:lineRule="auto"/>
              <w:ind w:left="170" w:right="170"/>
              <w:rPr>
                <w:rFonts w:asciiTheme="minorHAnsi" w:eastAsiaTheme="minorHAnsi" w:hAnsiTheme="minorHAnsi" w:cstheme="minorBidi"/>
                <w:lang w:eastAsia="en-US"/>
              </w:rPr>
            </w:pPr>
            <w:r w:rsidRPr="0064634B">
              <w:rPr>
                <w:rFonts w:asciiTheme="minorHAnsi" w:eastAsiaTheme="minorHAnsi" w:hAnsiTheme="minorHAnsi" w:cstheme="minorBidi"/>
                <w:lang w:eastAsia="en-US"/>
              </w:rPr>
              <w:t>Průběžných zpráv o realizaci projektu</w:t>
            </w:r>
          </w:p>
          <w:p w:rsidR="0064634B" w:rsidRPr="0064634B" w:rsidRDefault="0064634B" w:rsidP="0064634B">
            <w:pPr>
              <w:spacing w:before="120" w:after="120" w:line="276" w:lineRule="auto"/>
              <w:ind w:left="170" w:right="170"/>
              <w:rPr>
                <w:rFonts w:asciiTheme="minorHAnsi" w:eastAsiaTheme="minorHAnsi" w:hAnsiTheme="minorHAnsi" w:cstheme="minorBidi"/>
                <w:lang w:eastAsia="en-US"/>
              </w:rPr>
            </w:pPr>
            <w:r w:rsidRPr="0064634B">
              <w:rPr>
                <w:rFonts w:asciiTheme="minorHAnsi" w:eastAsiaTheme="minorHAnsi" w:hAnsiTheme="minorHAnsi" w:cstheme="minorBidi"/>
                <w:lang w:eastAsia="en-US"/>
              </w:rPr>
              <w:t xml:space="preserve">Závěrečné zprávy o realizaci projektu </w:t>
            </w:r>
          </w:p>
          <w:p w:rsidR="0064634B" w:rsidRPr="0064634B" w:rsidRDefault="0064634B" w:rsidP="0064634B">
            <w:pPr>
              <w:spacing w:before="120" w:after="120"/>
              <w:ind w:left="170" w:right="170"/>
              <w:rPr>
                <w:rFonts w:asciiTheme="minorHAnsi" w:eastAsiaTheme="minorHAnsi" w:hAnsiTheme="minorHAnsi" w:cstheme="minorBidi"/>
                <w:color w:val="000000"/>
                <w:u w:val="single"/>
                <w:lang w:eastAsia="en-US"/>
              </w:rPr>
            </w:pPr>
            <w:r w:rsidRPr="0064634B">
              <w:rPr>
                <w:rFonts w:asciiTheme="minorHAnsi" w:eastAsiaTheme="minorHAnsi" w:hAnsiTheme="minorHAnsi" w:cstheme="minorBidi"/>
                <w:lang w:eastAsia="en-US"/>
              </w:rPr>
              <w:t>Zpráv o udržitelnosti projektu</w:t>
            </w:r>
            <w:r w:rsidRPr="0064634B">
              <w:rPr>
                <w:rFonts w:asciiTheme="minorHAnsi" w:eastAsiaTheme="minorHAnsi" w:hAnsiTheme="minorHAnsi" w:cstheme="minorBidi"/>
                <w:color w:val="000000"/>
                <w:u w:val="single"/>
                <w:lang w:eastAsia="en-US"/>
              </w:rPr>
              <w:t xml:space="preserve"> </w:t>
            </w:r>
          </w:p>
          <w:p w:rsidR="00E555A1" w:rsidRDefault="00E555A1" w:rsidP="0064634B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  <w:u w:val="single"/>
              </w:rPr>
            </w:pPr>
            <w:r w:rsidRPr="00E77445">
              <w:rPr>
                <w:rFonts w:asciiTheme="minorHAnsi" w:hAnsiTheme="minorHAnsi"/>
                <w:color w:val="000000"/>
                <w:u w:val="single"/>
              </w:rPr>
              <w:t>Výpočet</w:t>
            </w:r>
          </w:p>
          <w:p w:rsidR="00AB7A28" w:rsidRDefault="00AB7A28" w:rsidP="00AB7A28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AB7A28">
              <w:rPr>
                <w:rFonts w:asciiTheme="minorHAnsi" w:hAnsiTheme="minorHAnsi"/>
                <w:color w:val="000000"/>
              </w:rPr>
              <w:t xml:space="preserve">Hodnota indikátoru je </w:t>
            </w:r>
            <w:r>
              <w:rPr>
                <w:rFonts w:asciiTheme="minorHAnsi" w:hAnsiTheme="minorHAnsi"/>
                <w:color w:val="000000"/>
              </w:rPr>
              <w:t>vykazována</w:t>
            </w:r>
            <w:r w:rsidR="00E92F3A">
              <w:rPr>
                <w:rFonts w:asciiTheme="minorHAnsi" w:hAnsiTheme="minorHAnsi"/>
                <w:color w:val="000000"/>
              </w:rPr>
              <w:t xml:space="preserve"> </w:t>
            </w:r>
            <w:r w:rsidRPr="00AB7A28">
              <w:rPr>
                <w:rFonts w:asciiTheme="minorHAnsi" w:hAnsiTheme="minorHAnsi"/>
                <w:color w:val="000000"/>
              </w:rPr>
              <w:t>s p</w:t>
            </w:r>
            <w:r w:rsidR="00E92F3A">
              <w:rPr>
                <w:rFonts w:asciiTheme="minorHAnsi" w:hAnsiTheme="minorHAnsi"/>
                <w:color w:val="000000"/>
              </w:rPr>
              <w:t xml:space="preserve">řesností na tři desetinná místa, </w:t>
            </w:r>
            <w:r w:rsidRPr="00AB7A28">
              <w:rPr>
                <w:rFonts w:asciiTheme="minorHAnsi" w:hAnsiTheme="minorHAnsi"/>
                <w:color w:val="000000"/>
              </w:rPr>
              <w:t>zaokrou</w:t>
            </w:r>
            <w:r w:rsidR="00E92F3A">
              <w:rPr>
                <w:rFonts w:asciiTheme="minorHAnsi" w:hAnsiTheme="minorHAnsi"/>
                <w:color w:val="000000"/>
              </w:rPr>
              <w:t>hlení je prováděno matematicky.</w:t>
            </w:r>
          </w:p>
          <w:p w:rsidR="001C4BCD" w:rsidRPr="0037578C" w:rsidRDefault="00E77445" w:rsidP="00427C59">
            <w:pPr>
              <w:spacing w:before="120" w:after="120"/>
              <w:ind w:left="170" w:right="170"/>
              <w:rPr>
                <w:rFonts w:asciiTheme="minorHAnsi" w:hAnsiTheme="minorHAnsi"/>
                <w:color w:val="000000"/>
              </w:rPr>
            </w:pPr>
            <w:r w:rsidRPr="00E77445">
              <w:rPr>
                <w:rFonts w:asciiTheme="minorHAnsi" w:hAnsiTheme="minorHAnsi"/>
                <w:color w:val="000000"/>
              </w:rPr>
              <w:t xml:space="preserve">V případě, kdy je dokument zpracováván pro ucelené území (např. celé katastrální území obce, celé území památkové zóny) lze využít statistikou sledované a vykazované výměry </w:t>
            </w:r>
            <w:r w:rsidR="009D43A6">
              <w:rPr>
                <w:rFonts w:asciiTheme="minorHAnsi" w:hAnsiTheme="minorHAnsi"/>
                <w:color w:val="000000"/>
              </w:rPr>
              <w:t>těchto</w:t>
            </w:r>
            <w:r w:rsidRPr="00E77445">
              <w:rPr>
                <w:rFonts w:asciiTheme="minorHAnsi" w:hAnsiTheme="minorHAnsi"/>
                <w:color w:val="000000"/>
              </w:rPr>
              <w:t xml:space="preserve"> území.</w:t>
            </w:r>
          </w:p>
        </w:tc>
      </w:tr>
    </w:tbl>
    <w:p w:rsidR="00E555A1" w:rsidRDefault="00E555A1" w:rsidP="00E555A1"/>
    <w:p w:rsidR="00504A7D" w:rsidRDefault="00504A7D" w:rsidP="00504A7D"/>
    <w:p w:rsidR="000709B8" w:rsidRPr="00194C06" w:rsidRDefault="00504A7D" w:rsidP="00504A7D">
      <w:pPr>
        <w:spacing w:after="200" w:line="276" w:lineRule="auto"/>
        <w:rPr>
          <w:b/>
        </w:rPr>
      </w:pPr>
      <w:r>
        <w:rPr>
          <w:b/>
        </w:rPr>
        <w:br w:type="page"/>
      </w:r>
    </w:p>
    <w:tbl>
      <w:tblPr>
        <w:tblW w:w="982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0"/>
        <w:gridCol w:w="1843"/>
        <w:gridCol w:w="992"/>
        <w:gridCol w:w="1134"/>
        <w:gridCol w:w="1843"/>
        <w:gridCol w:w="2089"/>
      </w:tblGrid>
      <w:tr w:rsidR="000709B8" w:rsidRPr="0098535B" w:rsidTr="00510CE2">
        <w:trPr>
          <w:trHeight w:val="390"/>
          <w:jc w:val="center"/>
        </w:trPr>
        <w:tc>
          <w:tcPr>
            <w:tcW w:w="9821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0709B8" w:rsidRPr="001634C6" w:rsidRDefault="000709B8" w:rsidP="00270810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1634C6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744284" w:rsidRPr="001634C6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0709B8" w:rsidRPr="0098535B" w:rsidTr="00510CE2">
        <w:trPr>
          <w:trHeight w:val="328"/>
          <w:jc w:val="center"/>
        </w:trPr>
        <w:tc>
          <w:tcPr>
            <w:tcW w:w="9821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709B8" w:rsidRPr="001634C6" w:rsidRDefault="00744284" w:rsidP="00270810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1634C6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Název indikátoru</w:t>
            </w:r>
            <w:r w:rsidR="000709B8" w:rsidRPr="001634C6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709B8" w:rsidRPr="0098535B" w:rsidTr="00510CE2">
        <w:trPr>
          <w:trHeight w:val="312"/>
          <w:jc w:val="center"/>
        </w:trPr>
        <w:tc>
          <w:tcPr>
            <w:tcW w:w="9821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709B8" w:rsidRPr="001634C6" w:rsidRDefault="007C2813" w:rsidP="00270810">
            <w:pPr>
              <w:spacing w:before="120" w:after="12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1634C6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POČET ÚZEMNÍCH PLÁNŮ</w:t>
            </w:r>
          </w:p>
        </w:tc>
      </w:tr>
      <w:tr w:rsidR="000709B8" w:rsidRPr="0098535B" w:rsidTr="00510CE2">
        <w:trPr>
          <w:trHeight w:val="545"/>
          <w:jc w:val="center"/>
        </w:trPr>
        <w:tc>
          <w:tcPr>
            <w:tcW w:w="192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0709B8" w:rsidRPr="001634C6" w:rsidRDefault="00744284" w:rsidP="00270810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1634C6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709B8" w:rsidRPr="001634C6" w:rsidRDefault="00744284" w:rsidP="00270810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1634C6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709B8" w:rsidRPr="001634C6" w:rsidRDefault="00744284" w:rsidP="00270810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1634C6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0709B8" w:rsidRPr="001634C6" w:rsidRDefault="00744284" w:rsidP="00270810">
            <w:pPr>
              <w:spacing w:before="80" w:after="80"/>
              <w:ind w:left="57" w:right="57"/>
              <w:jc w:val="center"/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1634C6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208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0709B8" w:rsidRPr="001634C6" w:rsidRDefault="00744284" w:rsidP="00270810">
            <w:pPr>
              <w:spacing w:before="80" w:after="80"/>
              <w:ind w:right="57"/>
              <w:jc w:val="center"/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1634C6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0709B8" w:rsidRPr="0098535B" w:rsidTr="00510CE2">
        <w:trPr>
          <w:trHeight w:val="438"/>
          <w:jc w:val="center"/>
        </w:trPr>
        <w:tc>
          <w:tcPr>
            <w:tcW w:w="1920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9B8" w:rsidRPr="001634C6" w:rsidRDefault="007C2813" w:rsidP="00270810">
            <w:pPr>
              <w:spacing w:before="120" w:after="12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1634C6">
              <w:rPr>
                <w:rFonts w:asciiTheme="majorHAnsi" w:hAnsiTheme="majorHAnsi"/>
                <w:b/>
                <w:bCs/>
                <w:color w:val="000000"/>
              </w:rPr>
              <w:t>9 02 01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9B8" w:rsidRPr="001634C6" w:rsidRDefault="000709B8" w:rsidP="00270810">
            <w:pPr>
              <w:spacing w:before="120" w:after="12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1634C6">
              <w:rPr>
                <w:rFonts w:asciiTheme="majorHAnsi" w:hAnsiTheme="majorHAnsi"/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9B8" w:rsidRPr="001634C6" w:rsidRDefault="007C2813" w:rsidP="00270810">
            <w:pPr>
              <w:spacing w:before="120" w:after="120"/>
              <w:jc w:val="center"/>
              <w:rPr>
                <w:rFonts w:asciiTheme="majorHAnsi" w:hAnsiTheme="majorHAnsi"/>
                <w:b/>
                <w:bCs/>
                <w:color w:val="000000"/>
                <w:vertAlign w:val="superscript"/>
              </w:rPr>
            </w:pPr>
            <w:r w:rsidRPr="001634C6">
              <w:rPr>
                <w:rFonts w:asciiTheme="majorHAnsi" w:hAnsiTheme="majorHAnsi"/>
                <w:b/>
                <w:bCs/>
                <w:color w:val="000000"/>
              </w:rPr>
              <w:t>Plány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9B8" w:rsidRPr="001634C6" w:rsidRDefault="000709B8" w:rsidP="00270810">
            <w:pPr>
              <w:spacing w:before="120" w:after="12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1634C6">
              <w:rPr>
                <w:rFonts w:asciiTheme="majorHAnsi" w:hAnsiTheme="majorHAnsi"/>
                <w:b/>
                <w:bCs/>
                <w:color w:val="000000"/>
              </w:rPr>
              <w:t>Ne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709B8" w:rsidRPr="001634C6" w:rsidRDefault="000709B8" w:rsidP="00270810">
            <w:pPr>
              <w:spacing w:before="120" w:after="120"/>
              <w:ind w:left="-70" w:firstLine="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1634C6">
              <w:rPr>
                <w:rFonts w:asciiTheme="majorHAnsi" w:hAnsiTheme="majorHAnsi"/>
                <w:b/>
                <w:bCs/>
                <w:color w:val="000000"/>
              </w:rPr>
              <w:t>Ano</w:t>
            </w:r>
          </w:p>
        </w:tc>
      </w:tr>
      <w:tr w:rsidR="000709B8" w:rsidRPr="0098535B" w:rsidTr="00510CE2">
        <w:trPr>
          <w:trHeight w:val="236"/>
          <w:jc w:val="center"/>
        </w:trPr>
        <w:tc>
          <w:tcPr>
            <w:tcW w:w="9821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709B8" w:rsidRPr="001634C6" w:rsidRDefault="00744284" w:rsidP="00270810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1634C6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0709B8" w:rsidRPr="001634C6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0709B8" w:rsidRPr="0098535B" w:rsidTr="00510CE2">
        <w:trPr>
          <w:trHeight w:val="368"/>
          <w:jc w:val="center"/>
        </w:trPr>
        <w:tc>
          <w:tcPr>
            <w:tcW w:w="9821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0709B8" w:rsidRPr="0098535B" w:rsidRDefault="00D85CE1" w:rsidP="002E6F1B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 w:rsidRPr="00AF02AC">
              <w:rPr>
                <w:rFonts w:asciiTheme="minorHAnsi" w:hAnsiTheme="minorHAnsi"/>
                <w:color w:val="000000"/>
              </w:rPr>
              <w:t>Jedná se o p</w:t>
            </w:r>
            <w:r>
              <w:rPr>
                <w:rFonts w:asciiTheme="minorHAnsi" w:hAnsiTheme="minorHAnsi"/>
                <w:color w:val="000000"/>
              </w:rPr>
              <w:t xml:space="preserve">očet pořízených územních plánů </w:t>
            </w:r>
            <w:r w:rsidRPr="00AF02AC">
              <w:rPr>
                <w:rFonts w:asciiTheme="minorHAnsi" w:hAnsiTheme="minorHAnsi"/>
                <w:color w:val="000000"/>
              </w:rPr>
              <w:t>a změn územních p</w:t>
            </w:r>
            <w:r>
              <w:rPr>
                <w:rFonts w:asciiTheme="minorHAnsi" w:hAnsiTheme="minorHAnsi"/>
                <w:color w:val="000000"/>
              </w:rPr>
              <w:t xml:space="preserve">lánů ve vazbě na územní studie </w:t>
            </w:r>
            <w:r w:rsidRPr="00AF02AC">
              <w:rPr>
                <w:rFonts w:asciiTheme="minorHAnsi" w:hAnsiTheme="minorHAnsi"/>
                <w:color w:val="000000"/>
              </w:rPr>
              <w:t>(dle zákona o územním plánování a stavebním řádu - stavební zákon). Podstatou územních plánů je stanovení koncepce rozvoje území obce, ochrany jeho hodnot, koordinace využití území, veřejných zájmů v území, racionalizace prostorového a funkčního uspořádání území a jeho využití včetně umožnění další výstavby a zajištění udržitelného rozvoje území spočívajícího v nalezení vyváženého stavu mezi podmínkami pro příznivé životní prostředí, hospodářský rozvoj a soudržnost společenství obyvatel území. Subjekty, které si pořizují územní plány, jsou obce s rozšířenou působností.</w:t>
            </w:r>
          </w:p>
        </w:tc>
      </w:tr>
      <w:tr w:rsidR="000709B8" w:rsidRPr="0098535B" w:rsidTr="00510CE2">
        <w:trPr>
          <w:trHeight w:val="301"/>
          <w:jc w:val="center"/>
        </w:trPr>
        <w:tc>
          <w:tcPr>
            <w:tcW w:w="4755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0709B8" w:rsidRPr="001634C6" w:rsidRDefault="000709B8" w:rsidP="00270810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color w:val="000000"/>
              </w:rPr>
            </w:pPr>
            <w:r w:rsidRPr="001634C6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5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0709B8" w:rsidRPr="001634C6" w:rsidRDefault="000709B8" w:rsidP="00270810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color w:val="000000"/>
              </w:rPr>
            </w:pPr>
            <w:r w:rsidRPr="001634C6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0709B8" w:rsidRPr="0098535B" w:rsidTr="00510CE2">
        <w:trPr>
          <w:trHeight w:val="285"/>
          <w:jc w:val="center"/>
        </w:trPr>
        <w:tc>
          <w:tcPr>
            <w:tcW w:w="4755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9B8" w:rsidRPr="0098535B" w:rsidRDefault="000709B8" w:rsidP="00270810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294487">
              <w:rPr>
                <w:rFonts w:asciiTheme="minorHAnsi" w:hAnsiTheme="minorHAnsi"/>
                <w:b/>
                <w:color w:val="000000"/>
              </w:rPr>
              <w:t>3</w:t>
            </w:r>
            <w:r w:rsidRPr="00294487">
              <w:rPr>
                <w:rFonts w:asciiTheme="minorHAnsi" w:hAnsiTheme="minorHAnsi"/>
                <w:color w:val="000000"/>
              </w:rPr>
              <w:t xml:space="preserve"> -  Dobrá správa území a zefektivnění veřejných institucí</w:t>
            </w:r>
          </w:p>
        </w:tc>
        <w:tc>
          <w:tcPr>
            <w:tcW w:w="506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709B8" w:rsidRPr="0098535B" w:rsidRDefault="000709B8" w:rsidP="00270810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 w:rsidRPr="00294487">
              <w:rPr>
                <w:rFonts w:asciiTheme="minorHAnsi" w:hAnsiTheme="minorHAnsi"/>
                <w:b/>
              </w:rPr>
              <w:t>3.3</w:t>
            </w:r>
            <w:r w:rsidRPr="00294487">
              <w:rPr>
                <w:rFonts w:asciiTheme="minorHAnsi" w:hAnsiTheme="minorHAnsi"/>
              </w:rPr>
              <w:t xml:space="preserve"> - Podpora pořizování a uplatňování dokumentů územního rozvoje</w:t>
            </w:r>
          </w:p>
        </w:tc>
      </w:tr>
      <w:tr w:rsidR="000709B8" w:rsidRPr="0098535B" w:rsidTr="00510CE2">
        <w:trPr>
          <w:trHeight w:val="375"/>
          <w:jc w:val="center"/>
        </w:trPr>
        <w:tc>
          <w:tcPr>
            <w:tcW w:w="9821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709B8" w:rsidRPr="001634C6" w:rsidRDefault="00744284" w:rsidP="00270810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1634C6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0709B8" w:rsidRPr="0098535B" w:rsidTr="00510CE2">
        <w:trPr>
          <w:trHeight w:val="368"/>
          <w:jc w:val="center"/>
        </w:trPr>
        <w:tc>
          <w:tcPr>
            <w:tcW w:w="9821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0709B8" w:rsidRPr="001634C6" w:rsidRDefault="000709B8" w:rsidP="00270810">
            <w:pPr>
              <w:spacing w:before="120" w:after="12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1634C6">
              <w:rPr>
                <w:rFonts w:asciiTheme="majorHAnsi" w:hAnsiTheme="majorHAnsi"/>
                <w:b/>
                <w:bCs/>
              </w:rPr>
              <w:t>Nulová</w:t>
            </w:r>
          </w:p>
        </w:tc>
      </w:tr>
      <w:tr w:rsidR="000709B8" w:rsidRPr="0098535B" w:rsidTr="00510CE2">
        <w:trPr>
          <w:trHeight w:val="269"/>
          <w:jc w:val="center"/>
        </w:trPr>
        <w:tc>
          <w:tcPr>
            <w:tcW w:w="9821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0709B8" w:rsidRPr="001634C6" w:rsidRDefault="00744284" w:rsidP="00270810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</w:pPr>
            <w:r w:rsidRPr="001634C6">
              <w:rPr>
                <w:rFonts w:asciiTheme="majorHAnsi" w:hAnsiTheme="majorHAnsi"/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0709B8" w:rsidRPr="0098535B" w:rsidTr="00510CE2">
        <w:trPr>
          <w:trHeight w:val="810"/>
          <w:jc w:val="center"/>
        </w:trPr>
        <w:tc>
          <w:tcPr>
            <w:tcW w:w="9821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E92F3A" w:rsidRDefault="00B80F3D" w:rsidP="00A1777E">
            <w:pPr>
              <w:spacing w:before="120" w:after="120" w:line="276" w:lineRule="auto"/>
              <w:ind w:left="170" w:right="170"/>
              <w:rPr>
                <w:rFonts w:asciiTheme="minorHAnsi" w:hAnsiTheme="minorHAnsi"/>
                <w:color w:val="000000"/>
              </w:rPr>
            </w:pPr>
            <w:r w:rsidRPr="00B80F3D">
              <w:rPr>
                <w:rFonts w:asciiTheme="minorHAnsi" w:hAnsiTheme="minorHAnsi"/>
                <w:color w:val="000000"/>
              </w:rPr>
              <w:t xml:space="preserve">Za příspěvek k plnění indikátoru nelze považovat zpracování podkladů </w:t>
            </w:r>
            <w:r w:rsidR="00E92F3A">
              <w:rPr>
                <w:rFonts w:asciiTheme="minorHAnsi" w:hAnsiTheme="minorHAnsi"/>
                <w:color w:val="000000"/>
              </w:rPr>
              <w:t>pro ÚP</w:t>
            </w:r>
            <w:r w:rsidR="00427C59">
              <w:rPr>
                <w:rFonts w:asciiTheme="minorHAnsi" w:hAnsiTheme="minorHAnsi"/>
                <w:color w:val="000000"/>
              </w:rPr>
              <w:t xml:space="preserve">, </w:t>
            </w:r>
            <w:r w:rsidRPr="00B80F3D">
              <w:rPr>
                <w:rFonts w:asciiTheme="minorHAnsi" w:hAnsiTheme="minorHAnsi"/>
                <w:color w:val="000000"/>
              </w:rPr>
              <w:t xml:space="preserve">rozpracování či neúplné zpracování apod. </w:t>
            </w:r>
            <w:r w:rsidR="00E92F3A">
              <w:rPr>
                <w:rFonts w:asciiTheme="minorHAnsi" w:hAnsiTheme="minorHAnsi"/>
                <w:color w:val="000000"/>
              </w:rPr>
              <w:t>T</w:t>
            </w:r>
            <w:r w:rsidRPr="00B80F3D">
              <w:rPr>
                <w:rFonts w:asciiTheme="minorHAnsi" w:hAnsiTheme="minorHAnsi"/>
                <w:color w:val="000000"/>
              </w:rPr>
              <w:t>yto dílčí práce do cílové hodnot</w:t>
            </w:r>
            <w:r w:rsidR="0016080D">
              <w:rPr>
                <w:rFonts w:asciiTheme="minorHAnsi" w:hAnsiTheme="minorHAnsi"/>
                <w:color w:val="000000"/>
              </w:rPr>
              <w:t>y indikátoru na úrovni projektu</w:t>
            </w:r>
            <w:r w:rsidR="00BC32C1">
              <w:rPr>
                <w:rFonts w:asciiTheme="minorHAnsi" w:hAnsiTheme="minorHAnsi"/>
                <w:color w:val="000000"/>
              </w:rPr>
              <w:t>.</w:t>
            </w:r>
            <w:r w:rsidR="00E80523">
              <w:rPr>
                <w:rFonts w:asciiTheme="minorHAnsi" w:hAnsiTheme="minorHAnsi"/>
                <w:color w:val="000000"/>
              </w:rPr>
              <w:t xml:space="preserve"> </w:t>
            </w:r>
          </w:p>
          <w:p w:rsidR="00A1777E" w:rsidRPr="00B80F3D" w:rsidRDefault="00BC32C1" w:rsidP="00195418">
            <w:pPr>
              <w:spacing w:before="120" w:after="120" w:line="276" w:lineRule="auto"/>
              <w:ind w:left="170" w:right="170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D</w:t>
            </w:r>
            <w:r w:rsidR="00E80523">
              <w:rPr>
                <w:rFonts w:asciiTheme="minorHAnsi" w:hAnsiTheme="minorHAnsi"/>
                <w:color w:val="000000"/>
              </w:rPr>
              <w:t xml:space="preserve">okument </w:t>
            </w:r>
            <w:r w:rsidR="0016080D">
              <w:rPr>
                <w:rFonts w:asciiTheme="minorHAnsi" w:hAnsiTheme="minorHAnsi"/>
                <w:color w:val="000000"/>
              </w:rPr>
              <w:t>bude vykazován</w:t>
            </w:r>
            <w:r w:rsidR="00E80523">
              <w:rPr>
                <w:rFonts w:asciiTheme="minorHAnsi" w:hAnsiTheme="minorHAnsi"/>
                <w:color w:val="000000"/>
              </w:rPr>
              <w:t xml:space="preserve"> jako celek, nelze vykázat desetinné číslo.</w:t>
            </w:r>
            <w:r w:rsidR="00195418">
              <w:rPr>
                <w:rFonts w:asciiTheme="minorHAnsi" w:hAnsiTheme="minorHAnsi"/>
                <w:color w:val="000000"/>
              </w:rPr>
              <w:t xml:space="preserve"> </w:t>
            </w:r>
            <w:r w:rsidR="00A1777E">
              <w:rPr>
                <w:rFonts w:asciiTheme="minorHAnsi" w:hAnsiTheme="minorHAnsi"/>
                <w:color w:val="000000"/>
              </w:rPr>
              <w:t>Změna ÚP je chápána jako aktualizace ÚP (jedna či více změn ÚP najednou) a proto je cílová hodnota také vždy rovna 1.</w:t>
            </w:r>
          </w:p>
          <w:p w:rsidR="000709B8" w:rsidRDefault="00D85CE1" w:rsidP="00A1777E">
            <w:pPr>
              <w:spacing w:before="120" w:after="120" w:line="276" w:lineRule="auto"/>
              <w:ind w:left="170" w:right="170"/>
              <w:rPr>
                <w:rFonts w:asciiTheme="minorHAnsi" w:hAnsiTheme="minorHAnsi"/>
                <w:color w:val="000000"/>
              </w:rPr>
            </w:pPr>
            <w:r w:rsidRPr="00185424">
              <w:rPr>
                <w:rFonts w:asciiTheme="minorHAnsi" w:hAnsiTheme="minorHAnsi"/>
                <w:b/>
                <w:color w:val="000000"/>
              </w:rPr>
              <w:t>Cílová hodnota</w:t>
            </w:r>
            <w:r>
              <w:rPr>
                <w:rFonts w:asciiTheme="minorHAnsi" w:hAnsiTheme="minorHAnsi"/>
                <w:b/>
                <w:color w:val="000000"/>
              </w:rPr>
              <w:t>:</w:t>
            </w:r>
            <w:r>
              <w:rPr>
                <w:rFonts w:asciiTheme="minorHAnsi" w:hAnsiTheme="minorHAnsi"/>
                <w:color w:val="000000"/>
              </w:rPr>
              <w:t xml:space="preserve"> </w:t>
            </w:r>
            <w:r w:rsidR="00427C59">
              <w:rPr>
                <w:rFonts w:asciiTheme="minorHAnsi" w:hAnsiTheme="minorHAnsi"/>
                <w:color w:val="000000"/>
              </w:rPr>
              <w:t>V</w:t>
            </w:r>
            <w:r w:rsidR="00B80F3D">
              <w:rPr>
                <w:rFonts w:asciiTheme="minorHAnsi" w:hAnsiTheme="minorHAnsi"/>
                <w:color w:val="000000"/>
              </w:rPr>
              <w:t>ždy rovna jedné.</w:t>
            </w:r>
            <w:r w:rsidR="00530DBE">
              <w:rPr>
                <w:rFonts w:asciiTheme="minorHAnsi" w:hAnsiTheme="minorHAnsi"/>
                <w:color w:val="000000"/>
              </w:rPr>
              <w:t xml:space="preserve"> </w:t>
            </w:r>
            <w:r w:rsidR="00A1777E">
              <w:rPr>
                <w:rFonts w:asciiTheme="minorHAnsi" w:hAnsiTheme="minorHAnsi"/>
                <w:color w:val="000000"/>
              </w:rPr>
              <w:t>Změna ÚP je chápána jako aktualizace ÚP (jedna či více změn ÚP najednou) a proto je cí</w:t>
            </w:r>
            <w:r w:rsidR="00B665D7">
              <w:rPr>
                <w:rFonts w:asciiTheme="minorHAnsi" w:hAnsiTheme="minorHAnsi"/>
                <w:color w:val="000000"/>
              </w:rPr>
              <w:t>lová hodnota také vždy rovna 1.</w:t>
            </w:r>
          </w:p>
          <w:p w:rsidR="00071BC3" w:rsidRDefault="00071BC3" w:rsidP="006770E7">
            <w:pPr>
              <w:spacing w:line="360" w:lineRule="auto"/>
              <w:ind w:left="170" w:right="170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b/>
                <w:color w:val="000000"/>
              </w:rPr>
              <w:t>Dosažená hodnota:</w:t>
            </w:r>
            <w:r>
              <w:rPr>
                <w:rFonts w:asciiTheme="minorHAnsi" w:hAnsiTheme="minorHAnsi"/>
                <w:color w:val="000000"/>
              </w:rPr>
              <w:t xml:space="preserve"> </w:t>
            </w:r>
            <w:r w:rsidR="00E92F3A">
              <w:rPr>
                <w:rFonts w:asciiTheme="minorHAnsi" w:hAnsiTheme="minorHAnsi"/>
                <w:color w:val="000000"/>
              </w:rPr>
              <w:t>Počet územních</w:t>
            </w:r>
            <w:r w:rsidR="00E92F3A" w:rsidRPr="006A1549">
              <w:rPr>
                <w:rFonts w:asciiTheme="minorHAnsi" w:hAnsiTheme="minorHAnsi"/>
                <w:color w:val="000000"/>
              </w:rPr>
              <w:t xml:space="preserve"> plánů, </w:t>
            </w:r>
            <w:r w:rsidR="00E92F3A">
              <w:rPr>
                <w:rFonts w:asciiTheme="minorHAnsi" w:hAnsiTheme="minorHAnsi"/>
                <w:color w:val="000000"/>
              </w:rPr>
              <w:t xml:space="preserve">které byly při realizaci </w:t>
            </w:r>
            <w:r w:rsidR="00E92F3A" w:rsidRPr="006A1549">
              <w:rPr>
                <w:rFonts w:asciiTheme="minorHAnsi" w:hAnsiTheme="minorHAnsi"/>
                <w:color w:val="000000"/>
              </w:rPr>
              <w:t>projekt</w:t>
            </w:r>
            <w:r w:rsidR="00E92F3A">
              <w:rPr>
                <w:rFonts w:asciiTheme="minorHAnsi" w:hAnsiTheme="minorHAnsi"/>
                <w:color w:val="000000"/>
              </w:rPr>
              <w:t>u</w:t>
            </w:r>
            <w:r w:rsidR="00E92F3A" w:rsidRPr="006A1549">
              <w:rPr>
                <w:rFonts w:asciiTheme="minorHAnsi" w:hAnsiTheme="minorHAnsi"/>
                <w:color w:val="000000"/>
              </w:rPr>
              <w:t xml:space="preserve"> </w:t>
            </w:r>
            <w:r w:rsidR="00E92F3A">
              <w:rPr>
                <w:rFonts w:asciiTheme="minorHAnsi" w:hAnsiTheme="minorHAnsi"/>
                <w:color w:val="000000"/>
              </w:rPr>
              <w:t>pořízeny</w:t>
            </w:r>
          </w:p>
          <w:p w:rsidR="006770E7" w:rsidRPr="00195418" w:rsidRDefault="006770E7" w:rsidP="006770E7">
            <w:pPr>
              <w:spacing w:line="360" w:lineRule="auto"/>
              <w:ind w:left="170" w:right="170"/>
              <w:rPr>
                <w:rFonts w:asciiTheme="minorHAnsi" w:hAnsiTheme="minorHAnsi"/>
                <w:b/>
                <w:color w:val="000000"/>
                <w:u w:val="single"/>
              </w:rPr>
            </w:pPr>
            <w:r w:rsidRPr="00195418">
              <w:rPr>
                <w:rFonts w:asciiTheme="minorHAnsi" w:hAnsiTheme="minorHAnsi"/>
                <w:b/>
                <w:color w:val="000000"/>
                <w:u w:val="single"/>
              </w:rPr>
              <w:t>Tolerance:</w:t>
            </w:r>
            <w:r w:rsidRPr="00195418">
              <w:rPr>
                <w:rFonts w:asciiTheme="minorHAnsi" w:hAnsiTheme="minorHAnsi"/>
                <w:color w:val="000000"/>
                <w:u w:val="single"/>
              </w:rPr>
              <w:t xml:space="preserve"> </w:t>
            </w:r>
            <w:r w:rsidR="00E92F3A" w:rsidRPr="00195418">
              <w:rPr>
                <w:rFonts w:asciiTheme="minorHAnsi" w:hAnsiTheme="minorHAnsi"/>
                <w:b/>
                <w:color w:val="000000"/>
                <w:u w:val="single"/>
              </w:rPr>
              <w:t xml:space="preserve">žádná, </w:t>
            </w:r>
            <w:r w:rsidR="00E92F3A" w:rsidRPr="00195418">
              <w:rPr>
                <w:rFonts w:asciiTheme="minorHAnsi" w:hAnsiTheme="minorHAnsi"/>
                <w:b/>
                <w:u w:val="single"/>
              </w:rPr>
              <w:t>pokud není dosažena cílová hodnota, projekt nenaplnil svůj cíl</w:t>
            </w:r>
          </w:p>
          <w:p w:rsidR="00071BC3" w:rsidRPr="00B80F3D" w:rsidRDefault="00071BC3" w:rsidP="00E92F3A">
            <w:pPr>
              <w:spacing w:line="276" w:lineRule="auto"/>
              <w:ind w:left="170" w:right="170"/>
              <w:rPr>
                <w:rFonts w:asciiTheme="minorHAnsi" w:hAnsiTheme="minorHAnsi"/>
                <w:color w:val="000000"/>
              </w:rPr>
            </w:pPr>
            <w:r w:rsidRPr="00E639A3">
              <w:rPr>
                <w:rFonts w:asciiTheme="minorHAnsi" w:hAnsiTheme="minorHAnsi"/>
              </w:rPr>
              <w:t xml:space="preserve">Výše a typ sankce, </w:t>
            </w:r>
            <w:r w:rsidR="00E92F3A">
              <w:rPr>
                <w:rFonts w:asciiTheme="minorHAnsi" w:hAnsiTheme="minorHAnsi"/>
              </w:rPr>
              <w:t>aplikované</w:t>
            </w:r>
            <w:r w:rsidRPr="00E639A3">
              <w:rPr>
                <w:rFonts w:asciiTheme="minorHAnsi" w:hAnsiTheme="minorHAnsi"/>
              </w:rPr>
              <w:t xml:space="preserve"> při pře</w:t>
            </w:r>
            <w:r w:rsidR="00FE3997">
              <w:rPr>
                <w:rFonts w:asciiTheme="minorHAnsi" w:hAnsiTheme="minorHAnsi"/>
              </w:rPr>
              <w:t>kročení</w:t>
            </w:r>
            <w:r w:rsidRPr="00E639A3">
              <w:rPr>
                <w:rFonts w:asciiTheme="minorHAnsi" w:hAnsiTheme="minorHAnsi"/>
              </w:rPr>
              <w:t xml:space="preserve"> nebo nenaplněn</w:t>
            </w:r>
            <w:r>
              <w:rPr>
                <w:rFonts w:asciiTheme="minorHAnsi" w:hAnsiTheme="minorHAnsi"/>
              </w:rPr>
              <w:t>í cílové hodnoty indikátoru</w:t>
            </w:r>
            <w:r w:rsidR="004A4F67">
              <w:rPr>
                <w:rFonts w:asciiTheme="minorHAnsi" w:hAnsiTheme="minorHAnsi"/>
              </w:rPr>
              <w:t xml:space="preserve"> nebo neudržení dosažené hodnoty indikátoru v době udržitelnosti,</w:t>
            </w:r>
            <w:r w:rsidRPr="00E639A3">
              <w:rPr>
                <w:rFonts w:asciiTheme="minorHAnsi" w:hAnsiTheme="minorHAnsi"/>
              </w:rPr>
              <w:t xml:space="preserve"> je stanovena v Po</w:t>
            </w:r>
            <w:r w:rsidR="00B665D7">
              <w:rPr>
                <w:rFonts w:asciiTheme="minorHAnsi" w:hAnsiTheme="minorHAnsi"/>
              </w:rPr>
              <w:t>dmínkách R</w:t>
            </w:r>
            <w:r w:rsidRPr="00E639A3">
              <w:rPr>
                <w:rFonts w:asciiTheme="minorHAnsi" w:hAnsiTheme="minorHAnsi"/>
              </w:rPr>
              <w:t>ozhodnutí o poskytnutí dotace.</w:t>
            </w:r>
          </w:p>
        </w:tc>
      </w:tr>
      <w:tr w:rsidR="000709B8" w:rsidRPr="0098535B" w:rsidTr="00510CE2">
        <w:trPr>
          <w:trHeight w:val="156"/>
          <w:jc w:val="center"/>
        </w:trPr>
        <w:tc>
          <w:tcPr>
            <w:tcW w:w="9821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0709B8" w:rsidRPr="001634C6" w:rsidRDefault="00744284" w:rsidP="00270810">
            <w:pPr>
              <w:pStyle w:val="text"/>
              <w:spacing w:before="80" w:after="80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1634C6">
              <w:rPr>
                <w:rFonts w:asciiTheme="majorHAnsi" w:hAnsiTheme="majorHAnsi"/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0709B8" w:rsidRPr="0098535B" w:rsidTr="00510CE2">
        <w:trPr>
          <w:trHeight w:val="443"/>
          <w:jc w:val="center"/>
        </w:trPr>
        <w:tc>
          <w:tcPr>
            <w:tcW w:w="9821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7578C" w:rsidRPr="0037578C" w:rsidRDefault="0037578C" w:rsidP="0037578C">
            <w:pPr>
              <w:spacing w:before="120" w:after="120" w:line="276" w:lineRule="auto"/>
              <w:ind w:left="170" w:right="170"/>
              <w:rPr>
                <w:rFonts w:asciiTheme="minorHAnsi" w:eastAsiaTheme="minorHAnsi" w:hAnsiTheme="minorHAnsi" w:cstheme="minorBidi"/>
                <w:color w:val="000000"/>
                <w:lang w:eastAsia="en-US"/>
              </w:rPr>
            </w:pPr>
            <w:r w:rsidRPr="0037578C">
              <w:rPr>
                <w:rFonts w:asciiTheme="minorHAnsi" w:eastAsiaTheme="minorHAnsi" w:hAnsiTheme="minorHAnsi" w:cstheme="minorBidi"/>
                <w:color w:val="000000"/>
                <w:lang w:eastAsia="en-US"/>
              </w:rPr>
              <w:t>Hodnoty</w:t>
            </w:r>
            <w:r w:rsidR="00BC32C1">
              <w:rPr>
                <w:rFonts w:asciiTheme="minorHAnsi" w:eastAsiaTheme="minorHAnsi" w:hAnsiTheme="minorHAnsi" w:cstheme="minorBidi"/>
                <w:color w:val="000000"/>
                <w:lang w:eastAsia="en-US"/>
              </w:rPr>
              <w:t>,</w:t>
            </w:r>
            <w:r w:rsidRPr="0037578C">
              <w:rPr>
                <w:rFonts w:asciiTheme="minorHAnsi" w:eastAsiaTheme="minorHAnsi" w:hAnsiTheme="minorHAnsi" w:cstheme="minorBidi"/>
                <w:color w:val="000000"/>
                <w:lang w:eastAsia="en-US"/>
              </w:rPr>
              <w:t xml:space="preserve"> stanovené na základě uvedených pravidel</w:t>
            </w:r>
            <w:r w:rsidR="00BC32C1">
              <w:rPr>
                <w:rFonts w:asciiTheme="minorHAnsi" w:eastAsiaTheme="minorHAnsi" w:hAnsiTheme="minorHAnsi" w:cstheme="minorBidi"/>
                <w:color w:val="000000"/>
                <w:lang w:eastAsia="en-US"/>
              </w:rPr>
              <w:t>,</w:t>
            </w:r>
            <w:r w:rsidRPr="0037578C">
              <w:rPr>
                <w:rFonts w:asciiTheme="minorHAnsi" w:eastAsiaTheme="minorHAnsi" w:hAnsiTheme="minorHAnsi" w:cstheme="minorBidi"/>
                <w:color w:val="000000"/>
                <w:lang w:eastAsia="en-US"/>
              </w:rPr>
              <w:t xml:space="preserve"> žadatel zadává do žádosti o podporu v sy</w:t>
            </w:r>
            <w:r w:rsidR="00E31FE4">
              <w:rPr>
                <w:rFonts w:asciiTheme="minorHAnsi" w:eastAsiaTheme="minorHAnsi" w:hAnsiTheme="minorHAnsi" w:cstheme="minorBidi"/>
                <w:color w:val="000000"/>
                <w:lang w:eastAsia="en-US"/>
              </w:rPr>
              <w:t>s</w:t>
            </w:r>
            <w:r w:rsidRPr="0037578C">
              <w:rPr>
                <w:rFonts w:asciiTheme="minorHAnsi" w:eastAsiaTheme="minorHAnsi" w:hAnsiTheme="minorHAnsi" w:cstheme="minorBidi"/>
                <w:color w:val="000000"/>
                <w:lang w:eastAsia="en-US"/>
              </w:rPr>
              <w:t xml:space="preserve">tému  </w:t>
            </w:r>
            <w:r w:rsidR="00A5170B">
              <w:rPr>
                <w:rFonts w:asciiTheme="minorHAnsi" w:eastAsiaTheme="minorHAnsi" w:hAnsiTheme="minorHAnsi" w:cstheme="minorBidi"/>
                <w:color w:val="000000"/>
                <w:lang w:eastAsia="en-US"/>
              </w:rPr>
              <w:t>MS2014+</w:t>
            </w:r>
            <w:r w:rsidRPr="0037578C">
              <w:rPr>
                <w:rFonts w:asciiTheme="minorHAnsi" w:eastAsiaTheme="minorHAnsi" w:hAnsiTheme="minorHAnsi" w:cstheme="minorBidi"/>
                <w:color w:val="000000"/>
                <w:lang w:eastAsia="en-US"/>
              </w:rPr>
              <w:t>. Dosažené hodnoty vykaz</w:t>
            </w:r>
            <w:r w:rsidR="00BC32C1">
              <w:rPr>
                <w:rFonts w:asciiTheme="minorHAnsi" w:eastAsiaTheme="minorHAnsi" w:hAnsiTheme="minorHAnsi" w:cstheme="minorBidi"/>
                <w:color w:val="000000"/>
                <w:lang w:eastAsia="en-US"/>
              </w:rPr>
              <w:t>uje</w:t>
            </w:r>
            <w:r w:rsidRPr="0037578C">
              <w:rPr>
                <w:rFonts w:asciiTheme="minorHAnsi" w:eastAsiaTheme="minorHAnsi" w:hAnsiTheme="minorHAnsi" w:cstheme="minorBidi"/>
                <w:color w:val="000000"/>
                <w:lang w:eastAsia="en-US"/>
              </w:rPr>
              <w:t xml:space="preserve"> v systému </w:t>
            </w:r>
            <w:r w:rsidR="00A5170B">
              <w:rPr>
                <w:rFonts w:asciiTheme="minorHAnsi" w:eastAsiaTheme="minorHAnsi" w:hAnsiTheme="minorHAnsi" w:cstheme="minorBidi"/>
                <w:color w:val="000000"/>
                <w:lang w:eastAsia="en-US"/>
              </w:rPr>
              <w:t>MS2014+</w:t>
            </w:r>
            <w:r w:rsidRPr="0037578C">
              <w:rPr>
                <w:rFonts w:asciiTheme="minorHAnsi" w:eastAsiaTheme="minorHAnsi" w:hAnsiTheme="minorHAnsi" w:cstheme="minorBidi"/>
                <w:color w:val="000000"/>
                <w:lang w:eastAsia="en-US"/>
              </w:rPr>
              <w:t xml:space="preserve"> prostřednictvím:</w:t>
            </w:r>
          </w:p>
          <w:p w:rsidR="0064634B" w:rsidRPr="0064634B" w:rsidRDefault="0064634B" w:rsidP="0064634B">
            <w:pPr>
              <w:spacing w:before="120" w:after="120" w:line="276" w:lineRule="auto"/>
              <w:ind w:left="170" w:right="170"/>
              <w:rPr>
                <w:rFonts w:asciiTheme="minorHAnsi" w:eastAsiaTheme="minorHAnsi" w:hAnsiTheme="minorHAnsi" w:cstheme="minorBidi"/>
                <w:lang w:eastAsia="en-US"/>
              </w:rPr>
            </w:pPr>
            <w:r w:rsidRPr="0064634B">
              <w:rPr>
                <w:rFonts w:asciiTheme="minorHAnsi" w:eastAsiaTheme="minorHAnsi" w:hAnsiTheme="minorHAnsi" w:cstheme="minorBidi"/>
                <w:lang w:eastAsia="en-US"/>
              </w:rPr>
              <w:t>Průběžných zpráv o realizaci projektu</w:t>
            </w:r>
          </w:p>
          <w:p w:rsidR="0064634B" w:rsidRPr="0064634B" w:rsidRDefault="0064634B" w:rsidP="0064634B">
            <w:pPr>
              <w:spacing w:before="120" w:after="120" w:line="276" w:lineRule="auto"/>
              <w:ind w:left="170" w:right="170"/>
              <w:rPr>
                <w:rFonts w:asciiTheme="minorHAnsi" w:eastAsiaTheme="minorHAnsi" w:hAnsiTheme="minorHAnsi" w:cstheme="minorBidi"/>
                <w:lang w:eastAsia="en-US"/>
              </w:rPr>
            </w:pPr>
            <w:r w:rsidRPr="0064634B">
              <w:rPr>
                <w:rFonts w:asciiTheme="minorHAnsi" w:eastAsiaTheme="minorHAnsi" w:hAnsiTheme="minorHAnsi" w:cstheme="minorBidi"/>
                <w:lang w:eastAsia="en-US"/>
              </w:rPr>
              <w:t xml:space="preserve">Závěrečné zprávy o realizaci projektu </w:t>
            </w:r>
          </w:p>
          <w:p w:rsidR="0064634B" w:rsidRPr="00DA3D09" w:rsidRDefault="0064634B" w:rsidP="0064634B">
            <w:pPr>
              <w:spacing w:before="120" w:after="120"/>
              <w:ind w:left="170" w:right="170"/>
              <w:rPr>
                <w:color w:val="000000"/>
              </w:rPr>
            </w:pPr>
            <w:r w:rsidRPr="0064634B">
              <w:rPr>
                <w:rFonts w:asciiTheme="minorHAnsi" w:eastAsiaTheme="minorHAnsi" w:hAnsiTheme="minorHAnsi" w:cstheme="minorBidi"/>
                <w:lang w:eastAsia="en-US"/>
              </w:rPr>
              <w:t>Zpráv o udržitelnosti projektu</w:t>
            </w:r>
            <w:r w:rsidRPr="0064634B">
              <w:rPr>
                <w:rFonts w:asciiTheme="minorHAnsi" w:eastAsiaTheme="minorHAnsi" w:hAnsiTheme="minorHAnsi" w:cstheme="minorBidi"/>
                <w:i/>
                <w:color w:val="000000"/>
                <w:lang w:eastAsia="en-US"/>
              </w:rPr>
              <w:t xml:space="preserve"> </w:t>
            </w:r>
          </w:p>
        </w:tc>
      </w:tr>
    </w:tbl>
    <w:p w:rsidR="003F5384" w:rsidRPr="003F5384" w:rsidRDefault="003F5384" w:rsidP="003F5384">
      <w:pPr>
        <w:sectPr w:rsidR="003F5384" w:rsidRPr="003F5384" w:rsidSect="00510CE2">
          <w:headerReference w:type="default" r:id="rId8"/>
          <w:footerReference w:type="default" r:id="rId9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9669DD" w:rsidRPr="003F5384" w:rsidRDefault="00723934" w:rsidP="009669DD">
      <w:pPr>
        <w:jc w:val="both"/>
        <w:rPr>
          <w:rFonts w:asciiTheme="majorHAnsi" w:hAnsiTheme="majorHAnsi" w:cs="Arial"/>
          <w:b/>
        </w:rPr>
      </w:pPr>
      <w:r w:rsidRPr="003F5384">
        <w:rPr>
          <w:rFonts w:asciiTheme="majorHAnsi" w:hAnsiTheme="majorHAnsi" w:cs="Arial"/>
          <w:b/>
        </w:rPr>
        <w:lastRenderedPageBreak/>
        <w:t>VAZEBNÍ MATICE INDIKÁTORŮ</w:t>
      </w:r>
    </w:p>
    <w:p w:rsidR="009669DD" w:rsidRDefault="009669DD"/>
    <w:tbl>
      <w:tblPr>
        <w:tblW w:w="1535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"/>
        <w:gridCol w:w="1040"/>
        <w:gridCol w:w="3982"/>
        <w:gridCol w:w="345"/>
        <w:gridCol w:w="4885"/>
        <w:gridCol w:w="2168"/>
        <w:gridCol w:w="2534"/>
        <w:gridCol w:w="179"/>
      </w:tblGrid>
      <w:tr w:rsidR="00A25FEE" w:rsidRPr="00543CED" w:rsidTr="00543CED">
        <w:trPr>
          <w:trHeight w:val="325"/>
          <w:jc w:val="center"/>
        </w:trPr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FEE" w:rsidRPr="00543CED" w:rsidRDefault="00A25FEE" w:rsidP="00543CED">
            <w:pPr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FEE" w:rsidRPr="00543CED" w:rsidRDefault="00A25FEE" w:rsidP="00543CED">
            <w:pPr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3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FEE" w:rsidRPr="00543CED" w:rsidRDefault="00A25FEE" w:rsidP="00543CED">
            <w:pPr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5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FEE" w:rsidRPr="00543CED" w:rsidRDefault="00A25FEE" w:rsidP="00543CED">
            <w:pPr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FEE" w:rsidRPr="00543CED" w:rsidRDefault="00A25FEE" w:rsidP="00543CED">
            <w:pPr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FEE" w:rsidRPr="00543CED" w:rsidRDefault="00A25FEE" w:rsidP="00543CED">
            <w:pPr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FEE" w:rsidRPr="00543CED" w:rsidRDefault="00A25FEE" w:rsidP="00543CED">
            <w:pPr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  <w:tr w:rsidR="00A25FEE" w:rsidRPr="00543CED" w:rsidTr="00543CED">
        <w:trPr>
          <w:trHeight w:val="1090"/>
          <w:jc w:val="center"/>
        </w:trPr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FEE" w:rsidRPr="00543CED" w:rsidRDefault="00A25FEE" w:rsidP="00543CED">
            <w:pPr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FEE" w:rsidRPr="00543CED" w:rsidRDefault="00A25FEE" w:rsidP="00543CED">
            <w:pPr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543CED">
              <w:rPr>
                <w:rFonts w:asciiTheme="minorHAnsi" w:hAnsiTheme="minorHAnsi"/>
                <w:color w:val="000000"/>
                <w:sz w:val="24"/>
                <w:szCs w:val="24"/>
              </w:rPr>
              <w:t>Číslo aktivity</w:t>
            </w:r>
          </w:p>
        </w:tc>
        <w:tc>
          <w:tcPr>
            <w:tcW w:w="4327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FEE" w:rsidRPr="00543CED" w:rsidRDefault="00A25FEE" w:rsidP="00543CED">
            <w:pPr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543CED">
              <w:rPr>
                <w:rFonts w:asciiTheme="minorHAnsi" w:hAnsiTheme="minorHAnsi"/>
                <w:color w:val="000000"/>
                <w:sz w:val="24"/>
                <w:szCs w:val="24"/>
              </w:rPr>
              <w:t>Název Aktivity</w:t>
            </w:r>
          </w:p>
        </w:tc>
        <w:tc>
          <w:tcPr>
            <w:tcW w:w="488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FEE" w:rsidRPr="00543CED" w:rsidRDefault="00A25FEE" w:rsidP="00543CED">
            <w:pPr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543CED">
              <w:rPr>
                <w:rFonts w:asciiTheme="minorHAnsi" w:hAnsiTheme="minorHAnsi"/>
                <w:color w:val="000000"/>
                <w:sz w:val="24"/>
                <w:szCs w:val="24"/>
              </w:rPr>
              <w:t>Povinné indikátory k výběru</w:t>
            </w:r>
          </w:p>
        </w:tc>
        <w:tc>
          <w:tcPr>
            <w:tcW w:w="21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FEE" w:rsidRPr="00543CED" w:rsidRDefault="00A25FEE" w:rsidP="00543CED">
            <w:pPr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543CED">
              <w:rPr>
                <w:rFonts w:asciiTheme="minorHAnsi" w:hAnsiTheme="minorHAnsi"/>
                <w:color w:val="000000"/>
                <w:sz w:val="24"/>
                <w:szCs w:val="24"/>
              </w:rPr>
              <w:t>Povinný k naplnění</w:t>
            </w:r>
          </w:p>
        </w:tc>
        <w:tc>
          <w:tcPr>
            <w:tcW w:w="25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FEE" w:rsidRPr="00543CED" w:rsidRDefault="00A25FEE" w:rsidP="00543CED">
            <w:pPr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543CED">
              <w:rPr>
                <w:rFonts w:asciiTheme="minorHAnsi" w:hAnsiTheme="minorHAnsi"/>
                <w:color w:val="000000"/>
                <w:sz w:val="24"/>
                <w:szCs w:val="24"/>
              </w:rPr>
              <w:t>Možnost kombinace s jinými aktivitami výzvy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FEE" w:rsidRPr="00543CED" w:rsidRDefault="00A25FEE" w:rsidP="00543CED">
            <w:pPr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  <w:tr w:rsidR="00A25FEE" w:rsidRPr="00543CED" w:rsidTr="00543CED">
        <w:trPr>
          <w:trHeight w:val="1206"/>
          <w:jc w:val="center"/>
        </w:trPr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FEE" w:rsidRPr="00543CED" w:rsidRDefault="00A25FEE" w:rsidP="00543CED">
            <w:pPr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FEE" w:rsidRPr="00543CED" w:rsidRDefault="00A25FEE" w:rsidP="00543CED">
            <w:pPr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543CED">
              <w:rPr>
                <w:rFonts w:asciiTheme="minorHAnsi" w:hAnsi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2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25FEE" w:rsidRPr="00543CED" w:rsidRDefault="00A25FEE" w:rsidP="00543CED">
            <w:pPr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543CED">
              <w:rPr>
                <w:rFonts w:asciiTheme="minorHAnsi" w:hAnsiTheme="minorHAnsi"/>
                <w:color w:val="000000"/>
                <w:sz w:val="24"/>
                <w:szCs w:val="24"/>
              </w:rPr>
              <w:t>Zpracování územního plánu ORP, který nahrazuje ÚP vydaný před 1. 1. 2007</w:t>
            </w:r>
          </w:p>
        </w:tc>
        <w:tc>
          <w:tcPr>
            <w:tcW w:w="48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FEE" w:rsidRPr="00543CED" w:rsidRDefault="00A25FEE" w:rsidP="00543CED">
            <w:pPr>
              <w:ind w:firstLineChars="100" w:firstLine="240"/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543CED">
              <w:rPr>
                <w:rFonts w:asciiTheme="minorHAnsi" w:hAnsiTheme="minorHAnsi"/>
                <w:color w:val="000000"/>
                <w:sz w:val="24"/>
                <w:szCs w:val="24"/>
              </w:rPr>
              <w:t>9 02 10 -  Plocha území pokrytá územním plánem, regulačním plánem a územní studií</w:t>
            </w:r>
          </w:p>
        </w:tc>
        <w:tc>
          <w:tcPr>
            <w:tcW w:w="21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FEE" w:rsidRPr="00543CED" w:rsidRDefault="00A25FEE" w:rsidP="00543CED">
            <w:pPr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543CED">
              <w:rPr>
                <w:rFonts w:asciiTheme="minorHAnsi" w:hAnsiTheme="minorHAnsi"/>
                <w:color w:val="000000"/>
                <w:sz w:val="24"/>
                <w:szCs w:val="24"/>
              </w:rPr>
              <w:t>Ano</w:t>
            </w:r>
          </w:p>
        </w:tc>
        <w:tc>
          <w:tcPr>
            <w:tcW w:w="253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FEE" w:rsidRPr="00543CED" w:rsidRDefault="00A25FEE" w:rsidP="00543CED">
            <w:pPr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543CED">
              <w:rPr>
                <w:rFonts w:asciiTheme="minorHAnsi" w:hAnsiTheme="minorHAnsi"/>
                <w:color w:val="000000"/>
                <w:sz w:val="24"/>
                <w:szCs w:val="24"/>
              </w:rPr>
              <w:t>Ne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FEE" w:rsidRPr="00543CED" w:rsidRDefault="00A25FEE" w:rsidP="00543CED">
            <w:pPr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  <w:tr w:rsidR="00A25FEE" w:rsidRPr="00543CED" w:rsidTr="00543CED">
        <w:trPr>
          <w:trHeight w:val="1183"/>
          <w:jc w:val="center"/>
        </w:trPr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FEE" w:rsidRPr="00543CED" w:rsidRDefault="00A25FEE" w:rsidP="00543CED">
            <w:pPr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25FEE" w:rsidRPr="00543CED" w:rsidRDefault="00A25FEE" w:rsidP="00543CED">
            <w:pPr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432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25FEE" w:rsidRPr="00543CED" w:rsidRDefault="00A25FEE" w:rsidP="00543CED">
            <w:pPr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48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FEE" w:rsidRPr="00543CED" w:rsidRDefault="00A25FEE" w:rsidP="00543CED">
            <w:pPr>
              <w:ind w:firstLineChars="100" w:firstLine="240"/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543CED">
              <w:rPr>
                <w:rFonts w:asciiTheme="minorHAnsi" w:hAnsiTheme="minorHAnsi"/>
                <w:color w:val="000000"/>
                <w:sz w:val="24"/>
                <w:szCs w:val="24"/>
              </w:rPr>
              <w:t>9 02 01 - Počet  územních plánů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FEE" w:rsidRPr="00543CED" w:rsidRDefault="00A25FEE" w:rsidP="00543CED">
            <w:pPr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543CED">
              <w:rPr>
                <w:rFonts w:asciiTheme="minorHAnsi" w:hAnsiTheme="minorHAnsi"/>
                <w:color w:val="000000"/>
                <w:sz w:val="24"/>
                <w:szCs w:val="24"/>
              </w:rPr>
              <w:t>Ano</w:t>
            </w:r>
          </w:p>
        </w:tc>
        <w:tc>
          <w:tcPr>
            <w:tcW w:w="253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FEE" w:rsidRPr="00543CED" w:rsidRDefault="00A25FEE" w:rsidP="00543CED">
            <w:pPr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FEE" w:rsidRPr="00543CED" w:rsidRDefault="00A25FEE" w:rsidP="00543CED">
            <w:pPr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  <w:tr w:rsidR="00A25FEE" w:rsidRPr="00543CED" w:rsidTr="00543CED">
        <w:trPr>
          <w:trHeight w:val="1021"/>
          <w:jc w:val="center"/>
        </w:trPr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FEE" w:rsidRPr="00543CED" w:rsidRDefault="00A25FEE" w:rsidP="00543CED">
            <w:pPr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FEE" w:rsidRPr="00543CED" w:rsidRDefault="00A25FEE" w:rsidP="00543CED">
            <w:pPr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543CED">
              <w:rPr>
                <w:rFonts w:asciiTheme="minorHAnsi" w:hAnsi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2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5FEE" w:rsidRPr="00543CED" w:rsidRDefault="00A25FEE" w:rsidP="00543CED">
            <w:pPr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543CED">
              <w:rPr>
                <w:rFonts w:asciiTheme="minorHAnsi" w:hAnsiTheme="minorHAnsi"/>
                <w:color w:val="000000"/>
                <w:sz w:val="24"/>
                <w:szCs w:val="24"/>
              </w:rPr>
              <w:t>Zpracování územního plánu ORP, který nahrazuje ÚP vydaný po 1. 1. 2007</w:t>
            </w:r>
          </w:p>
        </w:tc>
        <w:tc>
          <w:tcPr>
            <w:tcW w:w="48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FEE" w:rsidRPr="00543CED" w:rsidRDefault="00A25FEE" w:rsidP="00543CED">
            <w:pPr>
              <w:ind w:firstLineChars="100" w:firstLine="240"/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543CED">
              <w:rPr>
                <w:rFonts w:asciiTheme="minorHAnsi" w:hAnsiTheme="minorHAnsi"/>
                <w:color w:val="000000"/>
                <w:sz w:val="24"/>
                <w:szCs w:val="24"/>
              </w:rPr>
              <w:t>9 02 01 - Počet  územních plánů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FEE" w:rsidRPr="00543CED" w:rsidRDefault="00A25FEE" w:rsidP="00543CED">
            <w:pPr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543CED">
              <w:rPr>
                <w:rFonts w:asciiTheme="minorHAnsi" w:hAnsiTheme="minorHAnsi"/>
                <w:color w:val="000000"/>
                <w:sz w:val="24"/>
                <w:szCs w:val="24"/>
              </w:rPr>
              <w:t>Ano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FEE" w:rsidRPr="00543CED" w:rsidRDefault="00A25FEE" w:rsidP="00543CED">
            <w:pPr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543CED">
              <w:rPr>
                <w:rFonts w:asciiTheme="minorHAnsi" w:hAnsiTheme="minorHAnsi"/>
                <w:color w:val="000000"/>
                <w:sz w:val="24"/>
                <w:szCs w:val="24"/>
              </w:rPr>
              <w:t>Ne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FEE" w:rsidRPr="00543CED" w:rsidRDefault="00A25FEE" w:rsidP="00543CED">
            <w:pPr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  <w:tr w:rsidR="00A25FEE" w:rsidRPr="00543CED" w:rsidTr="00543CED">
        <w:trPr>
          <w:trHeight w:val="951"/>
          <w:jc w:val="center"/>
        </w:trPr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FEE" w:rsidRPr="00543CED" w:rsidRDefault="00A25FEE" w:rsidP="00543CED">
            <w:pPr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FEE" w:rsidRPr="00543CED" w:rsidRDefault="00A25FEE" w:rsidP="00543CED">
            <w:pPr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543CED">
              <w:rPr>
                <w:rFonts w:asciiTheme="minorHAnsi" w:hAnsi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2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5FEE" w:rsidRPr="00543CED" w:rsidRDefault="00A25FEE" w:rsidP="00543CED">
            <w:pPr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543CED">
              <w:rPr>
                <w:rFonts w:asciiTheme="minorHAnsi" w:hAnsiTheme="minorHAnsi"/>
                <w:color w:val="000000"/>
                <w:sz w:val="24"/>
                <w:szCs w:val="24"/>
              </w:rPr>
              <w:t>Zpracování změn územních plánů</w:t>
            </w:r>
          </w:p>
        </w:tc>
        <w:tc>
          <w:tcPr>
            <w:tcW w:w="48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FEE" w:rsidRPr="00543CED" w:rsidRDefault="00A25FEE" w:rsidP="00543CED">
            <w:pPr>
              <w:ind w:firstLineChars="100" w:firstLine="240"/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543CED">
              <w:rPr>
                <w:rFonts w:asciiTheme="minorHAnsi" w:hAnsiTheme="minorHAnsi"/>
                <w:color w:val="000000"/>
                <w:sz w:val="24"/>
                <w:szCs w:val="24"/>
              </w:rPr>
              <w:t>9 02 01 - Počet  územních plánů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FEE" w:rsidRPr="00543CED" w:rsidRDefault="00A25FEE" w:rsidP="00543CED">
            <w:pPr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543CED">
              <w:rPr>
                <w:rFonts w:asciiTheme="minorHAnsi" w:hAnsiTheme="minorHAnsi"/>
                <w:color w:val="000000"/>
                <w:sz w:val="24"/>
                <w:szCs w:val="24"/>
              </w:rPr>
              <w:t>Ano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FEE" w:rsidRPr="00543CED" w:rsidRDefault="00A25FEE" w:rsidP="00543CED">
            <w:pPr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543CED">
              <w:rPr>
                <w:rFonts w:asciiTheme="minorHAnsi" w:hAnsiTheme="minorHAnsi"/>
                <w:color w:val="000000"/>
                <w:sz w:val="24"/>
                <w:szCs w:val="24"/>
              </w:rPr>
              <w:t>Ne</w:t>
            </w: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FEE" w:rsidRPr="00543CED" w:rsidRDefault="00A25FEE" w:rsidP="00543CED">
            <w:pPr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  <w:tr w:rsidR="00A25FEE" w:rsidRPr="00543CED" w:rsidTr="00543CED">
        <w:trPr>
          <w:trHeight w:val="278"/>
          <w:jc w:val="center"/>
        </w:trPr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5FEE" w:rsidRPr="00543CED" w:rsidRDefault="00A25FEE" w:rsidP="00543CED">
            <w:pPr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FEE" w:rsidRPr="00543CED" w:rsidRDefault="00A25FEE" w:rsidP="00543CED">
            <w:pPr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4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FEE" w:rsidRPr="00543CED" w:rsidRDefault="00A25FEE" w:rsidP="00543CED">
            <w:pPr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FEE" w:rsidRPr="00543CED" w:rsidRDefault="00A25FEE" w:rsidP="00543CED">
            <w:pPr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FEE" w:rsidRPr="00543CED" w:rsidRDefault="00A25FEE" w:rsidP="00543CED">
            <w:pPr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FEE" w:rsidRPr="00543CED" w:rsidRDefault="00A25FEE" w:rsidP="00543CED">
            <w:pPr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5FEE" w:rsidRPr="00543CED" w:rsidRDefault="00A25FEE" w:rsidP="00543CED">
            <w:pPr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</w:tbl>
    <w:p w:rsidR="009669DD" w:rsidRDefault="009669DD"/>
    <w:sectPr w:rsidR="009669DD" w:rsidSect="003F5384">
      <w:footerReference w:type="default" r:id="rId10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2CB" w:rsidRDefault="000122CB" w:rsidP="00A05B52">
      <w:r>
        <w:separator/>
      </w:r>
    </w:p>
  </w:endnote>
  <w:endnote w:type="continuationSeparator" w:id="0">
    <w:p w:rsidR="000122CB" w:rsidRDefault="000122CB" w:rsidP="00A05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D647F5" w:rsidRPr="00E47FC1" w:rsidTr="00543CED">
      <w:trPr>
        <w:cantSplit/>
        <w:trHeight w:val="349"/>
        <w:jc w:val="center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D647F5" w:rsidRPr="00E47FC1" w:rsidRDefault="00D647F5" w:rsidP="00C977C0">
          <w:pPr>
            <w:pStyle w:val="Zpat"/>
            <w:rPr>
              <w:rFonts w:ascii="Arial" w:hAnsi="Arial" w:cs="Arial"/>
              <w:b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647F5" w:rsidRPr="00E47FC1" w:rsidRDefault="00D647F5" w:rsidP="00C977C0">
          <w:pPr>
            <w:pStyle w:val="Zpat"/>
            <w:rPr>
              <w:rFonts w:ascii="Arial" w:hAnsi="Arial" w:cs="Arial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647F5" w:rsidRPr="00E47FC1" w:rsidRDefault="00D647F5" w:rsidP="00C977C0">
          <w:pPr>
            <w:pStyle w:val="Zpat"/>
            <w:rPr>
              <w:rFonts w:ascii="Arial" w:hAnsi="Arial" w:cs="Arial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647F5" w:rsidRPr="00E47FC1" w:rsidRDefault="00D647F5" w:rsidP="00C977C0">
          <w:pPr>
            <w:pStyle w:val="Zpat"/>
            <w:rPr>
              <w:rFonts w:ascii="Arial" w:hAnsi="Arial" w:cs="Arial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D647F5" w:rsidRPr="00E47FC1" w:rsidRDefault="00D647F5" w:rsidP="00C977C0">
          <w:pPr>
            <w:pStyle w:val="Zpat"/>
            <w:jc w:val="right"/>
            <w:rPr>
              <w:rFonts w:ascii="Arial" w:hAnsi="Arial" w:cs="Arial"/>
            </w:rPr>
          </w:pPr>
          <w:r w:rsidRPr="00E47FC1">
            <w:rPr>
              <w:rFonts w:ascii="Arial" w:hAnsi="Arial" w:cs="Arial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DD42A6">
            <w:rPr>
              <w:rStyle w:val="slostrnky"/>
              <w:rFonts w:ascii="Arial" w:hAnsi="Arial" w:cs="Arial"/>
              <w:noProof/>
            </w:rPr>
            <w:t>1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DD42A6">
            <w:rPr>
              <w:rStyle w:val="slostrnky"/>
              <w:rFonts w:ascii="Arial" w:hAnsi="Arial" w:cs="Arial"/>
              <w:noProof/>
            </w:rPr>
            <w:t>5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:rsidR="00A05B52" w:rsidRDefault="00A05B5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320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357"/>
      <w:gridCol w:w="1214"/>
      <w:gridCol w:w="3318"/>
      <w:gridCol w:w="3221"/>
      <w:gridCol w:w="3210"/>
    </w:tblGrid>
    <w:tr w:rsidR="001634C6" w:rsidRPr="00E47FC1" w:rsidTr="001634C6">
      <w:trPr>
        <w:cantSplit/>
        <w:trHeight w:val="369"/>
        <w:jc w:val="center"/>
      </w:trPr>
      <w:tc>
        <w:tcPr>
          <w:tcW w:w="435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1634C6" w:rsidRPr="00E47FC1" w:rsidRDefault="001634C6" w:rsidP="00C977C0">
          <w:pPr>
            <w:pStyle w:val="Zpat"/>
            <w:rPr>
              <w:rFonts w:ascii="Arial" w:hAnsi="Arial" w:cs="Arial"/>
              <w:b/>
            </w:rPr>
          </w:pPr>
        </w:p>
      </w:tc>
      <w:tc>
        <w:tcPr>
          <w:tcW w:w="121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1634C6" w:rsidRPr="00E47FC1" w:rsidRDefault="001634C6" w:rsidP="00C977C0">
          <w:pPr>
            <w:pStyle w:val="Zpat"/>
            <w:rPr>
              <w:rFonts w:ascii="Arial" w:hAnsi="Arial" w:cs="Arial"/>
            </w:rPr>
          </w:pPr>
        </w:p>
      </w:tc>
      <w:tc>
        <w:tcPr>
          <w:tcW w:w="3318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1634C6" w:rsidRPr="00E47FC1" w:rsidRDefault="001634C6" w:rsidP="00C977C0">
          <w:pPr>
            <w:pStyle w:val="Zpat"/>
            <w:rPr>
              <w:rFonts w:ascii="Arial" w:hAnsi="Arial" w:cs="Arial"/>
            </w:rPr>
          </w:pPr>
        </w:p>
      </w:tc>
      <w:tc>
        <w:tcPr>
          <w:tcW w:w="3221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1634C6" w:rsidRPr="00E47FC1" w:rsidRDefault="001634C6" w:rsidP="00C977C0">
          <w:pPr>
            <w:pStyle w:val="Zpat"/>
            <w:rPr>
              <w:rFonts w:ascii="Arial" w:hAnsi="Arial" w:cs="Arial"/>
            </w:rPr>
          </w:pPr>
        </w:p>
      </w:tc>
      <w:tc>
        <w:tcPr>
          <w:tcW w:w="321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1634C6" w:rsidRPr="00E47FC1" w:rsidRDefault="001634C6" w:rsidP="00C977C0">
          <w:pPr>
            <w:pStyle w:val="Zpat"/>
            <w:jc w:val="right"/>
            <w:rPr>
              <w:rFonts w:ascii="Arial" w:hAnsi="Arial" w:cs="Arial"/>
            </w:rPr>
          </w:pPr>
          <w:r w:rsidRPr="00E47FC1">
            <w:rPr>
              <w:rFonts w:ascii="Arial" w:hAnsi="Arial" w:cs="Arial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DD42A6">
            <w:rPr>
              <w:rStyle w:val="slostrnky"/>
              <w:rFonts w:ascii="Arial" w:hAnsi="Arial" w:cs="Arial"/>
              <w:noProof/>
            </w:rPr>
            <w:t>5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DD42A6">
            <w:rPr>
              <w:rStyle w:val="slostrnky"/>
              <w:rFonts w:ascii="Arial" w:hAnsi="Arial" w:cs="Arial"/>
              <w:noProof/>
            </w:rPr>
            <w:t>5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:rsidR="001634C6" w:rsidRDefault="001634C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2CB" w:rsidRDefault="000122CB" w:rsidP="00A05B52">
      <w:r>
        <w:separator/>
      </w:r>
    </w:p>
  </w:footnote>
  <w:footnote w:type="continuationSeparator" w:id="0">
    <w:p w:rsidR="000122CB" w:rsidRDefault="000122CB" w:rsidP="00A05B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47F5" w:rsidRDefault="00D647F5" w:rsidP="00D647F5">
    <w:pPr>
      <w:pStyle w:val="Zhlav"/>
      <w:jc w:val="center"/>
    </w:pPr>
    <w:r>
      <w:rPr>
        <w:noProof/>
      </w:rPr>
      <w:drawing>
        <wp:inline distT="0" distB="0" distL="0" distR="0" wp14:anchorId="4686C54E" wp14:editId="3B4C2391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E2128"/>
    <w:multiLevelType w:val="hybridMultilevel"/>
    <w:tmpl w:val="95685D28"/>
    <w:lvl w:ilvl="0" w:tplc="6330B3DC">
      <w:start w:val="1"/>
      <w:numFmt w:val="decimal"/>
      <w:lvlText w:val="%1)"/>
      <w:lvlJc w:val="left"/>
      <w:pPr>
        <w:ind w:left="53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" w15:restartNumberingAfterBreak="0">
    <w:nsid w:val="58161AFC"/>
    <w:multiLevelType w:val="hybridMultilevel"/>
    <w:tmpl w:val="F6A00E66"/>
    <w:lvl w:ilvl="0" w:tplc="DE26EC96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" w15:restartNumberingAfterBreak="0">
    <w:nsid w:val="67806ECA"/>
    <w:multiLevelType w:val="hybridMultilevel"/>
    <w:tmpl w:val="570CF3F8"/>
    <w:lvl w:ilvl="0" w:tplc="7388BD5E">
      <w:start w:val="1"/>
      <w:numFmt w:val="lowerLetter"/>
      <w:lvlText w:val="%1)"/>
      <w:lvlJc w:val="left"/>
      <w:pPr>
        <w:ind w:left="69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19" w:hanging="360"/>
      </w:pPr>
    </w:lvl>
    <w:lvl w:ilvl="2" w:tplc="0405001B" w:tentative="1">
      <w:start w:val="1"/>
      <w:numFmt w:val="lowerRoman"/>
      <w:lvlText w:val="%3."/>
      <w:lvlJc w:val="right"/>
      <w:pPr>
        <w:ind w:left="2139" w:hanging="180"/>
      </w:pPr>
    </w:lvl>
    <w:lvl w:ilvl="3" w:tplc="0405000F" w:tentative="1">
      <w:start w:val="1"/>
      <w:numFmt w:val="decimal"/>
      <w:lvlText w:val="%4."/>
      <w:lvlJc w:val="left"/>
      <w:pPr>
        <w:ind w:left="2859" w:hanging="360"/>
      </w:pPr>
    </w:lvl>
    <w:lvl w:ilvl="4" w:tplc="04050019" w:tentative="1">
      <w:start w:val="1"/>
      <w:numFmt w:val="lowerLetter"/>
      <w:lvlText w:val="%5."/>
      <w:lvlJc w:val="left"/>
      <w:pPr>
        <w:ind w:left="3579" w:hanging="360"/>
      </w:pPr>
    </w:lvl>
    <w:lvl w:ilvl="5" w:tplc="0405001B" w:tentative="1">
      <w:start w:val="1"/>
      <w:numFmt w:val="lowerRoman"/>
      <w:lvlText w:val="%6."/>
      <w:lvlJc w:val="right"/>
      <w:pPr>
        <w:ind w:left="4299" w:hanging="180"/>
      </w:pPr>
    </w:lvl>
    <w:lvl w:ilvl="6" w:tplc="0405000F" w:tentative="1">
      <w:start w:val="1"/>
      <w:numFmt w:val="decimal"/>
      <w:lvlText w:val="%7."/>
      <w:lvlJc w:val="left"/>
      <w:pPr>
        <w:ind w:left="5019" w:hanging="360"/>
      </w:pPr>
    </w:lvl>
    <w:lvl w:ilvl="7" w:tplc="04050019" w:tentative="1">
      <w:start w:val="1"/>
      <w:numFmt w:val="lowerLetter"/>
      <w:lvlText w:val="%8."/>
      <w:lvlJc w:val="left"/>
      <w:pPr>
        <w:ind w:left="5739" w:hanging="360"/>
      </w:pPr>
    </w:lvl>
    <w:lvl w:ilvl="8" w:tplc="0405001B" w:tentative="1">
      <w:start w:val="1"/>
      <w:numFmt w:val="lowerRoman"/>
      <w:lvlText w:val="%9."/>
      <w:lvlJc w:val="right"/>
      <w:pPr>
        <w:ind w:left="6459" w:hanging="180"/>
      </w:pPr>
    </w:lvl>
  </w:abstractNum>
  <w:abstractNum w:abstractNumId="3" w15:restartNumberingAfterBreak="0">
    <w:nsid w:val="77100461"/>
    <w:multiLevelType w:val="hybridMultilevel"/>
    <w:tmpl w:val="8452D7AE"/>
    <w:lvl w:ilvl="0" w:tplc="8424C87A">
      <w:start w:val="9"/>
      <w:numFmt w:val="bullet"/>
      <w:lvlText w:val="-"/>
      <w:lvlJc w:val="left"/>
      <w:pPr>
        <w:ind w:left="5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D74"/>
    <w:rsid w:val="000122CB"/>
    <w:rsid w:val="000310F6"/>
    <w:rsid w:val="000709B8"/>
    <w:rsid w:val="00071784"/>
    <w:rsid w:val="00071BC3"/>
    <w:rsid w:val="000810F3"/>
    <w:rsid w:val="000832E6"/>
    <w:rsid w:val="000B4052"/>
    <w:rsid w:val="000B6F42"/>
    <w:rsid w:val="000C1F68"/>
    <w:rsid w:val="00115865"/>
    <w:rsid w:val="0016080D"/>
    <w:rsid w:val="001634C6"/>
    <w:rsid w:val="00177CDF"/>
    <w:rsid w:val="00181CE5"/>
    <w:rsid w:val="00191B58"/>
    <w:rsid w:val="00195418"/>
    <w:rsid w:val="001C4BCD"/>
    <w:rsid w:val="002514A3"/>
    <w:rsid w:val="0027592C"/>
    <w:rsid w:val="00285191"/>
    <w:rsid w:val="00295B3F"/>
    <w:rsid w:val="002E2091"/>
    <w:rsid w:val="002E6F1B"/>
    <w:rsid w:val="002F46E1"/>
    <w:rsid w:val="0037578C"/>
    <w:rsid w:val="003B04C6"/>
    <w:rsid w:val="003B59AE"/>
    <w:rsid w:val="003F5384"/>
    <w:rsid w:val="00405618"/>
    <w:rsid w:val="00415154"/>
    <w:rsid w:val="004242B4"/>
    <w:rsid w:val="00427A06"/>
    <w:rsid w:val="00427C59"/>
    <w:rsid w:val="00431BE8"/>
    <w:rsid w:val="004470F5"/>
    <w:rsid w:val="004A4F67"/>
    <w:rsid w:val="00504A7D"/>
    <w:rsid w:val="00510CE2"/>
    <w:rsid w:val="005230F9"/>
    <w:rsid w:val="00530DBE"/>
    <w:rsid w:val="005360A4"/>
    <w:rsid w:val="00543CED"/>
    <w:rsid w:val="00557026"/>
    <w:rsid w:val="00566AAA"/>
    <w:rsid w:val="00572BBD"/>
    <w:rsid w:val="00574060"/>
    <w:rsid w:val="00586452"/>
    <w:rsid w:val="005A635A"/>
    <w:rsid w:val="005E6853"/>
    <w:rsid w:val="005F211E"/>
    <w:rsid w:val="006278C5"/>
    <w:rsid w:val="006333A1"/>
    <w:rsid w:val="0064634B"/>
    <w:rsid w:val="00646606"/>
    <w:rsid w:val="006770E7"/>
    <w:rsid w:val="006A6067"/>
    <w:rsid w:val="006B22EB"/>
    <w:rsid w:val="00713B1D"/>
    <w:rsid w:val="00720F41"/>
    <w:rsid w:val="00723934"/>
    <w:rsid w:val="0073503E"/>
    <w:rsid w:val="00737D74"/>
    <w:rsid w:val="00744284"/>
    <w:rsid w:val="00771E62"/>
    <w:rsid w:val="00793F77"/>
    <w:rsid w:val="007A361A"/>
    <w:rsid w:val="007C2813"/>
    <w:rsid w:val="007C7E27"/>
    <w:rsid w:val="007D0C63"/>
    <w:rsid w:val="007F471F"/>
    <w:rsid w:val="008104F8"/>
    <w:rsid w:val="00820753"/>
    <w:rsid w:val="00823E34"/>
    <w:rsid w:val="00824F07"/>
    <w:rsid w:val="00834900"/>
    <w:rsid w:val="008848B1"/>
    <w:rsid w:val="008934A1"/>
    <w:rsid w:val="008F3689"/>
    <w:rsid w:val="008F4200"/>
    <w:rsid w:val="008F51FE"/>
    <w:rsid w:val="009512E0"/>
    <w:rsid w:val="0095664F"/>
    <w:rsid w:val="00960513"/>
    <w:rsid w:val="009669DD"/>
    <w:rsid w:val="00970679"/>
    <w:rsid w:val="009871AD"/>
    <w:rsid w:val="009D43A6"/>
    <w:rsid w:val="00A05B52"/>
    <w:rsid w:val="00A1777E"/>
    <w:rsid w:val="00A25FEE"/>
    <w:rsid w:val="00A5170B"/>
    <w:rsid w:val="00A61FFA"/>
    <w:rsid w:val="00A67D72"/>
    <w:rsid w:val="00A77F94"/>
    <w:rsid w:val="00A92654"/>
    <w:rsid w:val="00AB7A28"/>
    <w:rsid w:val="00AC23AA"/>
    <w:rsid w:val="00AF5B0A"/>
    <w:rsid w:val="00B665D7"/>
    <w:rsid w:val="00B80F3D"/>
    <w:rsid w:val="00BC32C1"/>
    <w:rsid w:val="00BC59B2"/>
    <w:rsid w:val="00BD2694"/>
    <w:rsid w:val="00BD496D"/>
    <w:rsid w:val="00BE6B10"/>
    <w:rsid w:val="00BF3B12"/>
    <w:rsid w:val="00BF7ACA"/>
    <w:rsid w:val="00C03F73"/>
    <w:rsid w:val="00C107DE"/>
    <w:rsid w:val="00C926F7"/>
    <w:rsid w:val="00CB69B3"/>
    <w:rsid w:val="00D4691A"/>
    <w:rsid w:val="00D478FB"/>
    <w:rsid w:val="00D647F5"/>
    <w:rsid w:val="00D82C8B"/>
    <w:rsid w:val="00D85CE1"/>
    <w:rsid w:val="00DA01A5"/>
    <w:rsid w:val="00DB0666"/>
    <w:rsid w:val="00DB0F48"/>
    <w:rsid w:val="00DC3854"/>
    <w:rsid w:val="00DD42A6"/>
    <w:rsid w:val="00DE7441"/>
    <w:rsid w:val="00E03126"/>
    <w:rsid w:val="00E31FE4"/>
    <w:rsid w:val="00E555A1"/>
    <w:rsid w:val="00E639A3"/>
    <w:rsid w:val="00E763A2"/>
    <w:rsid w:val="00E77445"/>
    <w:rsid w:val="00E80523"/>
    <w:rsid w:val="00E87D2A"/>
    <w:rsid w:val="00E92F3A"/>
    <w:rsid w:val="00F53882"/>
    <w:rsid w:val="00F7617B"/>
    <w:rsid w:val="00FB5E5E"/>
    <w:rsid w:val="00FC4AB4"/>
    <w:rsid w:val="00FE316A"/>
    <w:rsid w:val="00FE3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1EA2894"/>
  <w15:docId w15:val="{C8D136F4-AFFB-49A0-98A7-06FA18E36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55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55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*text"/>
    <w:basedOn w:val="Normln"/>
    <w:link w:val="textChar"/>
    <w:qFormat/>
    <w:rsid w:val="00E555A1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E555A1"/>
  </w:style>
  <w:style w:type="paragraph" w:styleId="Odstavecseseznamem">
    <w:name w:val="List Paragraph"/>
    <w:basedOn w:val="Normln"/>
    <w:uiPriority w:val="34"/>
    <w:qFormat/>
    <w:rsid w:val="00646606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91B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91B58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91B5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91B5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91B5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1B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1B58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Zkladnodstavec">
    <w:name w:val="[Základní odstavec]"/>
    <w:basedOn w:val="Normln"/>
    <w:uiPriority w:val="99"/>
    <w:rsid w:val="008F368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A05B5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05B5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05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05B5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D647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2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74864-97A2-42B6-A685-61D8D95EB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863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 Heřmánek</dc:creator>
  <cp:lastModifiedBy>Harvanková Monika</cp:lastModifiedBy>
  <cp:revision>23</cp:revision>
  <cp:lastPrinted>2015-08-26T06:48:00Z</cp:lastPrinted>
  <dcterms:created xsi:type="dcterms:W3CDTF">2015-09-01T09:38:00Z</dcterms:created>
  <dcterms:modified xsi:type="dcterms:W3CDTF">2019-11-11T09:00:00Z</dcterms:modified>
</cp:coreProperties>
</file>