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FAD95C0"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F21DE">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5A26F5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767A5A">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0A23FBA4"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4B8D6A70"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000F21DE">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31DAA081"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D12FE">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C71673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F21DE">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4DB6579"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6AE690" w:rsidR="0068431B" w:rsidRPr="0068431B" w:rsidRDefault="00EC5AC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31C21B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EC5AC7">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0989668F"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0F21DE">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3027D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F21DE">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36FFFE4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67A5A">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099F70A0" w:rsidR="00BF3753" w:rsidRPr="00BF3753" w:rsidRDefault="00BF3753" w:rsidP="00DD0446">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224311">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224311">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224311">
              <w:rPr>
                <w:rFonts w:ascii="Arial" w:hAnsi="Arial" w:cs="Arial"/>
                <w:snapToGrid w:val="0"/>
                <w:sz w:val="22"/>
                <w:szCs w:val="22"/>
              </w:rPr>
              <w:t>po celou dobu</w:t>
            </w:r>
            <w:r w:rsidRPr="00BF3753">
              <w:rPr>
                <w:rFonts w:ascii="Arial" w:hAnsi="Arial" w:cs="Arial"/>
                <w:snapToGrid w:val="0"/>
                <w:sz w:val="22"/>
                <w:szCs w:val="22"/>
              </w:rPr>
              <w:t xml:space="preserve"> životnosti </w:t>
            </w:r>
            <w:r w:rsidR="00224311">
              <w:rPr>
                <w:rFonts w:ascii="Arial" w:hAnsi="Arial" w:cs="Arial"/>
                <w:snapToGrid w:val="0"/>
                <w:sz w:val="22"/>
                <w:szCs w:val="22"/>
              </w:rPr>
              <w:t>investice</w:t>
            </w:r>
            <w:r w:rsidRPr="00BF3753">
              <w:rPr>
                <w:rFonts w:ascii="Arial" w:hAnsi="Arial" w:cs="Arial"/>
                <w:snapToGrid w:val="0"/>
                <w:sz w:val="22"/>
                <w:szCs w:val="22"/>
              </w:rPr>
              <w:t xml:space="preserve">. </w:t>
            </w:r>
          </w:p>
          <w:p w14:paraId="3BA3F5E4" w14:textId="55F5B08F" w:rsidR="00BF3753" w:rsidRPr="00BF657C" w:rsidRDefault="00BF3753" w:rsidP="00DD0446">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3DC8DC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194555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0F21DE">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6437DD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0F21DE">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0F21DE">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F3875D2"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7771FF8"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4B4DD6">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w:t>
      </w:r>
      <w:r w:rsidR="000F21DE">
        <w:rPr>
          <w:rFonts w:ascii="Arial" w:hAnsi="Arial" w:cs="Arial"/>
          <w:snapToGrid w:val="0"/>
          <w:sz w:val="22"/>
          <w:szCs w:val="22"/>
        </w:rPr>
        <w:t> </w:t>
      </w:r>
      <w:r w:rsidRPr="00BF3753">
        <w:rPr>
          <w:rFonts w:ascii="Arial" w:hAnsi="Arial" w:cs="Arial"/>
          <w:snapToGrid w:val="0"/>
          <w:sz w:val="22"/>
          <w:szCs w:val="22"/>
        </w:rPr>
        <w:t>závazek veřejné služby udělené určitým podnikům pověřeným poskytováním služeb obecného hospodářského zájmu (dále jen „</w:t>
      </w:r>
      <w:r w:rsidR="00EC10FD">
        <w:rPr>
          <w:rFonts w:ascii="Arial" w:hAnsi="Arial" w:cs="Arial"/>
          <w:snapToGrid w:val="0"/>
          <w:sz w:val="22"/>
          <w:szCs w:val="22"/>
        </w:rPr>
        <w:t>Rozhodnutí 2012/21/EU</w:t>
      </w:r>
      <w:r w:rsidRPr="00BF3753">
        <w:rPr>
          <w:rFonts w:ascii="Arial" w:hAnsi="Arial" w:cs="Arial"/>
          <w:snapToGrid w:val="0"/>
          <w:sz w:val="22"/>
          <w:szCs w:val="22"/>
        </w:rPr>
        <w:t>“).</w:t>
      </w:r>
    </w:p>
    <w:p w14:paraId="148E29FF" w14:textId="040CC14D"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musí být zároveň poskytovatelem SOHZ. Příjemce dotace jako poskytovatel SOHZ musí být pověřen k výkonu SOHZ v souladu s Rozhodnutím 2012/21/EU po celou dobu životnosti investice.</w:t>
      </w:r>
    </w:p>
    <w:p w14:paraId="2CEDDB54" w14:textId="20EE3CCF"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C03E821" w14:textId="4CFAD9BD"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0F21DE">
        <w:rPr>
          <w:rFonts w:ascii="Arial" w:hAnsi="Arial" w:cs="Arial"/>
          <w:snapToGrid w:val="0"/>
          <w:sz w:val="22"/>
          <w:szCs w:val="22"/>
        </w:rPr>
        <w:t> </w:t>
      </w:r>
      <w:r w:rsidRPr="00BF3753">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D9B962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F21DE">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BD3222F"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F21DE">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75E4F7D" w14:textId="4D04BC07" w:rsidR="004B4DD6" w:rsidRPr="00EC5AC7" w:rsidRDefault="004B4DD6">
      <w:pPr>
        <w:pStyle w:val="Textpoznpodarou"/>
        <w:rPr>
          <w:rFonts w:ascii="Arial" w:hAnsi="Arial" w:cs="Arial"/>
          <w:sz w:val="18"/>
          <w:szCs w:val="18"/>
        </w:rPr>
      </w:pPr>
      <w:r w:rsidRPr="00EC5AC7">
        <w:rPr>
          <w:rStyle w:val="Znakapoznpodarou"/>
          <w:rFonts w:ascii="Arial" w:hAnsi="Arial" w:cs="Arial"/>
        </w:rPr>
        <w:footnoteRef/>
      </w:r>
      <w:r w:rsidRPr="00EC5AC7">
        <w:rPr>
          <w:rFonts w:ascii="Arial" w:hAnsi="Arial" w:cs="Arial"/>
        </w:rPr>
        <w:t xml:space="preserve"> </w:t>
      </w:r>
      <w:proofErr w:type="spellStart"/>
      <w:r w:rsidRPr="00EC5AC7">
        <w:rPr>
          <w:rFonts w:ascii="Arial" w:hAnsi="Arial" w:cs="Arial"/>
          <w:sz w:val="18"/>
          <w:szCs w:val="18"/>
        </w:rPr>
        <w:t>Úř</w:t>
      </w:r>
      <w:proofErr w:type="spellEnd"/>
      <w:r w:rsidRPr="00EC5AC7">
        <w:rPr>
          <w:rFonts w:ascii="Arial" w:hAnsi="Arial" w:cs="Arial"/>
          <w:sz w:val="18"/>
          <w:szCs w:val="18"/>
        </w:rPr>
        <w:t xml:space="preserve">. </w:t>
      </w:r>
      <w:proofErr w:type="spellStart"/>
      <w:r w:rsidRPr="00EC5AC7">
        <w:rPr>
          <w:rFonts w:ascii="Arial" w:hAnsi="Arial" w:cs="Arial"/>
          <w:sz w:val="18"/>
          <w:szCs w:val="18"/>
        </w:rPr>
        <w:t>věst</w:t>
      </w:r>
      <w:proofErr w:type="spellEnd"/>
      <w:r w:rsidRPr="00EC5AC7">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21513936">
    <w:abstractNumId w:val="20"/>
  </w:num>
  <w:num w:numId="2" w16cid:durableId="2046170429">
    <w:abstractNumId w:val="29"/>
  </w:num>
  <w:num w:numId="3" w16cid:durableId="76631628">
    <w:abstractNumId w:val="3"/>
  </w:num>
  <w:num w:numId="4" w16cid:durableId="206793521">
    <w:abstractNumId w:val="8"/>
  </w:num>
  <w:num w:numId="5" w16cid:durableId="1516336505">
    <w:abstractNumId w:val="13"/>
  </w:num>
  <w:num w:numId="6" w16cid:durableId="1086658499">
    <w:abstractNumId w:val="19"/>
  </w:num>
  <w:num w:numId="7" w16cid:durableId="1258321342">
    <w:abstractNumId w:val="7"/>
  </w:num>
  <w:num w:numId="8" w16cid:durableId="124392449">
    <w:abstractNumId w:val="25"/>
  </w:num>
  <w:num w:numId="9" w16cid:durableId="1277640156">
    <w:abstractNumId w:val="32"/>
  </w:num>
  <w:num w:numId="10" w16cid:durableId="1455516454">
    <w:abstractNumId w:val="28"/>
  </w:num>
  <w:num w:numId="11" w16cid:durableId="776145019">
    <w:abstractNumId w:val="9"/>
  </w:num>
  <w:num w:numId="12" w16cid:durableId="1892646321">
    <w:abstractNumId w:val="11"/>
  </w:num>
  <w:num w:numId="13" w16cid:durableId="1542866292">
    <w:abstractNumId w:val="35"/>
  </w:num>
  <w:num w:numId="14" w16cid:durableId="193158903">
    <w:abstractNumId w:val="30"/>
  </w:num>
  <w:num w:numId="15" w16cid:durableId="1286352322">
    <w:abstractNumId w:val="14"/>
  </w:num>
  <w:num w:numId="16" w16cid:durableId="643660916">
    <w:abstractNumId w:val="21"/>
  </w:num>
  <w:num w:numId="17" w16cid:durableId="406653052">
    <w:abstractNumId w:val="5"/>
  </w:num>
  <w:num w:numId="18" w16cid:durableId="255137862">
    <w:abstractNumId w:val="16"/>
  </w:num>
  <w:num w:numId="19" w16cid:durableId="1740782829">
    <w:abstractNumId w:val="6"/>
  </w:num>
  <w:num w:numId="20" w16cid:durableId="494297882">
    <w:abstractNumId w:val="17"/>
  </w:num>
  <w:num w:numId="21" w16cid:durableId="234971218">
    <w:abstractNumId w:val="18"/>
  </w:num>
  <w:num w:numId="22" w16cid:durableId="536429680">
    <w:abstractNumId w:val="15"/>
  </w:num>
  <w:num w:numId="23" w16cid:durableId="1728142255">
    <w:abstractNumId w:val="24"/>
  </w:num>
  <w:num w:numId="24" w16cid:durableId="1406562954">
    <w:abstractNumId w:val="4"/>
  </w:num>
  <w:num w:numId="25" w16cid:durableId="375275957">
    <w:abstractNumId w:val="1"/>
  </w:num>
  <w:num w:numId="26" w16cid:durableId="25642956">
    <w:abstractNumId w:val="27"/>
  </w:num>
  <w:num w:numId="27" w16cid:durableId="614797214">
    <w:abstractNumId w:val="22"/>
  </w:num>
  <w:num w:numId="28" w16cid:durableId="375743736">
    <w:abstractNumId w:val="10"/>
  </w:num>
  <w:num w:numId="29" w16cid:durableId="1471826913">
    <w:abstractNumId w:val="26"/>
  </w:num>
  <w:num w:numId="30" w16cid:durableId="1801532338">
    <w:abstractNumId w:val="33"/>
  </w:num>
  <w:num w:numId="31" w16cid:durableId="1629820949">
    <w:abstractNumId w:val="23"/>
  </w:num>
  <w:num w:numId="32" w16cid:durableId="17436243">
    <w:abstractNumId w:val="0"/>
  </w:num>
  <w:num w:numId="33" w16cid:durableId="298077584">
    <w:abstractNumId w:val="12"/>
  </w:num>
  <w:num w:numId="34" w16cid:durableId="394478547">
    <w:abstractNumId w:val="31"/>
  </w:num>
  <w:num w:numId="35" w16cid:durableId="35811216">
    <w:abstractNumId w:val="2"/>
  </w:num>
  <w:num w:numId="36" w16cid:durableId="1322152244">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1DE"/>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EB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AC7"/>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2FE"/>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7.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3903</Words>
  <Characters>22405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20</cp:revision>
  <cp:lastPrinted>2022-07-27T10:25:00Z</cp:lastPrinted>
  <dcterms:created xsi:type="dcterms:W3CDTF">2022-08-23T09:34:00Z</dcterms:created>
  <dcterms:modified xsi:type="dcterms:W3CDTF">2024-03-01T09:41:00Z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