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CA0F4A" w:rsidR="00F23FC9" w:rsidRPr="000F6082" w:rsidRDefault="00F23FC9" w:rsidP="00F23FC9">
      <w:pPr>
        <w:spacing w:before="240"/>
        <w:jc w:val="center"/>
        <w:rPr>
          <w:rFonts w:ascii="Arial" w:hAnsi="Arial" w:cs="Arial"/>
          <w:b/>
          <w:bCs/>
          <w:caps/>
          <w:color w:val="214F87"/>
          <w:sz w:val="44"/>
          <w:szCs w:val="44"/>
        </w:rPr>
      </w:pPr>
      <w:r w:rsidRPr="009E3D00">
        <w:rPr>
          <w:rFonts w:ascii="Arial" w:hAnsi="Arial" w:cs="Arial"/>
          <w:b/>
          <w:bCs/>
          <w:caps/>
          <w:color w:val="214F87"/>
          <w:sz w:val="44"/>
          <w:szCs w:val="44"/>
        </w:rPr>
        <w:t xml:space="preserve">PŘÍLOHA </w:t>
      </w:r>
      <w:proofErr w:type="gramStart"/>
      <w:r w:rsidR="000F6082" w:rsidRPr="009E3D00">
        <w:rPr>
          <w:rFonts w:ascii="Arial" w:hAnsi="Arial" w:cs="Arial"/>
          <w:b/>
          <w:bCs/>
          <w:caps/>
          <w:color w:val="214F87"/>
          <w:sz w:val="44"/>
          <w:szCs w:val="44"/>
        </w:rPr>
        <w:t>3</w:t>
      </w:r>
      <w:r w:rsidR="00477A82">
        <w:rPr>
          <w:rFonts w:ascii="Arial" w:hAnsi="Arial" w:cs="Arial"/>
          <w:b/>
          <w:bCs/>
          <w:caps/>
          <w:color w:val="214F87"/>
          <w:sz w:val="44"/>
          <w:szCs w:val="44"/>
        </w:rPr>
        <w:t>C</w:t>
      </w:r>
      <w:proofErr w:type="gramEnd"/>
    </w:p>
    <w:p w14:paraId="748DDB57" w14:textId="0C2212BA" w:rsidR="00A752A6" w:rsidRDefault="00F23FC9" w:rsidP="00B4590F">
      <w:pPr>
        <w:spacing w:before="240" w:after="200" w:line="276" w:lineRule="auto"/>
        <w:jc w:val="cente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1A0AC58"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58</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6C008E59"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59</w:t>
      </w:r>
      <w:r w:rsidRPr="00334878">
        <w:rPr>
          <w:rFonts w:ascii="Arial" w:hAnsi="Arial" w:cs="Arial"/>
          <w:caps/>
          <w:color w:val="auto"/>
          <w:sz w:val="36"/>
          <w:szCs w:val="36"/>
        </w:rPr>
        <w:t>. výzva IROP</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6C61D920" w14:textId="77777777" w:rsidR="00C07164" w:rsidRDefault="00C07164" w:rsidP="00C07164">
      <w:pPr>
        <w:jc w:val="center"/>
        <w:rPr>
          <w:rFonts w:ascii="Arial" w:hAnsi="Arial" w:cs="Arial"/>
          <w:caps/>
          <w:color w:val="7F7F7F" w:themeColor="text1" w:themeTint="80"/>
          <w:sz w:val="32"/>
          <w:szCs w:val="32"/>
        </w:rPr>
        <w:sectPr w:rsidR="00C07164" w:rsidSect="009E3D00">
          <w:headerReference w:type="default" r:id="rId34"/>
          <w:footerReference w:type="default" r:id="rId35"/>
          <w:pgSz w:w="11906" w:h="16838"/>
          <w:pgMar w:top="1418" w:right="1418" w:bottom="1276" w:left="1418" w:header="709" w:footer="709" w:gutter="0"/>
          <w:cols w:space="708"/>
          <w:titlePg/>
          <w:docGrid w:linePitch="360"/>
        </w:sectPr>
      </w:pPr>
      <w:r w:rsidRPr="00AF1EE7">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3D2E20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0048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3B5E619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4244BD88" w14:textId="6227E285" w:rsidR="00061C4E" w:rsidRDefault="009132E6" w:rsidP="00F93266">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061C4E">
        <w:rPr>
          <w:rFonts w:ascii="Arial" w:hAnsi="Arial" w:cs="Arial"/>
          <w:bCs/>
          <w:sz w:val="22"/>
          <w:szCs w:val="22"/>
        </w:rPr>
        <w:t>Projekt má definovaný neměnitelný účel vymezený v Rozhodnutí podle § 14 odst. 4 písm. d) rozpočtových pravidel.</w:t>
      </w:r>
    </w:p>
    <w:p w14:paraId="53EFA918" w14:textId="19B4A5AE" w:rsidR="009132E6" w:rsidRPr="00061C4E" w:rsidRDefault="009132E6" w:rsidP="00F93266">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061C4E">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2F29F989"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856C1DA"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57B42B"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lastRenderedPageBreak/>
              <w:t>Plnění indikátorů</w:t>
            </w:r>
          </w:p>
        </w:tc>
      </w:tr>
      <w:tr w:rsidR="009132E6" w:rsidRPr="00BF657C" w14:paraId="50E37ED5" w14:textId="77777777" w:rsidTr="003E004D">
        <w:trPr>
          <w:trHeight w:val="850"/>
        </w:trPr>
        <w:tc>
          <w:tcPr>
            <w:tcW w:w="4533" w:type="dxa"/>
          </w:tcPr>
          <w:p w14:paraId="3F89554F" w14:textId="77777777" w:rsidR="009E3D00" w:rsidRPr="00E866F4"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při podání </w:t>
            </w:r>
            <w:r w:rsidRPr="00E866F4">
              <w:rPr>
                <w:rFonts w:ascii="Arial" w:hAnsi="Arial" w:cs="Arial"/>
                <w:snapToGrid w:val="0"/>
                <w:sz w:val="22"/>
                <w:szCs w:val="22"/>
              </w:rPr>
              <w:t xml:space="preserve">závěrečné zprávy o realizaci projektu prokázat, že indikátory </w:t>
            </w:r>
            <w:r w:rsidRPr="00E866F4">
              <w:rPr>
                <w:rFonts w:ascii="Arial" w:hAnsi="Arial" w:cs="Arial"/>
                <w:i/>
                <w:iCs/>
                <w:snapToGrid w:val="0"/>
                <w:sz w:val="22"/>
                <w:szCs w:val="22"/>
              </w:rPr>
              <w:t>I. – VI.</w:t>
            </w:r>
            <w:r w:rsidRPr="00E866F4">
              <w:rPr>
                <w:rFonts w:ascii="Arial" w:hAnsi="Arial" w:cs="Arial"/>
                <w:snapToGrid w:val="0"/>
                <w:sz w:val="22"/>
                <w:szCs w:val="22"/>
              </w:rPr>
              <w:t xml:space="preserve"> byly naplněny v termínu</w:t>
            </w:r>
            <w:r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129A8208" w14:textId="77777777" w:rsidR="009E3D00" w:rsidRPr="00BF657C" w:rsidRDefault="009E3D00" w:rsidP="009E3D0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cílové hodnoty indikátoru </w:t>
            </w:r>
            <w:r w:rsidRPr="00E866F4">
              <w:rPr>
                <w:rFonts w:ascii="Arial" w:hAnsi="Arial" w:cs="Arial"/>
                <w:i/>
                <w:iCs/>
                <w:snapToGrid w:val="0"/>
                <w:sz w:val="22"/>
                <w:szCs w:val="22"/>
              </w:rPr>
              <w:t>VII.</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C7B2793"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BAA14D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36EF0953"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0B4580F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0471F022"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2215FEC0"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0DAE0A5" w14:textId="46A1BCC5" w:rsidR="009E3D00"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46ABC43" w14:textId="1EE508B0" w:rsidR="009132E6" w:rsidRPr="003E004D" w:rsidRDefault="003E004D" w:rsidP="003E004D">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tc>
        <w:tc>
          <w:tcPr>
            <w:tcW w:w="4534" w:type="dxa"/>
          </w:tcPr>
          <w:p w14:paraId="53B62C91"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ED894DD" w14:textId="77777777"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indikátorů bez stanoveného tolerančního pásma (indikátor </w:t>
            </w:r>
            <w:r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D3A220" w14:textId="288D645A"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p>
          <w:p w14:paraId="42FF762C" w14:textId="46A7A5B8" w:rsidR="009E3D00" w:rsidRPr="00E866F4" w:rsidRDefault="009E3D00" w:rsidP="009E3D0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w:t>
            </w:r>
          </w:p>
          <w:p w14:paraId="5D6559F0" w14:textId="77777777" w:rsidR="009E3D00" w:rsidRPr="00E866F4" w:rsidRDefault="009E3D00" w:rsidP="009E3D0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143831DE" w14:textId="77777777" w:rsidR="009E3D00" w:rsidRPr="00E866F4" w:rsidRDefault="009E3D00" w:rsidP="009E3D0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5CCB3392" w:rsidR="009132E6" w:rsidRPr="00BF657C" w:rsidRDefault="009E3D00"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1668694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5C3FCB55"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52EC416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E9B83C3"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t>Udržení indikátorů</w:t>
            </w:r>
          </w:p>
        </w:tc>
      </w:tr>
      <w:tr w:rsidR="009E3D00" w:rsidRPr="00BF657C" w14:paraId="4B0E91EF" w14:textId="77777777" w:rsidTr="00755826">
        <w:trPr>
          <w:trHeight w:val="1124"/>
        </w:trPr>
        <w:tc>
          <w:tcPr>
            <w:tcW w:w="4533" w:type="dxa"/>
          </w:tcPr>
          <w:p w14:paraId="468EE169" w14:textId="77777777"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726A603E"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5FB2853"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lastRenderedPageBreak/>
              <w:t>554 010 - Počet podpořených zázemí pro služby a sociální práci</w:t>
            </w:r>
          </w:p>
          <w:p w14:paraId="3F46F775"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20900E5C"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5183A481"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24AD4D6"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BD3E5C4" w14:textId="77777777" w:rsidR="009E3D00" w:rsidRPr="00E866F4" w:rsidRDefault="009E3D00" w:rsidP="009E3D00">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B2269BF" w14:textId="77777777" w:rsidR="009E3D00" w:rsidRPr="00E77894" w:rsidRDefault="009E3D00" w:rsidP="009E3D00">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3160EA28"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4724A519"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3DE8EB7" w14:textId="77777777" w:rsidR="009E3D00" w:rsidRPr="00351B32"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6 (vyjma indikátoru </w:t>
            </w:r>
            <w:r w:rsidRPr="00E77894">
              <w:rPr>
                <w:rFonts w:ascii="Arial" w:hAnsi="Arial" w:cs="Arial"/>
                <w:i/>
                <w:iCs/>
                <w:snapToGrid w:val="0"/>
                <w:sz w:val="22"/>
                <w:szCs w:val="22"/>
                <w:lang w:eastAsia="zh-CN" w:bidi="ar"/>
              </w:rPr>
              <w:t>VII</w:t>
            </w:r>
            <w:r>
              <w:rPr>
                <w:rFonts w:ascii="Arial" w:hAnsi="Arial" w:cs="Arial"/>
                <w:snapToGrid w:val="0"/>
                <w:sz w:val="22"/>
                <w:szCs w:val="22"/>
                <w:lang w:eastAsia="zh-CN" w:bidi="ar"/>
              </w:rPr>
              <w:t>.) a u indikátorů bez stanoveného tolerančního pásma</w:t>
            </w:r>
            <w:r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6C15EC21" w14:textId="77777777" w:rsidR="009E3D00" w:rsidRPr="00E77894"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tolerančního pásma indikátoru v případě, kdy nedojde k udržení u indikátoru: </w:t>
            </w:r>
          </w:p>
          <w:p w14:paraId="20108C2D"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35DE5A43" w14:textId="77777777" w:rsidR="009E3D00" w:rsidRPr="00E77894" w:rsidRDefault="009E3D00" w:rsidP="009E3D0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E3993DC"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71EA1864" w14:textId="534FA8BC" w:rsidR="009E3D00" w:rsidRPr="00E77894" w:rsidRDefault="009E3D00" w:rsidP="009E3D0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p>
          <w:p w14:paraId="3CB69A62" w14:textId="77777777" w:rsidR="009E3D00" w:rsidRPr="00BF657C" w:rsidRDefault="009E3D00" w:rsidP="009E3D0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32091E8C" w:rsidR="009E3D00" w:rsidRPr="00BF657C" w:rsidRDefault="009E3D00" w:rsidP="009E3D0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CA19F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D0048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22E5AA11"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FBA1368"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08776B2"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7E12C1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 xml:space="preserve">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0048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4464FBE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12146F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6F1AA7CE"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8"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8"/>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24ABDD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C08EC" w:rsidRPr="00BF657C" w14:paraId="0E83ABBB" w14:textId="77777777" w:rsidTr="000C08EC">
        <w:trPr>
          <w:trHeight w:val="410"/>
        </w:trPr>
        <w:tc>
          <w:tcPr>
            <w:tcW w:w="9067" w:type="dxa"/>
            <w:gridSpan w:val="2"/>
            <w:shd w:val="clear" w:color="auto" w:fill="D9D9D9" w:themeFill="background1" w:themeFillShade="D9"/>
          </w:tcPr>
          <w:p w14:paraId="3042D21F" w14:textId="5A00D290" w:rsidR="000C08EC" w:rsidRPr="00BF657C" w:rsidRDefault="000C08EC" w:rsidP="0042247B">
            <w:pPr>
              <w:spacing w:before="120" w:after="120" w:line="271" w:lineRule="auto"/>
              <w:jc w:val="both"/>
              <w:rPr>
                <w:rFonts w:ascii="Arial" w:hAnsi="Arial" w:cs="Arial"/>
                <w:sz w:val="22"/>
                <w:szCs w:val="22"/>
              </w:rPr>
            </w:pPr>
            <w:r>
              <w:rPr>
                <w:rFonts w:ascii="Arial" w:hAnsi="Arial" w:cs="Arial"/>
                <w:b/>
                <w:bCs/>
                <w:snapToGrid w:val="0"/>
                <w:sz w:val="22"/>
                <w:szCs w:val="22"/>
              </w:rPr>
              <w:lastRenderedPageBreak/>
              <w:t xml:space="preserve">16. </w:t>
            </w:r>
            <w:r w:rsidRPr="00081F39">
              <w:rPr>
                <w:rFonts w:ascii="Arial" w:hAnsi="Arial" w:cs="Arial"/>
                <w:b/>
                <w:bCs/>
                <w:snapToGrid w:val="0"/>
                <w:sz w:val="22"/>
                <w:szCs w:val="22"/>
              </w:rPr>
              <w:t>Služby obecného hospodářského zájmu</w:t>
            </w:r>
          </w:p>
        </w:tc>
      </w:tr>
      <w:tr w:rsidR="000C08EC" w:rsidRPr="00BF657C" w14:paraId="0B1165A8" w14:textId="77777777" w:rsidTr="00755826">
        <w:trPr>
          <w:trHeight w:val="410"/>
        </w:trPr>
        <w:tc>
          <w:tcPr>
            <w:tcW w:w="4533" w:type="dxa"/>
          </w:tcPr>
          <w:p w14:paraId="0F1DF31F" w14:textId="54B9399C" w:rsidR="00721680" w:rsidRPr="00721680" w:rsidRDefault="00721680" w:rsidP="00721680">
            <w:pPr>
              <w:spacing w:before="120" w:after="120" w:line="271" w:lineRule="auto"/>
              <w:jc w:val="both"/>
              <w:rPr>
                <w:rFonts w:ascii="Arial" w:hAnsi="Arial" w:cs="Arial"/>
                <w:snapToGrid w:val="0"/>
                <w:sz w:val="22"/>
                <w:szCs w:val="22"/>
              </w:rPr>
            </w:pPr>
            <w:r w:rsidRPr="00721680">
              <w:rPr>
                <w:rFonts w:ascii="Arial" w:hAnsi="Arial" w:cs="Arial"/>
                <w:snapToGrid w:val="0"/>
                <w:sz w:val="22"/>
                <w:szCs w:val="22"/>
              </w:rPr>
              <w:t xml:space="preserve">Poskytovatel služby obecného hospodářského zájmu (dále jen „SOHZ“) musí být pověřen k výkonu SOHZ v souladu s </w:t>
            </w:r>
            <w:r w:rsidR="00C44AEB">
              <w:rPr>
                <w:rFonts w:ascii="Arial" w:hAnsi="Arial" w:cs="Arial"/>
                <w:snapToGrid w:val="0"/>
                <w:sz w:val="22"/>
                <w:szCs w:val="22"/>
              </w:rPr>
              <w:t>r</w:t>
            </w:r>
            <w:r w:rsidRPr="00721680">
              <w:rPr>
                <w:rFonts w:ascii="Arial" w:hAnsi="Arial" w:cs="Arial"/>
                <w:snapToGrid w:val="0"/>
                <w:sz w:val="22"/>
                <w:szCs w:val="22"/>
              </w:rPr>
              <w:t xml:space="preserve">ozhodnutím </w:t>
            </w:r>
            <w:r w:rsidR="00C44AEB">
              <w:rPr>
                <w:rFonts w:ascii="Arial" w:hAnsi="Arial" w:cs="Arial"/>
                <w:snapToGrid w:val="0"/>
                <w:sz w:val="22"/>
                <w:szCs w:val="22"/>
              </w:rPr>
              <w:t xml:space="preserve">Komise </w:t>
            </w:r>
            <w:r w:rsidRPr="00721680">
              <w:rPr>
                <w:rFonts w:ascii="Arial" w:hAnsi="Arial" w:cs="Arial"/>
                <w:snapToGrid w:val="0"/>
                <w:sz w:val="22"/>
                <w:szCs w:val="22"/>
              </w:rPr>
              <w:t xml:space="preserve">2012/21/EU po celou dobu životnosti investice. </w:t>
            </w:r>
          </w:p>
          <w:p w14:paraId="797C15E0" w14:textId="0B04B59F" w:rsidR="000C08EC" w:rsidRDefault="00721680" w:rsidP="00721680">
            <w:pPr>
              <w:spacing w:before="120" w:after="120" w:line="271" w:lineRule="auto"/>
              <w:jc w:val="both"/>
              <w:rPr>
                <w:rFonts w:ascii="Arial" w:hAnsi="Arial" w:cs="Arial"/>
                <w:b/>
                <w:bCs/>
                <w:snapToGrid w:val="0"/>
                <w:sz w:val="22"/>
                <w:szCs w:val="22"/>
              </w:rPr>
            </w:pPr>
            <w:r w:rsidRPr="00721680">
              <w:rPr>
                <w:rFonts w:ascii="Arial" w:hAnsi="Arial" w:cs="Arial"/>
                <w:snapToGrid w:val="0"/>
                <w:sz w:val="22"/>
                <w:szCs w:val="22"/>
              </w:rPr>
              <w:t>Pokud bude poskytovatel služby pověřen více pověřovacími akty, je povinen zajistit jejich kontinuální návaznost.</w:t>
            </w:r>
          </w:p>
        </w:tc>
        <w:tc>
          <w:tcPr>
            <w:tcW w:w="4534" w:type="dxa"/>
          </w:tcPr>
          <w:p w14:paraId="28602252" w14:textId="54C810B7" w:rsidR="000C08EC" w:rsidRPr="00BF657C" w:rsidRDefault="00721680" w:rsidP="0042247B">
            <w:pPr>
              <w:spacing w:before="120" w:after="120" w:line="271" w:lineRule="auto"/>
              <w:jc w:val="both"/>
              <w:rPr>
                <w:rFonts w:ascii="Arial" w:hAnsi="Arial" w:cs="Arial"/>
                <w:sz w:val="22"/>
                <w:szCs w:val="22"/>
              </w:rPr>
            </w:pPr>
            <w:r w:rsidRPr="00721680">
              <w:rPr>
                <w:rFonts w:ascii="Arial" w:hAnsi="Arial" w:cs="Arial"/>
                <w:sz w:val="22"/>
                <w:szCs w:val="22"/>
              </w:rPr>
              <w:t>Finanční oprava bude stanovena ve výši 100</w:t>
            </w:r>
            <w:r w:rsidR="00AB0FCB">
              <w:rPr>
                <w:rFonts w:ascii="Arial" w:hAnsi="Arial" w:cs="Arial"/>
                <w:sz w:val="22"/>
                <w:szCs w:val="22"/>
              </w:rPr>
              <w:t> </w:t>
            </w:r>
            <w:r w:rsidRPr="00721680">
              <w:rPr>
                <w:rFonts w:ascii="Arial" w:hAnsi="Arial" w:cs="Arial"/>
                <w:sz w:val="22"/>
                <w:szCs w:val="22"/>
              </w:rPr>
              <w:t>%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CA46D1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2B4564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0048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AFAE54C"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00489">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63B86E1"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2E4AAA">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D70A59" w:rsidRDefault="009132E6" w:rsidP="00D70A59">
      <w:pPr>
        <w:pStyle w:val="Nadpis3"/>
        <w:rPr>
          <w:rFonts w:ascii="Arial" w:hAnsi="Arial" w:cs="Arial"/>
          <w:i/>
          <w:iCs/>
          <w:sz w:val="22"/>
          <w:szCs w:val="22"/>
        </w:rPr>
      </w:pPr>
      <w:r w:rsidRPr="00D70A59">
        <w:rPr>
          <w:rFonts w:ascii="Arial" w:hAnsi="Arial" w:cs="Arial"/>
          <w:i/>
          <w:iCs/>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9E3D00">
        <w:rPr>
          <w:rFonts w:ascii="Arial" w:hAnsi="Arial" w:cs="Arial"/>
          <w:b/>
          <w:i/>
          <w:snapToGrid w:val="0"/>
          <w:sz w:val="22"/>
          <w:szCs w:val="22"/>
        </w:rPr>
        <w:t>Veřejná podpora</w:t>
      </w:r>
    </w:p>
    <w:p w14:paraId="273BFCB9" w14:textId="7CE66C75" w:rsidR="0025142F" w:rsidRPr="0025142F" w:rsidRDefault="0025142F" w:rsidP="002E4AAA">
      <w:pPr>
        <w:pStyle w:val="Zkladntext"/>
        <w:numPr>
          <w:ilvl w:val="0"/>
          <w:numId w:val="31"/>
        </w:numPr>
        <w:spacing w:before="120" w:after="120" w:line="271" w:lineRule="auto"/>
        <w:jc w:val="both"/>
        <w:rPr>
          <w:rFonts w:ascii="Arial" w:hAnsi="Arial" w:cs="Arial"/>
          <w:b w:val="0"/>
          <w:i w:val="0"/>
          <w:sz w:val="22"/>
          <w:szCs w:val="22"/>
        </w:rPr>
      </w:pPr>
      <w:r w:rsidRPr="0025142F">
        <w:rPr>
          <w:rFonts w:ascii="Arial" w:hAnsi="Arial" w:cs="Arial"/>
          <w:b w:val="0"/>
          <w:i w:val="0"/>
          <w:sz w:val="22"/>
          <w:szCs w:val="22"/>
        </w:rPr>
        <w:t xml:space="preserve">Dotace je udělena v souladu s </w:t>
      </w:r>
      <w:r w:rsidR="00C44AEB">
        <w:rPr>
          <w:rFonts w:ascii="Arial" w:hAnsi="Arial" w:cs="Arial"/>
          <w:b w:val="0"/>
          <w:i w:val="0"/>
          <w:sz w:val="22"/>
          <w:szCs w:val="22"/>
        </w:rPr>
        <w:t>r</w:t>
      </w:r>
      <w:r w:rsidRPr="0025142F">
        <w:rPr>
          <w:rFonts w:ascii="Arial" w:hAnsi="Arial" w:cs="Arial"/>
          <w:b w:val="0"/>
          <w:i w:val="0"/>
          <w:sz w:val="22"/>
          <w:szCs w:val="22"/>
        </w:rPr>
        <w:t xml:space="preserve">ozhodnutím Komise </w:t>
      </w:r>
      <w:r w:rsidRPr="000A6187">
        <w:rPr>
          <w:rFonts w:ascii="Arial" w:hAnsi="Arial" w:cs="Arial"/>
          <w:b w:val="0"/>
          <w:i w:val="0"/>
          <w:sz w:val="22"/>
          <w:szCs w:val="22"/>
        </w:rPr>
        <w:t>2012/21/EU</w:t>
      </w:r>
      <w:r w:rsidRPr="000A6187">
        <w:rPr>
          <w:rStyle w:val="Znakapoznpodarou"/>
          <w:rFonts w:ascii="Arial" w:hAnsi="Arial" w:cs="Arial"/>
          <w:b w:val="0"/>
          <w:i w:val="0"/>
          <w:sz w:val="22"/>
          <w:szCs w:val="22"/>
        </w:rPr>
        <w:footnoteReference w:id="22"/>
      </w:r>
      <w:r w:rsidRPr="000A6187">
        <w:rPr>
          <w:rFonts w:ascii="Arial" w:hAnsi="Arial" w:cs="Arial"/>
          <w:b w:val="0"/>
          <w:i w:val="0"/>
          <w:sz w:val="22"/>
          <w:szCs w:val="22"/>
        </w:rPr>
        <w:t xml:space="preserve"> ze</w:t>
      </w:r>
      <w:r w:rsidRPr="0025142F">
        <w:rPr>
          <w:rFonts w:ascii="Arial" w:hAnsi="Arial" w:cs="Arial"/>
          <w:b w:val="0"/>
          <w:i w:val="0"/>
          <w:sz w:val="22"/>
          <w:szCs w:val="22"/>
        </w:rPr>
        <w:t xml:space="preserve"> dne 20. prosince 2011 o použití čl. 106 odst. 2 SFEU na státní podporu ve formě vyrovnávací platby za</w:t>
      </w:r>
      <w:r w:rsidR="00AB0FCB">
        <w:rPr>
          <w:rFonts w:ascii="Arial" w:hAnsi="Arial" w:cs="Arial"/>
          <w:b w:val="0"/>
          <w:i w:val="0"/>
          <w:sz w:val="22"/>
          <w:szCs w:val="22"/>
        </w:rPr>
        <w:t> </w:t>
      </w:r>
      <w:r w:rsidRPr="0025142F">
        <w:rPr>
          <w:rFonts w:ascii="Arial" w:hAnsi="Arial" w:cs="Arial"/>
          <w:b w:val="0"/>
          <w:i w:val="0"/>
          <w:sz w:val="22"/>
          <w:szCs w:val="22"/>
        </w:rPr>
        <w:t>závazek veřejné služby udělené určitým podnikům pověřeným poskytováním služeb obecného hospodářského zájmu („</w:t>
      </w:r>
      <w:r w:rsidR="00C44AEB">
        <w:rPr>
          <w:rFonts w:ascii="Arial" w:hAnsi="Arial" w:cs="Arial"/>
          <w:b w:val="0"/>
          <w:i w:val="0"/>
          <w:sz w:val="22"/>
          <w:szCs w:val="22"/>
        </w:rPr>
        <w:t>r</w:t>
      </w:r>
      <w:r w:rsidRPr="0025142F">
        <w:rPr>
          <w:rFonts w:ascii="Arial" w:hAnsi="Arial" w:cs="Arial"/>
          <w:b w:val="0"/>
          <w:i w:val="0"/>
          <w:sz w:val="22"/>
          <w:szCs w:val="22"/>
        </w:rPr>
        <w:t xml:space="preserve">ozhodnutí </w:t>
      </w:r>
      <w:r w:rsidR="00C44AEB">
        <w:rPr>
          <w:rFonts w:ascii="Arial" w:hAnsi="Arial" w:cs="Arial"/>
          <w:b w:val="0"/>
          <w:i w:val="0"/>
          <w:sz w:val="22"/>
          <w:szCs w:val="22"/>
        </w:rPr>
        <w:t xml:space="preserve">Komise </w:t>
      </w:r>
      <w:r w:rsidRPr="0025142F">
        <w:rPr>
          <w:rFonts w:ascii="Arial" w:hAnsi="Arial" w:cs="Arial"/>
          <w:b w:val="0"/>
          <w:i w:val="0"/>
          <w:sz w:val="22"/>
          <w:szCs w:val="22"/>
        </w:rPr>
        <w:t>2012/21/EU“).</w:t>
      </w:r>
    </w:p>
    <w:p w14:paraId="435B03D9" w14:textId="26C8C2D0" w:rsidR="0025142F" w:rsidRDefault="0025142F" w:rsidP="002E4AAA">
      <w:pPr>
        <w:pStyle w:val="Zkladntext"/>
        <w:numPr>
          <w:ilvl w:val="0"/>
          <w:numId w:val="31"/>
        </w:numPr>
        <w:spacing w:before="120" w:after="120" w:line="271" w:lineRule="auto"/>
        <w:ind w:left="357" w:hanging="357"/>
        <w:jc w:val="both"/>
        <w:rPr>
          <w:rFonts w:ascii="Arial" w:hAnsi="Arial" w:cs="Arial"/>
          <w:b w:val="0"/>
          <w:i w:val="0"/>
          <w:sz w:val="22"/>
          <w:szCs w:val="22"/>
        </w:rPr>
      </w:pPr>
      <w:r w:rsidRPr="0025142F">
        <w:rPr>
          <w:rFonts w:ascii="Arial" w:hAnsi="Arial" w:cs="Arial"/>
          <w:b w:val="0"/>
          <w:i w:val="0"/>
          <w:sz w:val="22"/>
          <w:szCs w:val="22"/>
        </w:rPr>
        <w:t xml:space="preserve">Příjemce dotace musí být zároveň poskytovatelem </w:t>
      </w:r>
      <w:r w:rsidR="00C161C0">
        <w:rPr>
          <w:rFonts w:ascii="Arial" w:hAnsi="Arial" w:cs="Arial"/>
          <w:b w:val="0"/>
          <w:i w:val="0"/>
          <w:sz w:val="22"/>
          <w:szCs w:val="22"/>
        </w:rPr>
        <w:t>služby obecného hospodářského zájmu („</w:t>
      </w:r>
      <w:r w:rsidRPr="0025142F">
        <w:rPr>
          <w:rFonts w:ascii="Arial" w:hAnsi="Arial" w:cs="Arial"/>
          <w:b w:val="0"/>
          <w:i w:val="0"/>
          <w:sz w:val="22"/>
          <w:szCs w:val="22"/>
        </w:rPr>
        <w:t>SOHZ</w:t>
      </w:r>
      <w:r w:rsidR="00C161C0">
        <w:rPr>
          <w:rFonts w:ascii="Arial" w:hAnsi="Arial" w:cs="Arial"/>
          <w:b w:val="0"/>
          <w:i w:val="0"/>
          <w:sz w:val="22"/>
          <w:szCs w:val="22"/>
        </w:rPr>
        <w:t>“)</w:t>
      </w:r>
      <w:r w:rsidRPr="0025142F">
        <w:rPr>
          <w:rFonts w:ascii="Arial" w:hAnsi="Arial" w:cs="Arial"/>
          <w:b w:val="0"/>
          <w:i w:val="0"/>
          <w:sz w:val="22"/>
          <w:szCs w:val="22"/>
        </w:rPr>
        <w:t>. Příjemce dotace jako poskytovatel SOHZ musí být pověřen k výkonu SOHZ v</w:t>
      </w:r>
      <w:r w:rsidR="00C161C0">
        <w:rPr>
          <w:rFonts w:ascii="Arial" w:hAnsi="Arial" w:cs="Arial"/>
          <w:b w:val="0"/>
          <w:i w:val="0"/>
          <w:sz w:val="22"/>
          <w:szCs w:val="22"/>
        </w:rPr>
        <w:t> </w:t>
      </w:r>
      <w:r w:rsidRPr="0025142F">
        <w:rPr>
          <w:rFonts w:ascii="Arial" w:hAnsi="Arial" w:cs="Arial"/>
          <w:b w:val="0"/>
          <w:i w:val="0"/>
          <w:sz w:val="22"/>
          <w:szCs w:val="22"/>
        </w:rPr>
        <w:t xml:space="preserve">souladu s </w:t>
      </w:r>
      <w:r w:rsidR="00C161C0">
        <w:rPr>
          <w:rFonts w:ascii="Arial" w:hAnsi="Arial" w:cs="Arial"/>
          <w:b w:val="0"/>
          <w:i w:val="0"/>
          <w:sz w:val="22"/>
          <w:szCs w:val="22"/>
        </w:rPr>
        <w:t>r</w:t>
      </w:r>
      <w:r w:rsidRPr="0025142F">
        <w:rPr>
          <w:rFonts w:ascii="Arial" w:hAnsi="Arial" w:cs="Arial"/>
          <w:b w:val="0"/>
          <w:i w:val="0"/>
          <w:sz w:val="22"/>
          <w:szCs w:val="22"/>
        </w:rPr>
        <w:t xml:space="preserve">ozhodnutím </w:t>
      </w:r>
      <w:r w:rsidR="00C161C0">
        <w:rPr>
          <w:rFonts w:ascii="Arial" w:hAnsi="Arial" w:cs="Arial"/>
          <w:b w:val="0"/>
          <w:i w:val="0"/>
          <w:sz w:val="22"/>
          <w:szCs w:val="22"/>
        </w:rPr>
        <w:t xml:space="preserve">Komise </w:t>
      </w:r>
      <w:r w:rsidRPr="0025142F">
        <w:rPr>
          <w:rFonts w:ascii="Arial" w:hAnsi="Arial" w:cs="Arial"/>
          <w:b w:val="0"/>
          <w:i w:val="0"/>
          <w:sz w:val="22"/>
          <w:szCs w:val="22"/>
        </w:rPr>
        <w:t>2012/21/EU po celou dobu životnosti investice.</w:t>
      </w:r>
    </w:p>
    <w:p w14:paraId="38BAF04E" w14:textId="1E62A8AA" w:rsidR="00E028D0" w:rsidRPr="00E028D0" w:rsidRDefault="00E028D0" w:rsidP="002E4AAA">
      <w:pPr>
        <w:pStyle w:val="Odstavecseseznamem"/>
        <w:numPr>
          <w:ilvl w:val="0"/>
          <w:numId w:val="31"/>
        </w:numPr>
        <w:spacing w:line="271" w:lineRule="auto"/>
        <w:ind w:left="357" w:hanging="357"/>
        <w:jc w:val="both"/>
        <w:rPr>
          <w:rFonts w:ascii="Arial" w:hAnsi="Arial" w:cs="Arial"/>
          <w:bCs/>
          <w:iCs/>
          <w:sz w:val="22"/>
          <w:szCs w:val="22"/>
        </w:rPr>
      </w:pPr>
      <w:r w:rsidRPr="00E028D0">
        <w:rPr>
          <w:rFonts w:ascii="Arial" w:hAnsi="Arial" w:cs="Arial"/>
          <w:bCs/>
          <w:iCs/>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p>
    <w:p w14:paraId="15AF6FFB" w14:textId="1785A3B7" w:rsidR="0025142F" w:rsidRPr="0025142F" w:rsidRDefault="0025142F" w:rsidP="002E4AAA">
      <w:pPr>
        <w:pStyle w:val="Zkladntext"/>
        <w:numPr>
          <w:ilvl w:val="0"/>
          <w:numId w:val="31"/>
        </w:numPr>
        <w:spacing w:before="120" w:after="120" w:line="271" w:lineRule="auto"/>
        <w:jc w:val="both"/>
        <w:rPr>
          <w:rFonts w:ascii="Arial" w:hAnsi="Arial" w:cs="Arial"/>
          <w:b w:val="0"/>
          <w:i w:val="0"/>
          <w:sz w:val="22"/>
          <w:szCs w:val="22"/>
        </w:rPr>
      </w:pPr>
      <w:r w:rsidRPr="0025142F">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519C2226" w:rsidR="009132E6" w:rsidRPr="00BF657C" w:rsidRDefault="0025142F" w:rsidP="002E4AAA">
      <w:pPr>
        <w:pStyle w:val="Prosttext"/>
        <w:numPr>
          <w:ilvl w:val="0"/>
          <w:numId w:val="31"/>
        </w:numPr>
        <w:spacing w:before="120" w:after="120" w:line="271" w:lineRule="auto"/>
        <w:jc w:val="both"/>
        <w:rPr>
          <w:rFonts w:eastAsia="Times New Roman" w:cs="Arial"/>
          <w:snapToGrid w:val="0"/>
          <w:sz w:val="22"/>
          <w:szCs w:val="22"/>
          <w:lang w:eastAsia="cs-CZ"/>
        </w:rPr>
      </w:pPr>
      <w:r w:rsidRPr="0025142F">
        <w:rPr>
          <w:rFonts w:cs="Arial"/>
          <w:sz w:val="22"/>
          <w:szCs w:val="22"/>
        </w:rPr>
        <w:t>Příjemce dotace bere na vědomí, že Evropská komise může uložit příjemci navrácení veřejné podpory spolu s příslušným úrokem zpět poskytovateli, pokud shledá, že</w:t>
      </w:r>
      <w:r w:rsidR="00F9266B">
        <w:rPr>
          <w:rFonts w:cs="Arial"/>
          <w:sz w:val="22"/>
          <w:szCs w:val="22"/>
        </w:rPr>
        <w:t> </w:t>
      </w:r>
      <w:r w:rsidRPr="0025142F">
        <w:rPr>
          <w:rFonts w:cs="Arial"/>
          <w:sz w:val="22"/>
          <w:szCs w:val="22"/>
        </w:rPr>
        <w:t>poskytnutá dotace představuje protiprávní veřejnou podporu neslučitelnou s vnitřním trhem.</w:t>
      </w:r>
    </w:p>
    <w:p w14:paraId="1314B3E2" w14:textId="77777777" w:rsidR="009132E6" w:rsidRPr="00D70A59" w:rsidRDefault="009132E6" w:rsidP="00D70A59">
      <w:pPr>
        <w:pStyle w:val="Nadpis3"/>
        <w:rPr>
          <w:rFonts w:ascii="Arial" w:hAnsi="Arial" w:cs="Arial"/>
          <w:i/>
          <w:iCs/>
          <w:sz w:val="22"/>
          <w:szCs w:val="22"/>
        </w:rPr>
      </w:pPr>
      <w:r w:rsidRPr="00D70A59">
        <w:rPr>
          <w:rFonts w:ascii="Arial" w:hAnsi="Arial" w:cs="Arial"/>
          <w:i/>
          <w:iCs/>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2F9545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D0048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699E1A54" w14:textId="4F5EB06E" w:rsidR="00C07164" w:rsidRDefault="00C07164">
        <w:pPr>
          <w:pStyle w:val="Zpat"/>
          <w:jc w:val="right"/>
        </w:pPr>
        <w:r>
          <w:fldChar w:fldCharType="begin"/>
        </w:r>
        <w:r>
          <w:instrText>PAGE   \* MERGEFORMAT</w:instrText>
        </w:r>
        <w:r>
          <w:fldChar w:fldCharType="separate"/>
        </w:r>
        <w:r>
          <w:rPr>
            <w:noProof/>
          </w:rPr>
          <w:t>2</w:t>
        </w:r>
        <w:r>
          <w:fldChar w:fldCharType="end"/>
        </w:r>
      </w:p>
    </w:sdtContent>
  </w:sdt>
  <w:p w14:paraId="7164F7A2" w14:textId="77777777" w:rsidR="00C07164" w:rsidRDefault="00C071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2942602"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2570E57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9266B">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240AF1D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9266B">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27E8EC11" w14:textId="77777777" w:rsidR="009E3D00" w:rsidRDefault="009E3D00" w:rsidP="009E3D00">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2DB4FEA6" w14:textId="77777777" w:rsidR="009E3D00" w:rsidRDefault="009E3D00" w:rsidP="009E3D00">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BABEE18" w14:textId="77777777" w:rsidR="009E3D00" w:rsidRPr="001F46DB" w:rsidRDefault="009E3D00" w:rsidP="009E3D00">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283F46F3" w14:textId="77777777" w:rsidR="009E3D00" w:rsidRDefault="009E3D00" w:rsidP="009E3D00">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810178E" w14:textId="77777777" w:rsidR="009E3D00" w:rsidRDefault="009E3D00">
      <w:pPr>
        <w:pStyle w:val="Textpoznpodarou"/>
      </w:pPr>
      <w:r>
        <w:rPr>
          <w:rStyle w:val="Znakapoznpodarou"/>
        </w:rPr>
        <w:footnoteRef/>
      </w:r>
      <w:r>
        <w:t xml:space="preserve"> </w:t>
      </w:r>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25286B1" w14:textId="2B4F3056" w:rsidR="0025142F" w:rsidRPr="00E903B4" w:rsidRDefault="0025142F">
      <w:pPr>
        <w:pStyle w:val="Textpoznpodarou"/>
        <w:rPr>
          <w:rFonts w:ascii="Arial" w:hAnsi="Arial" w:cs="Arial"/>
          <w:sz w:val="18"/>
          <w:szCs w:val="18"/>
        </w:rPr>
      </w:pPr>
      <w:r w:rsidRPr="00E903B4">
        <w:rPr>
          <w:rStyle w:val="Znakapoznpodarou"/>
          <w:rFonts w:ascii="Arial" w:hAnsi="Arial" w:cs="Arial"/>
          <w:sz w:val="18"/>
          <w:szCs w:val="18"/>
        </w:rPr>
        <w:footnoteRef/>
      </w:r>
      <w:r w:rsidRPr="00E903B4">
        <w:rPr>
          <w:rFonts w:ascii="Arial" w:hAnsi="Arial" w:cs="Arial"/>
          <w:sz w:val="18"/>
          <w:szCs w:val="18"/>
        </w:rPr>
        <w:t xml:space="preserve"> </w:t>
      </w:r>
      <w:proofErr w:type="spellStart"/>
      <w:r w:rsidR="000A6187" w:rsidRPr="00E903B4">
        <w:rPr>
          <w:rFonts w:ascii="Arial" w:hAnsi="Arial" w:cs="Arial"/>
          <w:sz w:val="18"/>
          <w:szCs w:val="18"/>
        </w:rPr>
        <w:t>Úř</w:t>
      </w:r>
      <w:proofErr w:type="spellEnd"/>
      <w:r w:rsidR="000A6187" w:rsidRPr="00E903B4">
        <w:rPr>
          <w:rFonts w:ascii="Arial" w:hAnsi="Arial" w:cs="Arial"/>
          <w:sz w:val="18"/>
          <w:szCs w:val="18"/>
        </w:rPr>
        <w:t xml:space="preserve">. </w:t>
      </w:r>
      <w:proofErr w:type="spellStart"/>
      <w:r w:rsidR="000A6187" w:rsidRPr="00E903B4">
        <w:rPr>
          <w:rFonts w:ascii="Arial" w:hAnsi="Arial" w:cs="Arial"/>
          <w:sz w:val="18"/>
          <w:szCs w:val="18"/>
        </w:rPr>
        <w:t>věst</w:t>
      </w:r>
      <w:proofErr w:type="spellEnd"/>
      <w:r w:rsidR="000A6187" w:rsidRPr="00E903B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96F1" w14:textId="77777777" w:rsidR="00C07164" w:rsidRDefault="00C07164" w:rsidP="008A17FD">
    <w:pPr>
      <w:pStyle w:val="Zhlav"/>
      <w:jc w:val="center"/>
    </w:pPr>
  </w:p>
  <w:p w14:paraId="505247D5" w14:textId="77777777" w:rsidR="00C07164" w:rsidRDefault="00C071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152231"/>
    <w:multiLevelType w:val="hybridMultilevel"/>
    <w:tmpl w:val="F44CC2AC"/>
    <w:lvl w:ilvl="0" w:tplc="C1C63EEA">
      <w:start w:val="1"/>
      <w:numFmt w:val="decimal"/>
      <w:lvlText w:val="%1."/>
      <w:lvlJc w:val="left"/>
      <w:pPr>
        <w:ind w:left="720" w:hanging="360"/>
      </w:pPr>
    </w:lvl>
    <w:lvl w:ilvl="1" w:tplc="0292D69E">
      <w:start w:val="1"/>
      <w:numFmt w:val="decimal"/>
      <w:lvlText w:val="%2."/>
      <w:lvlJc w:val="left"/>
      <w:pPr>
        <w:ind w:left="720" w:hanging="360"/>
      </w:pPr>
    </w:lvl>
    <w:lvl w:ilvl="2" w:tplc="28081A56">
      <w:start w:val="1"/>
      <w:numFmt w:val="decimal"/>
      <w:lvlText w:val="%3."/>
      <w:lvlJc w:val="left"/>
      <w:pPr>
        <w:ind w:left="720" w:hanging="360"/>
      </w:pPr>
    </w:lvl>
    <w:lvl w:ilvl="3" w:tplc="DEE4778E">
      <w:start w:val="1"/>
      <w:numFmt w:val="decimal"/>
      <w:lvlText w:val="%4."/>
      <w:lvlJc w:val="left"/>
      <w:pPr>
        <w:ind w:left="720" w:hanging="360"/>
      </w:pPr>
    </w:lvl>
    <w:lvl w:ilvl="4" w:tplc="11B48F4A">
      <w:start w:val="1"/>
      <w:numFmt w:val="decimal"/>
      <w:lvlText w:val="%5."/>
      <w:lvlJc w:val="left"/>
      <w:pPr>
        <w:ind w:left="720" w:hanging="360"/>
      </w:pPr>
    </w:lvl>
    <w:lvl w:ilvl="5" w:tplc="8B20B0BE">
      <w:start w:val="1"/>
      <w:numFmt w:val="decimal"/>
      <w:lvlText w:val="%6."/>
      <w:lvlJc w:val="left"/>
      <w:pPr>
        <w:ind w:left="720" w:hanging="360"/>
      </w:pPr>
    </w:lvl>
    <w:lvl w:ilvl="6" w:tplc="F8160EA8">
      <w:start w:val="1"/>
      <w:numFmt w:val="decimal"/>
      <w:lvlText w:val="%7."/>
      <w:lvlJc w:val="left"/>
      <w:pPr>
        <w:ind w:left="720" w:hanging="360"/>
      </w:pPr>
    </w:lvl>
    <w:lvl w:ilvl="7" w:tplc="7F6CE7FA">
      <w:start w:val="1"/>
      <w:numFmt w:val="decimal"/>
      <w:lvlText w:val="%8."/>
      <w:lvlJc w:val="left"/>
      <w:pPr>
        <w:ind w:left="720" w:hanging="360"/>
      </w:pPr>
    </w:lvl>
    <w:lvl w:ilvl="8" w:tplc="0DB071DC">
      <w:start w:val="1"/>
      <w:numFmt w:val="decimal"/>
      <w:lvlText w:val="%9."/>
      <w:lvlJc w:val="left"/>
      <w:pPr>
        <w:ind w:left="720" w:hanging="36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82493760">
    <w:abstractNumId w:val="20"/>
  </w:num>
  <w:num w:numId="2" w16cid:durableId="1703893963">
    <w:abstractNumId w:val="29"/>
  </w:num>
  <w:num w:numId="3" w16cid:durableId="343672287">
    <w:abstractNumId w:val="2"/>
  </w:num>
  <w:num w:numId="4" w16cid:durableId="1526168470">
    <w:abstractNumId w:val="7"/>
  </w:num>
  <w:num w:numId="5" w16cid:durableId="526258976">
    <w:abstractNumId w:val="12"/>
  </w:num>
  <w:num w:numId="6" w16cid:durableId="2076976406">
    <w:abstractNumId w:val="19"/>
  </w:num>
  <w:num w:numId="7" w16cid:durableId="496726173">
    <w:abstractNumId w:val="6"/>
  </w:num>
  <w:num w:numId="8" w16cid:durableId="1778717571">
    <w:abstractNumId w:val="25"/>
  </w:num>
  <w:num w:numId="9" w16cid:durableId="1500533989">
    <w:abstractNumId w:val="32"/>
  </w:num>
  <w:num w:numId="10" w16cid:durableId="637147379">
    <w:abstractNumId w:val="28"/>
  </w:num>
  <w:num w:numId="11" w16cid:durableId="1637027152">
    <w:abstractNumId w:val="8"/>
  </w:num>
  <w:num w:numId="12" w16cid:durableId="1353266967">
    <w:abstractNumId w:val="10"/>
  </w:num>
  <w:num w:numId="13" w16cid:durableId="102848023">
    <w:abstractNumId w:val="34"/>
  </w:num>
  <w:num w:numId="14" w16cid:durableId="1060788772">
    <w:abstractNumId w:val="30"/>
  </w:num>
  <w:num w:numId="15" w16cid:durableId="1762722131">
    <w:abstractNumId w:val="13"/>
  </w:num>
  <w:num w:numId="16" w16cid:durableId="1465613019">
    <w:abstractNumId w:val="21"/>
  </w:num>
  <w:num w:numId="17" w16cid:durableId="907616138">
    <w:abstractNumId w:val="4"/>
  </w:num>
  <w:num w:numId="18" w16cid:durableId="625548058">
    <w:abstractNumId w:val="15"/>
  </w:num>
  <w:num w:numId="19" w16cid:durableId="2030254655">
    <w:abstractNumId w:val="5"/>
  </w:num>
  <w:num w:numId="20" w16cid:durableId="1278759856">
    <w:abstractNumId w:val="16"/>
  </w:num>
  <w:num w:numId="21" w16cid:durableId="1359311535">
    <w:abstractNumId w:val="18"/>
  </w:num>
  <w:num w:numId="22" w16cid:durableId="1190146055">
    <w:abstractNumId w:val="14"/>
  </w:num>
  <w:num w:numId="23" w16cid:durableId="677777266">
    <w:abstractNumId w:val="24"/>
  </w:num>
  <w:num w:numId="24" w16cid:durableId="616259740">
    <w:abstractNumId w:val="3"/>
  </w:num>
  <w:num w:numId="25" w16cid:durableId="511647100">
    <w:abstractNumId w:val="1"/>
  </w:num>
  <w:num w:numId="26" w16cid:durableId="1030299010">
    <w:abstractNumId w:val="27"/>
  </w:num>
  <w:num w:numId="27" w16cid:durableId="1646666730">
    <w:abstractNumId w:val="22"/>
  </w:num>
  <w:num w:numId="28" w16cid:durableId="237912124">
    <w:abstractNumId w:val="9"/>
  </w:num>
  <w:num w:numId="29" w16cid:durableId="1845433919">
    <w:abstractNumId w:val="26"/>
  </w:num>
  <w:num w:numId="30" w16cid:durableId="1707214820">
    <w:abstractNumId w:val="33"/>
  </w:num>
  <w:num w:numId="31" w16cid:durableId="1605263583">
    <w:abstractNumId w:val="23"/>
  </w:num>
  <w:num w:numId="32" w16cid:durableId="2097171306">
    <w:abstractNumId w:val="0"/>
  </w:num>
  <w:num w:numId="33" w16cid:durableId="1078794892">
    <w:abstractNumId w:val="11"/>
  </w:num>
  <w:num w:numId="34" w16cid:durableId="143131600">
    <w:abstractNumId w:val="31"/>
  </w:num>
  <w:num w:numId="35" w16cid:durableId="141304358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C4E"/>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18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08EC"/>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42F"/>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AAA"/>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04D"/>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A8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E60"/>
    <w:rsid w:val="004C225D"/>
    <w:rsid w:val="004C2CF4"/>
    <w:rsid w:val="004C2D21"/>
    <w:rsid w:val="004C315F"/>
    <w:rsid w:val="004C3230"/>
    <w:rsid w:val="004C3253"/>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680"/>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A2A"/>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3D00"/>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0FC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90F"/>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16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1C0"/>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4AEB"/>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881"/>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8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A59"/>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28D0"/>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46F8"/>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3B4"/>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66B"/>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B947D2DD-1C91-4F04-A12A-0B08A3F30D81}">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D57A8217-03D9-452B-B4B3-781A0B1701D6}">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252C694B-E4AE-4D23-95B6-533DE05A2FBB}">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CC5BCFCD-91CD-4F6E-AEAD-37F114B9CA39}">
  <ds:schemaRefs>
    <ds:schemaRef ds:uri="http://schemas.openxmlformats.org/officeDocument/2006/bibliography"/>
  </ds:schemaRefs>
</ds:datastoreItem>
</file>

<file path=customXml/itemProps26.xml><?xml version="1.0" encoding="utf-8"?>
<ds:datastoreItem xmlns:ds="http://schemas.openxmlformats.org/officeDocument/2006/customXml" ds:itemID="{00F4831B-C89C-4F5E-8A04-F6A9ABDCD64C}">
  <ds:schemaRefs>
    <ds:schemaRef ds:uri="http://schemas.openxmlformats.org/officeDocument/2006/bibliography"/>
  </ds:schemaRefs>
</ds:datastoreItem>
</file>

<file path=customXml/itemProps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81D51244-D81E-4224-95AA-0FA39D8D489A}">
  <ds:schemaRefs>
    <ds:schemaRef ds:uri="http://schemas.openxmlformats.org/officeDocument/2006/bibliography"/>
  </ds:schemaRefs>
</ds:datastoreItem>
</file>

<file path=customXml/itemProps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18</Pages>
  <Words>4322</Words>
  <Characters>25129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31</cp:revision>
  <cp:lastPrinted>2022-07-27T10:25:00Z</cp:lastPrinted>
  <dcterms:created xsi:type="dcterms:W3CDTF">2022-08-23T11:25:00Z</dcterms:created>
  <dcterms:modified xsi:type="dcterms:W3CDTF">2025-02-19T07:57:00Z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