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57B828F"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r w:rsidR="000F6082" w:rsidRPr="00284A98">
        <w:rPr>
          <w:rFonts w:ascii="Arial" w:hAnsi="Arial" w:cs="Arial"/>
          <w:b/>
          <w:bCs/>
          <w:caps/>
          <w:color w:val="214F87"/>
          <w:sz w:val="44"/>
          <w:szCs w:val="44"/>
        </w:rPr>
        <w:t>3</w:t>
      </w:r>
      <w:r w:rsidR="00D42A0A">
        <w:rPr>
          <w:rFonts w:ascii="Arial" w:hAnsi="Arial" w:cs="Arial"/>
          <w:b/>
          <w:bCs/>
          <w:caps/>
          <w:color w:val="214F87"/>
          <w:sz w:val="44"/>
          <w:szCs w:val="44"/>
        </w:rPr>
        <w:t>G</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058AB4A7" w:rsidR="00284A98" w:rsidRPr="00B71973" w:rsidRDefault="004B2D7C" w:rsidP="00284A98">
      <w:pPr>
        <w:pStyle w:val="Zkladnodstavec"/>
        <w:jc w:val="center"/>
        <w:rPr>
          <w:rFonts w:ascii="Arial" w:hAnsi="Arial" w:cs="Arial"/>
          <w:caps/>
          <w:color w:val="auto"/>
          <w:sz w:val="36"/>
          <w:szCs w:val="36"/>
        </w:rPr>
      </w:pPr>
      <w:r w:rsidRPr="00B71973">
        <w:rPr>
          <w:rFonts w:ascii="Arial" w:hAnsi="Arial" w:cs="Arial"/>
          <w:caps/>
          <w:color w:val="auto"/>
          <w:sz w:val="36"/>
          <w:szCs w:val="36"/>
        </w:rPr>
        <w:t>30</w:t>
      </w:r>
      <w:r w:rsidR="00284A98" w:rsidRPr="00B71973">
        <w:rPr>
          <w:rFonts w:ascii="Arial" w:hAnsi="Arial" w:cs="Arial"/>
          <w:caps/>
          <w:color w:val="auto"/>
          <w:sz w:val="36"/>
          <w:szCs w:val="36"/>
        </w:rPr>
        <w:t xml:space="preserve">. výzva irop </w:t>
      </w:r>
      <w:r w:rsidR="00284A98" w:rsidRPr="00B71973">
        <w:rPr>
          <w:rFonts w:ascii="Arial" w:hAnsi="Arial" w:cs="Arial"/>
          <w:color w:val="auto"/>
          <w:sz w:val="36"/>
          <w:szCs w:val="36"/>
        </w:rPr>
        <w:t>–</w:t>
      </w:r>
      <w:r w:rsidR="00284A98" w:rsidRPr="00B71973">
        <w:rPr>
          <w:rFonts w:ascii="Arial" w:hAnsi="Arial" w:cs="Arial"/>
          <w:caps/>
          <w:color w:val="auto"/>
          <w:sz w:val="36"/>
          <w:szCs w:val="36"/>
        </w:rPr>
        <w:t xml:space="preserve"> Sociální služby </w:t>
      </w:r>
      <w:r w:rsidR="00284A98" w:rsidRPr="00B71973">
        <w:rPr>
          <w:rFonts w:ascii="Arial" w:hAnsi="Arial" w:cs="Arial"/>
          <w:color w:val="auto"/>
          <w:sz w:val="36"/>
          <w:szCs w:val="36"/>
        </w:rPr>
        <w:t>–</w:t>
      </w:r>
      <w:r w:rsidR="00284A98" w:rsidRPr="00B71973">
        <w:rPr>
          <w:rFonts w:ascii="Arial" w:hAnsi="Arial" w:cs="Arial"/>
          <w:caps/>
          <w:color w:val="auto"/>
          <w:sz w:val="36"/>
          <w:szCs w:val="36"/>
        </w:rPr>
        <w:t xml:space="preserve"> SC 4.2 (</w:t>
      </w:r>
      <w:r w:rsidRPr="00B71973">
        <w:rPr>
          <w:rFonts w:ascii="Arial" w:hAnsi="Arial" w:cs="Arial"/>
          <w:caps/>
          <w:color w:val="auto"/>
          <w:sz w:val="36"/>
          <w:szCs w:val="36"/>
        </w:rPr>
        <w:t>ITI</w:t>
      </w:r>
      <w:r w:rsidR="00284A98" w:rsidRPr="00B71973">
        <w:rPr>
          <w:rFonts w:ascii="Arial" w:hAnsi="Arial" w:cs="Arial"/>
          <w:caps/>
          <w:color w:val="auto"/>
          <w:sz w:val="36"/>
          <w:szCs w:val="36"/>
        </w:rPr>
        <w:t>)</w:t>
      </w:r>
    </w:p>
    <w:p w14:paraId="05A1B5A0" w14:textId="77777777" w:rsidR="000F6082" w:rsidRPr="00B71973" w:rsidRDefault="000F6082" w:rsidP="000078E3">
      <w:pPr>
        <w:spacing w:after="200"/>
        <w:jc w:val="center"/>
        <w:rPr>
          <w:rFonts w:ascii="Arial" w:hAnsi="Arial" w:cs="Arial"/>
          <w:caps/>
          <w:color w:val="7F7F7F" w:themeColor="text1" w:themeTint="80"/>
        </w:rPr>
      </w:pPr>
    </w:p>
    <w:p w14:paraId="27C16E27" w14:textId="4D65A0DC"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B71973">
        <w:rPr>
          <w:rFonts w:ascii="Arial" w:hAnsi="Arial" w:cs="Arial"/>
          <w:caps/>
          <w:color w:val="7F7F7F" w:themeColor="text1" w:themeTint="80"/>
        </w:rPr>
        <w:t>VERZE</w:t>
      </w:r>
      <w:r w:rsidRPr="00B71973">
        <w:rPr>
          <w:rFonts w:ascii="Arial" w:hAnsi="Arial" w:cs="Arial"/>
          <w:caps/>
          <w:color w:val="7F7F7F" w:themeColor="text1" w:themeTint="80"/>
          <w:sz w:val="32"/>
          <w:szCs w:val="32"/>
        </w:rPr>
        <w:t xml:space="preserve"> </w:t>
      </w:r>
      <w:r w:rsidR="00E93D65" w:rsidRPr="00B71973">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5A8E709">
        <w:trPr>
          <w:jc w:val="center"/>
        </w:trPr>
        <w:tc>
          <w:tcPr>
            <w:tcW w:w="2972" w:type="dxa"/>
          </w:tcPr>
          <w:p w14:paraId="58F8ACB9" w14:textId="10F5299E" w:rsidR="0068431B" w:rsidRPr="0068431B" w:rsidRDefault="560D1FE6" w:rsidP="05A8E709">
            <w:pPr>
              <w:spacing w:before="60" w:after="60" w:line="259" w:lineRule="auto"/>
              <w:rPr>
                <w:rFonts w:ascii="Arial" w:hAnsi="Arial" w:cs="Arial"/>
                <w:color w:val="000000" w:themeColor="text1"/>
                <w:sz w:val="20"/>
                <w:szCs w:val="20"/>
              </w:rPr>
            </w:pPr>
            <w:r w:rsidRPr="05A8E709">
              <w:rPr>
                <w:rFonts w:ascii="Arial" w:hAnsi="Arial" w:cs="Arial"/>
                <w:color w:val="000000" w:themeColor="text1"/>
                <w:sz w:val="20"/>
                <w:szCs w:val="20"/>
              </w:rPr>
              <w:t>Příjemce:</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5A8E709">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5A8E709">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364F979">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364F979">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2364F979">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364F979">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364F979">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364F979">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364F979">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364F979">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84A598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5A8E709">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364F979">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364F979">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364F979">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364F979">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364F979">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364F979">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364F979">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364F979">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364F97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2364F979">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77777777"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4F681A86"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w:t>
            </w:r>
            <w:r w:rsidRPr="05A8E709" w:rsidDel="00975D6B">
              <w:rPr>
                <w:rFonts w:ascii="Arial" w:hAnsi="Arial" w:cs="Arial"/>
                <w:sz w:val="22"/>
                <w:szCs w:val="22"/>
                <w:lang w:eastAsia="zh-CN" w:bidi="ar"/>
              </w:rPr>
              <w:t>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364F979">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364F979">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364F979">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364F979">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t>Udržení indikátorů</w:t>
            </w:r>
          </w:p>
        </w:tc>
      </w:tr>
      <w:tr w:rsidR="009132E6" w:rsidRPr="00BF657C" w14:paraId="4B0E91EF" w14:textId="77777777" w:rsidTr="2364F979">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77777777"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575FB3A8"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Pr="05A8E709" w:rsidDel="001C025D">
              <w:rPr>
                <w:rFonts w:ascii="Arial" w:hAnsi="Arial" w:cs="Arial"/>
                <w:sz w:val="22"/>
                <w:szCs w:val="22"/>
                <w:lang w:eastAsia="zh-CN" w:bidi="ar"/>
              </w:rPr>
              <w: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364F979">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364F979">
        <w:trPr>
          <w:trHeight w:val="720"/>
        </w:trPr>
        <w:tc>
          <w:tcPr>
            <w:tcW w:w="4533" w:type="dxa"/>
          </w:tcPr>
          <w:p w14:paraId="6A2503EA" w14:textId="31B097AD"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3A13F78D" w:rsidRPr="00E21F6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364F979">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364F979">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364F979">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364F979">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364F979">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364F979">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639A20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715E65E9" w:rsidRPr="00E21F60">
              <w:rPr>
                <w:rFonts w:ascii="Arial" w:hAnsi="Arial" w:cs="Arial"/>
                <w:snapToGrid w:val="0"/>
                <w:sz w:val="22"/>
                <w:szCs w:val="22"/>
              </w:rPr>
              <w:t xml:space="preserve">MF -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364F979">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364F979">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364F979">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364F979">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364F979">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364F979">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364F979">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364F979">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364F979">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2364F979">
        <w:trPr>
          <w:trHeight w:val="410"/>
        </w:trPr>
        <w:tc>
          <w:tcPr>
            <w:tcW w:w="9067" w:type="dxa"/>
            <w:gridSpan w:val="2"/>
            <w:shd w:val="clear" w:color="auto" w:fill="D9D9D9" w:themeFill="background1" w:themeFillShade="D9"/>
          </w:tcPr>
          <w:p w14:paraId="12CE7C50" w14:textId="1FFE1E82" w:rsidR="00C76CB5" w:rsidRPr="00C76CB5" w:rsidRDefault="00C76CB5" w:rsidP="00C76CB5">
            <w:pPr>
              <w:pStyle w:val="Odstavecseseznamem"/>
              <w:numPr>
                <w:ilvl w:val="0"/>
                <w:numId w:val="25"/>
              </w:numPr>
              <w:spacing w:before="120" w:after="120" w:line="271" w:lineRule="auto"/>
              <w:jc w:val="both"/>
              <w:rPr>
                <w:rFonts w:ascii="Arial" w:hAnsi="Arial" w:cs="Arial"/>
                <w:sz w:val="22"/>
                <w:szCs w:val="22"/>
              </w:rPr>
            </w:pPr>
            <w:r w:rsidRPr="00C76CB5">
              <w:rPr>
                <w:rFonts w:ascii="Arial" w:hAnsi="Arial" w:cs="Arial"/>
                <w:b/>
                <w:bCs/>
                <w:snapToGrid w:val="0"/>
                <w:sz w:val="22"/>
                <w:szCs w:val="22"/>
              </w:rPr>
              <w:t>Služby obecného hospodářského zájmu</w:t>
            </w:r>
            <w:r>
              <w:rPr>
                <w:rFonts w:ascii="Arial" w:hAnsi="Arial" w:cs="Arial"/>
                <w:sz w:val="22"/>
                <w:szCs w:val="22"/>
              </w:rPr>
              <w:t xml:space="preserve"> </w:t>
            </w:r>
          </w:p>
        </w:tc>
      </w:tr>
      <w:tr w:rsidR="00C76CB5" w:rsidRPr="00E21F60" w14:paraId="58F41F01" w14:textId="77777777" w:rsidTr="2364F979">
        <w:trPr>
          <w:trHeight w:val="410"/>
        </w:trPr>
        <w:tc>
          <w:tcPr>
            <w:tcW w:w="4533" w:type="dxa"/>
          </w:tcPr>
          <w:p w14:paraId="08668D69" w14:textId="7A87B245" w:rsidR="00C91227" w:rsidRPr="00C91227" w:rsidRDefault="00C91227" w:rsidP="00C91227">
            <w:pPr>
              <w:spacing w:before="120" w:after="120" w:line="271" w:lineRule="auto"/>
              <w:jc w:val="both"/>
              <w:rPr>
                <w:rFonts w:ascii="Arial" w:hAnsi="Arial" w:cs="Arial"/>
                <w:snapToGrid w:val="0"/>
                <w:sz w:val="22"/>
                <w:szCs w:val="22"/>
              </w:rPr>
            </w:pPr>
            <w:r w:rsidRPr="00C91227">
              <w:rPr>
                <w:rFonts w:ascii="Arial" w:hAnsi="Arial" w:cs="Arial"/>
                <w:snapToGrid w:val="0"/>
                <w:sz w:val="22"/>
                <w:szCs w:val="22"/>
              </w:rPr>
              <w:lastRenderedPageBreak/>
              <w:t xml:space="preserve">Poskytovatel služby obecného hospodářského zájmu (dále jen „SOHZ“) musí být pověřen k výkonu SOHZ v souladu s </w:t>
            </w:r>
            <w:r w:rsidR="00B40232">
              <w:rPr>
                <w:rFonts w:ascii="Arial" w:hAnsi="Arial" w:cs="Arial"/>
                <w:snapToGrid w:val="0"/>
                <w:sz w:val="22"/>
                <w:szCs w:val="22"/>
              </w:rPr>
              <w:t>r</w:t>
            </w:r>
            <w:r w:rsidRPr="00C91227">
              <w:rPr>
                <w:rFonts w:ascii="Arial" w:hAnsi="Arial" w:cs="Arial"/>
                <w:snapToGrid w:val="0"/>
                <w:sz w:val="22"/>
                <w:szCs w:val="22"/>
              </w:rPr>
              <w:t xml:space="preserve">ozhodnutím </w:t>
            </w:r>
            <w:r w:rsidR="00B40232">
              <w:rPr>
                <w:rFonts w:ascii="Arial" w:hAnsi="Arial" w:cs="Arial"/>
                <w:snapToGrid w:val="0"/>
                <w:sz w:val="22"/>
                <w:szCs w:val="22"/>
              </w:rPr>
              <w:t xml:space="preserve">Komise </w:t>
            </w:r>
            <w:r w:rsidRPr="00C91227">
              <w:rPr>
                <w:rFonts w:ascii="Arial" w:hAnsi="Arial" w:cs="Arial"/>
                <w:snapToGrid w:val="0"/>
                <w:sz w:val="22"/>
                <w:szCs w:val="22"/>
              </w:rPr>
              <w:t>2012/21/EU po celou dobu životnosti investice.</w:t>
            </w:r>
          </w:p>
          <w:p w14:paraId="331852BE" w14:textId="7E4AD006" w:rsidR="00C76CB5" w:rsidRPr="00E21F60" w:rsidRDefault="00C91227" w:rsidP="00C76CB5">
            <w:pPr>
              <w:spacing w:before="120" w:after="120" w:line="271" w:lineRule="auto"/>
              <w:jc w:val="both"/>
              <w:rPr>
                <w:rFonts w:ascii="Arial" w:hAnsi="Arial" w:cs="Arial"/>
                <w:snapToGrid w:val="0"/>
                <w:sz w:val="22"/>
                <w:szCs w:val="22"/>
              </w:rPr>
            </w:pPr>
            <w:r w:rsidRPr="00C91227">
              <w:rPr>
                <w:rFonts w:ascii="Arial" w:hAnsi="Arial" w:cs="Arial"/>
                <w:snapToGrid w:val="0"/>
                <w:sz w:val="22"/>
                <w:szCs w:val="22"/>
              </w:rPr>
              <w:t>Pokud bude poskytovatel služby pověřen více pověřovacími akty, je povinen zajistit jejich kontinuální návaznost.</w:t>
            </w:r>
          </w:p>
        </w:tc>
        <w:tc>
          <w:tcPr>
            <w:tcW w:w="4534" w:type="dxa"/>
          </w:tcPr>
          <w:p w14:paraId="472B088F" w14:textId="079E5CDC" w:rsidR="00C76CB5" w:rsidRPr="00E21F60" w:rsidRDefault="00C91227" w:rsidP="0042247B">
            <w:pPr>
              <w:spacing w:before="120" w:after="120" w:line="271" w:lineRule="auto"/>
              <w:jc w:val="both"/>
              <w:rPr>
                <w:rFonts w:ascii="Arial" w:hAnsi="Arial" w:cs="Arial"/>
                <w:sz w:val="22"/>
                <w:szCs w:val="22"/>
              </w:rPr>
            </w:pPr>
            <w:r w:rsidRPr="00C91227">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4D9D0BBE" w14:textId="5D71FB07" w:rsidR="00C91227" w:rsidRPr="00B40232" w:rsidRDefault="00C91227" w:rsidP="00B71973">
      <w:pPr>
        <w:keepNext/>
        <w:keepLines/>
        <w:numPr>
          <w:ilvl w:val="0"/>
          <w:numId w:val="35"/>
        </w:numPr>
        <w:spacing w:before="120" w:after="120" w:line="271" w:lineRule="auto"/>
        <w:jc w:val="both"/>
        <w:rPr>
          <w:rFonts w:ascii="Arial" w:hAnsi="Arial" w:cs="Arial"/>
          <w:snapToGrid w:val="0"/>
          <w:sz w:val="22"/>
          <w:szCs w:val="22"/>
        </w:rPr>
      </w:pPr>
      <w:r w:rsidRPr="00B40232">
        <w:rPr>
          <w:rFonts w:ascii="Arial" w:hAnsi="Arial" w:cs="Arial"/>
          <w:snapToGrid w:val="0"/>
          <w:sz w:val="22"/>
          <w:szCs w:val="22"/>
        </w:rPr>
        <w:t xml:space="preserve">Výdaje na financování projektu převedené příjemci na realizaci projektu jsou uděleny v souladu s </w:t>
      </w:r>
      <w:r w:rsidR="00B40232" w:rsidRPr="00B40232">
        <w:rPr>
          <w:rFonts w:ascii="Arial" w:hAnsi="Arial" w:cs="Arial"/>
          <w:snapToGrid w:val="0"/>
          <w:sz w:val="22"/>
          <w:szCs w:val="22"/>
        </w:rPr>
        <w:t>r</w:t>
      </w:r>
      <w:r w:rsidRPr="00B40232">
        <w:rPr>
          <w:rFonts w:ascii="Arial" w:hAnsi="Arial" w:cs="Arial"/>
          <w:snapToGrid w:val="0"/>
          <w:sz w:val="22"/>
          <w:szCs w:val="22"/>
        </w:rPr>
        <w:t>ozhodnutím Komise 2012/21/EU ze dne 20. prosince 2011 o použití čl. 106 odst. 2 SFEU na státní podporu ve formě vyrovnávací platby za závazek veřejné služby udělené určitým podnikům pověřeným poskytováním služeb obecného hospodářského zájmu („</w:t>
      </w:r>
      <w:r w:rsidR="00B40232" w:rsidRPr="00B40232">
        <w:rPr>
          <w:rFonts w:ascii="Arial" w:hAnsi="Arial" w:cs="Arial"/>
          <w:snapToGrid w:val="0"/>
          <w:sz w:val="22"/>
          <w:szCs w:val="22"/>
        </w:rPr>
        <w:t>r</w:t>
      </w:r>
      <w:r w:rsidRPr="00B40232">
        <w:rPr>
          <w:rFonts w:ascii="Arial" w:hAnsi="Arial" w:cs="Arial"/>
          <w:snapToGrid w:val="0"/>
          <w:sz w:val="22"/>
          <w:szCs w:val="22"/>
        </w:rPr>
        <w:t>ozhodnutí 2012/21/EU“).</w:t>
      </w:r>
    </w:p>
    <w:p w14:paraId="1CD850BE" w14:textId="78B815D4" w:rsidR="00C91227" w:rsidRPr="00B71973" w:rsidRDefault="00C91227" w:rsidP="00B71973">
      <w:pPr>
        <w:keepNext/>
        <w:keepLines/>
        <w:numPr>
          <w:ilvl w:val="0"/>
          <w:numId w:val="35"/>
        </w:numPr>
        <w:spacing w:before="120" w:after="120" w:line="271" w:lineRule="auto"/>
        <w:jc w:val="both"/>
        <w:rPr>
          <w:rFonts w:ascii="Arial" w:hAnsi="Arial" w:cs="Arial"/>
          <w:snapToGrid w:val="0"/>
          <w:sz w:val="22"/>
          <w:szCs w:val="22"/>
        </w:rPr>
      </w:pPr>
      <w:r w:rsidRPr="00B71973">
        <w:rPr>
          <w:rFonts w:ascii="Arial" w:hAnsi="Arial" w:cs="Arial"/>
          <w:snapToGrid w:val="0"/>
          <w:sz w:val="22"/>
          <w:szCs w:val="22"/>
        </w:rPr>
        <w:t xml:space="preserve">Příjemce musí být zároveň poskytovatelem </w:t>
      </w:r>
      <w:r w:rsidR="00B40232" w:rsidRPr="00B71973">
        <w:rPr>
          <w:rFonts w:ascii="Arial" w:hAnsi="Arial" w:cs="Arial"/>
          <w:snapToGrid w:val="0"/>
          <w:sz w:val="22"/>
          <w:szCs w:val="22"/>
        </w:rPr>
        <w:t>služby obecného hospodářského zájmu („</w:t>
      </w:r>
      <w:r w:rsidRPr="00B71973">
        <w:rPr>
          <w:rFonts w:ascii="Arial" w:hAnsi="Arial" w:cs="Arial"/>
          <w:snapToGrid w:val="0"/>
          <w:sz w:val="22"/>
          <w:szCs w:val="22"/>
        </w:rPr>
        <w:t>SOHZ</w:t>
      </w:r>
      <w:r w:rsidR="00B40232" w:rsidRPr="00B71973">
        <w:rPr>
          <w:rFonts w:ascii="Arial" w:hAnsi="Arial" w:cs="Arial"/>
          <w:snapToGrid w:val="0"/>
          <w:sz w:val="22"/>
          <w:szCs w:val="22"/>
        </w:rPr>
        <w:t>“)</w:t>
      </w:r>
      <w:r w:rsidRPr="00B71973">
        <w:rPr>
          <w:rFonts w:ascii="Arial" w:hAnsi="Arial" w:cs="Arial"/>
          <w:snapToGrid w:val="0"/>
          <w:sz w:val="22"/>
          <w:szCs w:val="22"/>
        </w:rPr>
        <w:t xml:space="preserve">. Příjemce jako poskytovatel SOHZ musí být pověřen k výkonu SOHZ v souladu s </w:t>
      </w:r>
      <w:r w:rsidR="00B40232" w:rsidRPr="00B71973">
        <w:rPr>
          <w:rFonts w:ascii="Arial" w:hAnsi="Arial" w:cs="Arial"/>
          <w:snapToGrid w:val="0"/>
          <w:sz w:val="22"/>
          <w:szCs w:val="22"/>
        </w:rPr>
        <w:t>r</w:t>
      </w:r>
      <w:r w:rsidRPr="00B71973">
        <w:rPr>
          <w:rFonts w:ascii="Arial" w:hAnsi="Arial" w:cs="Arial"/>
          <w:snapToGrid w:val="0"/>
          <w:sz w:val="22"/>
          <w:szCs w:val="22"/>
        </w:rPr>
        <w:t xml:space="preserve">ozhodnutím </w:t>
      </w:r>
      <w:r w:rsidR="00B40232" w:rsidRPr="00B71973">
        <w:rPr>
          <w:rFonts w:ascii="Arial" w:hAnsi="Arial" w:cs="Arial"/>
          <w:snapToGrid w:val="0"/>
          <w:sz w:val="22"/>
          <w:szCs w:val="22"/>
        </w:rPr>
        <w:t xml:space="preserve">Komise </w:t>
      </w:r>
      <w:r w:rsidRPr="00B71973">
        <w:rPr>
          <w:rFonts w:ascii="Arial" w:hAnsi="Arial" w:cs="Arial"/>
          <w:snapToGrid w:val="0"/>
          <w:sz w:val="22"/>
          <w:szCs w:val="22"/>
        </w:rPr>
        <w:t xml:space="preserve">2012/21/EU po celou dobu životnosti investice. </w:t>
      </w:r>
    </w:p>
    <w:p w14:paraId="0A97FD38" w14:textId="2AC90E96" w:rsidR="00754884" w:rsidRPr="00B71973" w:rsidRDefault="00B40232" w:rsidP="00B71973">
      <w:pPr>
        <w:pStyle w:val="Zkladntext"/>
        <w:numPr>
          <w:ilvl w:val="0"/>
          <w:numId w:val="35"/>
        </w:numPr>
        <w:spacing w:before="120" w:line="271" w:lineRule="auto"/>
        <w:jc w:val="both"/>
        <w:rPr>
          <w:rFonts w:ascii="Arial" w:hAnsi="Arial" w:cs="Arial"/>
          <w:b w:val="0"/>
          <w:bCs w:val="0"/>
          <w:snapToGrid w:val="0"/>
          <w:sz w:val="22"/>
          <w:szCs w:val="22"/>
        </w:rPr>
      </w:pPr>
      <w:bookmarkStart w:id="10" w:name="_Hlk188358236"/>
      <w:r w:rsidRPr="00B71973">
        <w:rPr>
          <w:rFonts w:ascii="Arial" w:hAnsi="Arial" w:cs="Arial"/>
          <w:b w:val="0"/>
          <w:bCs w:val="0"/>
          <w:i w:val="0"/>
          <w:sz w:val="22"/>
          <w:szCs w:val="22"/>
        </w:rPr>
        <w:t>K </w:t>
      </w:r>
      <w:r w:rsidR="0074224A" w:rsidRPr="00B71973">
        <w:rPr>
          <w:rFonts w:ascii="Arial" w:hAnsi="Arial" w:cs="Arial"/>
          <w:b w:val="0"/>
          <w:bCs w:val="0"/>
          <w:i w:val="0"/>
          <w:sz w:val="22"/>
          <w:szCs w:val="22"/>
        </w:rPr>
        <w:t>datu vydání Stanovení výdajů musí být příjemce, poskytovatel SOHZ, pověřen k výkonu SOHZ částečným Pověřovacím aktem. Stanovení výdajů je zároveň přistoupením Řídicího orgánu IROP jako poskytovatele podpory k tomuto Pověřovacímu aktu vydanému pověřovatelem k výkonu SOHZ a doplňuje Pověřovací akt uvedením výše výdajů na</w:t>
      </w:r>
      <w:r w:rsidR="00B71973">
        <w:rPr>
          <w:rFonts w:ascii="Arial" w:hAnsi="Arial" w:cs="Arial"/>
          <w:b w:val="0"/>
          <w:bCs w:val="0"/>
          <w:i w:val="0"/>
          <w:sz w:val="22"/>
          <w:szCs w:val="22"/>
        </w:rPr>
        <w:t> </w:t>
      </w:r>
      <w:r w:rsidR="0074224A" w:rsidRPr="00B71973">
        <w:rPr>
          <w:rFonts w:ascii="Arial" w:hAnsi="Arial" w:cs="Arial"/>
          <w:b w:val="0"/>
          <w:bCs w:val="0"/>
          <w:i w:val="0"/>
          <w:sz w:val="22"/>
          <w:szCs w:val="22"/>
        </w:rPr>
        <w:t>financování projektu jako vyrovnávací platby podle rozhodnutí Komise 2012/21/EU</w:t>
      </w:r>
      <w:r w:rsidR="00B71973" w:rsidRPr="00B71973">
        <w:rPr>
          <w:rFonts w:ascii="Arial" w:hAnsi="Arial" w:cs="Arial"/>
          <w:b w:val="0"/>
          <w:bCs w:val="0"/>
          <w:i w:val="0"/>
          <w:sz w:val="22"/>
          <w:szCs w:val="22"/>
        </w:rPr>
        <w:t>.</w:t>
      </w:r>
      <w:r w:rsidR="0074224A" w:rsidRPr="00B71973">
        <w:rPr>
          <w:rFonts w:ascii="Arial" w:hAnsi="Arial" w:cs="Arial"/>
          <w:b w:val="0"/>
          <w:bCs w:val="0"/>
          <w:i w:val="0"/>
          <w:sz w:val="22"/>
          <w:szCs w:val="22"/>
        </w:rPr>
        <w:t xml:space="preserve"> </w:t>
      </w:r>
      <w:r w:rsidRPr="00B71973">
        <w:rPr>
          <w:rFonts w:ascii="Arial" w:hAnsi="Arial" w:cs="Arial"/>
          <w:b w:val="0"/>
          <w:bCs w:val="0"/>
          <w:i w:val="0"/>
          <w:sz w:val="22"/>
          <w:szCs w:val="22"/>
        </w:rPr>
        <w:t xml:space="preserve"> </w:t>
      </w:r>
      <w:bookmarkEnd w:id="10"/>
    </w:p>
    <w:p w14:paraId="319E3EE6" w14:textId="2B80FCEB" w:rsidR="00C91227" w:rsidRPr="00C91227" w:rsidRDefault="00C91227" w:rsidP="00B71973">
      <w:pPr>
        <w:keepNext/>
        <w:keepLines/>
        <w:numPr>
          <w:ilvl w:val="0"/>
          <w:numId w:val="35"/>
        </w:numPr>
        <w:spacing w:before="120" w:after="120" w:line="271" w:lineRule="auto"/>
        <w:ind w:left="357" w:hanging="357"/>
        <w:jc w:val="both"/>
        <w:rPr>
          <w:rFonts w:ascii="Arial" w:hAnsi="Arial" w:cs="Arial"/>
          <w:snapToGrid w:val="0"/>
          <w:sz w:val="22"/>
          <w:szCs w:val="22"/>
        </w:rPr>
      </w:pPr>
      <w:r w:rsidRPr="00B71973">
        <w:rPr>
          <w:rFonts w:ascii="Arial" w:hAnsi="Arial" w:cs="Arial"/>
          <w:snapToGrid w:val="0"/>
          <w:sz w:val="22"/>
          <w:szCs w:val="22"/>
        </w:rPr>
        <w:t>Příjemce se zavazuje vrátit poskytovateli bez zbytečného odkladu převedené výdaje</w:t>
      </w:r>
      <w:r w:rsidRPr="00C91227">
        <w:rPr>
          <w:rFonts w:ascii="Arial" w:hAnsi="Arial" w:cs="Arial"/>
          <w:snapToGrid w:val="0"/>
          <w:sz w:val="22"/>
          <w:szCs w:val="22"/>
        </w:rPr>
        <w:t xml:space="preserve"> na</w:t>
      </w:r>
      <w:r>
        <w:rPr>
          <w:rFonts w:ascii="Arial" w:hAnsi="Arial" w:cs="Arial"/>
          <w:snapToGrid w:val="0"/>
          <w:sz w:val="22"/>
          <w:szCs w:val="22"/>
        </w:rPr>
        <w:t> </w:t>
      </w:r>
      <w:r w:rsidRPr="00C91227">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w:t>
      </w:r>
      <w:r>
        <w:rPr>
          <w:rFonts w:ascii="Arial" w:hAnsi="Arial" w:cs="Arial"/>
          <w:snapToGrid w:val="0"/>
          <w:sz w:val="22"/>
          <w:szCs w:val="22"/>
        </w:rPr>
        <w:t> </w:t>
      </w:r>
      <w:r w:rsidRPr="00C91227">
        <w:rPr>
          <w:rFonts w:ascii="Arial" w:hAnsi="Arial" w:cs="Arial"/>
          <w:snapToGrid w:val="0"/>
          <w:sz w:val="22"/>
          <w:szCs w:val="22"/>
        </w:rPr>
        <w:t xml:space="preserve">financování projektu příjemci vyplacena.  </w:t>
      </w:r>
    </w:p>
    <w:p w14:paraId="292888CC" w14:textId="61F81855" w:rsidR="009132E6" w:rsidRPr="00B24D6D" w:rsidRDefault="00C91227" w:rsidP="00B71973">
      <w:pPr>
        <w:pStyle w:val="Prosttext"/>
        <w:numPr>
          <w:ilvl w:val="0"/>
          <w:numId w:val="35"/>
        </w:numPr>
        <w:spacing w:before="120" w:after="120" w:line="271" w:lineRule="auto"/>
        <w:jc w:val="both"/>
        <w:rPr>
          <w:rFonts w:eastAsia="Times New Roman" w:cs="Arial"/>
          <w:snapToGrid w:val="0"/>
          <w:sz w:val="22"/>
          <w:szCs w:val="22"/>
          <w:lang w:eastAsia="cs-CZ"/>
        </w:rPr>
      </w:pPr>
      <w:r w:rsidRPr="00C91227">
        <w:rPr>
          <w:rFonts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Pr>
          <w:rFonts w:cs="Arial"/>
          <w:snapToGrid w:val="0"/>
          <w:sz w:val="22"/>
          <w:szCs w:val="22"/>
        </w:rPr>
        <w:t> </w:t>
      </w:r>
      <w:r w:rsidRPr="00C91227">
        <w:rPr>
          <w:rFonts w:cs="Arial"/>
          <w:snapToGrid w:val="0"/>
          <w:sz w:val="22"/>
          <w:szCs w:val="22"/>
        </w:rPr>
        <w:t>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6B7B5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754204"/>
    <w:multiLevelType w:val="hybridMultilevel"/>
    <w:tmpl w:val="9426F5D6"/>
    <w:lvl w:ilvl="0" w:tplc="958A5550">
      <w:start w:val="1"/>
      <w:numFmt w:val="decimal"/>
      <w:lvlText w:val="%1."/>
      <w:lvlJc w:val="left"/>
      <w:pPr>
        <w:ind w:left="720" w:hanging="360"/>
      </w:pPr>
    </w:lvl>
    <w:lvl w:ilvl="1" w:tplc="41748CDA">
      <w:start w:val="1"/>
      <w:numFmt w:val="decimal"/>
      <w:lvlText w:val="%2."/>
      <w:lvlJc w:val="left"/>
      <w:pPr>
        <w:ind w:left="720" w:hanging="360"/>
      </w:pPr>
    </w:lvl>
    <w:lvl w:ilvl="2" w:tplc="F0DAA268">
      <w:start w:val="1"/>
      <w:numFmt w:val="decimal"/>
      <w:lvlText w:val="%3."/>
      <w:lvlJc w:val="left"/>
      <w:pPr>
        <w:ind w:left="720" w:hanging="360"/>
      </w:pPr>
    </w:lvl>
    <w:lvl w:ilvl="3" w:tplc="E96C53BC">
      <w:start w:val="1"/>
      <w:numFmt w:val="decimal"/>
      <w:lvlText w:val="%4."/>
      <w:lvlJc w:val="left"/>
      <w:pPr>
        <w:ind w:left="720" w:hanging="360"/>
      </w:pPr>
    </w:lvl>
    <w:lvl w:ilvl="4" w:tplc="C190473A">
      <w:start w:val="1"/>
      <w:numFmt w:val="decimal"/>
      <w:lvlText w:val="%5."/>
      <w:lvlJc w:val="left"/>
      <w:pPr>
        <w:ind w:left="720" w:hanging="360"/>
      </w:pPr>
    </w:lvl>
    <w:lvl w:ilvl="5" w:tplc="EDC8D118">
      <w:start w:val="1"/>
      <w:numFmt w:val="decimal"/>
      <w:lvlText w:val="%6."/>
      <w:lvlJc w:val="left"/>
      <w:pPr>
        <w:ind w:left="720" w:hanging="360"/>
      </w:pPr>
    </w:lvl>
    <w:lvl w:ilvl="6" w:tplc="2974B6C4">
      <w:start w:val="1"/>
      <w:numFmt w:val="decimal"/>
      <w:lvlText w:val="%7."/>
      <w:lvlJc w:val="left"/>
      <w:pPr>
        <w:ind w:left="720" w:hanging="360"/>
      </w:pPr>
    </w:lvl>
    <w:lvl w:ilvl="7" w:tplc="20BE6406">
      <w:start w:val="1"/>
      <w:numFmt w:val="decimal"/>
      <w:lvlText w:val="%8."/>
      <w:lvlJc w:val="left"/>
      <w:pPr>
        <w:ind w:left="720" w:hanging="360"/>
      </w:pPr>
    </w:lvl>
    <w:lvl w:ilvl="8" w:tplc="C8863CD6">
      <w:start w:val="1"/>
      <w:numFmt w:val="decimal"/>
      <w:lvlText w:val="%9."/>
      <w:lvlJc w:val="left"/>
      <w:pPr>
        <w:ind w:left="720" w:hanging="360"/>
      </w:pPr>
    </w:lvl>
  </w:abstractNum>
  <w:abstractNum w:abstractNumId="2"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3AE2CDE"/>
    <w:multiLevelType w:val="hybridMultilevel"/>
    <w:tmpl w:val="E884C00A"/>
    <w:lvl w:ilvl="0" w:tplc="C5388C10">
      <w:start w:val="1"/>
      <w:numFmt w:val="decimal"/>
      <w:lvlText w:val="%1."/>
      <w:lvlJc w:val="left"/>
      <w:pPr>
        <w:ind w:left="720" w:hanging="360"/>
      </w:pPr>
    </w:lvl>
    <w:lvl w:ilvl="1" w:tplc="D1227C68">
      <w:start w:val="1"/>
      <w:numFmt w:val="decimal"/>
      <w:lvlText w:val="%2."/>
      <w:lvlJc w:val="left"/>
      <w:pPr>
        <w:ind w:left="720" w:hanging="360"/>
      </w:pPr>
    </w:lvl>
    <w:lvl w:ilvl="2" w:tplc="274CD9E8">
      <w:start w:val="1"/>
      <w:numFmt w:val="decimal"/>
      <w:lvlText w:val="%3."/>
      <w:lvlJc w:val="left"/>
      <w:pPr>
        <w:ind w:left="720" w:hanging="360"/>
      </w:pPr>
    </w:lvl>
    <w:lvl w:ilvl="3" w:tplc="13F0400C">
      <w:start w:val="1"/>
      <w:numFmt w:val="decimal"/>
      <w:lvlText w:val="%4."/>
      <w:lvlJc w:val="left"/>
      <w:pPr>
        <w:ind w:left="720" w:hanging="360"/>
      </w:pPr>
    </w:lvl>
    <w:lvl w:ilvl="4" w:tplc="572A4A2E">
      <w:start w:val="1"/>
      <w:numFmt w:val="decimal"/>
      <w:lvlText w:val="%5."/>
      <w:lvlJc w:val="left"/>
      <w:pPr>
        <w:ind w:left="720" w:hanging="360"/>
      </w:pPr>
    </w:lvl>
    <w:lvl w:ilvl="5" w:tplc="4EDA9B64">
      <w:start w:val="1"/>
      <w:numFmt w:val="decimal"/>
      <w:lvlText w:val="%6."/>
      <w:lvlJc w:val="left"/>
      <w:pPr>
        <w:ind w:left="720" w:hanging="360"/>
      </w:pPr>
    </w:lvl>
    <w:lvl w:ilvl="6" w:tplc="BF84AEDA">
      <w:start w:val="1"/>
      <w:numFmt w:val="decimal"/>
      <w:lvlText w:val="%7."/>
      <w:lvlJc w:val="left"/>
      <w:pPr>
        <w:ind w:left="720" w:hanging="360"/>
      </w:pPr>
    </w:lvl>
    <w:lvl w:ilvl="7" w:tplc="776A9F7E">
      <w:start w:val="1"/>
      <w:numFmt w:val="decimal"/>
      <w:lvlText w:val="%8."/>
      <w:lvlJc w:val="left"/>
      <w:pPr>
        <w:ind w:left="720" w:hanging="360"/>
      </w:pPr>
    </w:lvl>
    <w:lvl w:ilvl="8" w:tplc="566AA2A6">
      <w:start w:val="1"/>
      <w:numFmt w:val="decimal"/>
      <w:lvlText w:val="%9."/>
      <w:lvlJc w:val="left"/>
      <w:pPr>
        <w:ind w:left="720" w:hanging="360"/>
      </w:p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91382324">
    <w:abstractNumId w:val="21"/>
  </w:num>
  <w:num w:numId="2" w16cid:durableId="1241403175">
    <w:abstractNumId w:val="30"/>
  </w:num>
  <w:num w:numId="3" w16cid:durableId="1747536033">
    <w:abstractNumId w:val="3"/>
  </w:num>
  <w:num w:numId="4" w16cid:durableId="634065229">
    <w:abstractNumId w:val="8"/>
  </w:num>
  <w:num w:numId="5" w16cid:durableId="1298217661">
    <w:abstractNumId w:val="13"/>
  </w:num>
  <w:num w:numId="6" w16cid:durableId="513035078">
    <w:abstractNumId w:val="20"/>
  </w:num>
  <w:num w:numId="7" w16cid:durableId="282736285">
    <w:abstractNumId w:val="7"/>
  </w:num>
  <w:num w:numId="8" w16cid:durableId="1845320041">
    <w:abstractNumId w:val="26"/>
  </w:num>
  <w:num w:numId="9" w16cid:durableId="1773279664">
    <w:abstractNumId w:val="33"/>
  </w:num>
  <w:num w:numId="10" w16cid:durableId="1714385385">
    <w:abstractNumId w:val="29"/>
  </w:num>
  <w:num w:numId="11" w16cid:durableId="1309288336">
    <w:abstractNumId w:val="9"/>
  </w:num>
  <w:num w:numId="12" w16cid:durableId="1775781829">
    <w:abstractNumId w:val="11"/>
  </w:num>
  <w:num w:numId="13" w16cid:durableId="1879854316">
    <w:abstractNumId w:val="36"/>
  </w:num>
  <w:num w:numId="14" w16cid:durableId="941884251">
    <w:abstractNumId w:val="31"/>
  </w:num>
  <w:num w:numId="15" w16cid:durableId="697899956">
    <w:abstractNumId w:val="15"/>
  </w:num>
  <w:num w:numId="16" w16cid:durableId="1080831810">
    <w:abstractNumId w:val="22"/>
  </w:num>
  <w:num w:numId="17" w16cid:durableId="1982348846">
    <w:abstractNumId w:val="5"/>
  </w:num>
  <w:num w:numId="18" w16cid:durableId="2090882522">
    <w:abstractNumId w:val="17"/>
  </w:num>
  <w:num w:numId="19" w16cid:durableId="1324162436">
    <w:abstractNumId w:val="6"/>
  </w:num>
  <w:num w:numId="20" w16cid:durableId="1207647493">
    <w:abstractNumId w:val="18"/>
  </w:num>
  <w:num w:numId="21" w16cid:durableId="228880330">
    <w:abstractNumId w:val="19"/>
  </w:num>
  <w:num w:numId="22" w16cid:durableId="188757957">
    <w:abstractNumId w:val="16"/>
  </w:num>
  <w:num w:numId="23" w16cid:durableId="798298943">
    <w:abstractNumId w:val="25"/>
  </w:num>
  <w:num w:numId="24" w16cid:durableId="1892888312">
    <w:abstractNumId w:val="4"/>
  </w:num>
  <w:num w:numId="25" w16cid:durableId="645285764">
    <w:abstractNumId w:val="2"/>
  </w:num>
  <w:num w:numId="26" w16cid:durableId="1066295905">
    <w:abstractNumId w:val="28"/>
  </w:num>
  <w:num w:numId="27" w16cid:durableId="1773622181">
    <w:abstractNumId w:val="23"/>
  </w:num>
  <w:num w:numId="28" w16cid:durableId="657075698">
    <w:abstractNumId w:val="10"/>
  </w:num>
  <w:num w:numId="29" w16cid:durableId="1559897633">
    <w:abstractNumId w:val="27"/>
  </w:num>
  <w:num w:numId="30" w16cid:durableId="1372194538">
    <w:abstractNumId w:val="35"/>
  </w:num>
  <w:num w:numId="31" w16cid:durableId="1927302910">
    <w:abstractNumId w:val="24"/>
  </w:num>
  <w:num w:numId="32" w16cid:durableId="1724789529">
    <w:abstractNumId w:val="0"/>
  </w:num>
  <w:num w:numId="33" w16cid:durableId="1003896105">
    <w:abstractNumId w:val="12"/>
  </w:num>
  <w:num w:numId="34" w16cid:durableId="202908065">
    <w:abstractNumId w:val="32"/>
  </w:num>
  <w:num w:numId="35" w16cid:durableId="1241479347">
    <w:abstractNumId w:val="14"/>
  </w:num>
  <w:num w:numId="36" w16cid:durableId="585654969">
    <w:abstractNumId w:val="34"/>
  </w:num>
  <w:num w:numId="37" w16cid:durableId="378745359">
    <w:abstractNumId w:val="1"/>
  </w:num>
  <w:num w:numId="38" w16cid:durableId="18511413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7E"/>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7C"/>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2F01"/>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24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84"/>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DD7"/>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6EE6"/>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0232"/>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973"/>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1227"/>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A0A"/>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D65"/>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17F41"/>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A8E709"/>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55DD6A"/>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64F979"/>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13F78D"/>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0D1FE6"/>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A5ABC9"/>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711B5"/>
    <w:rsid w:val="714BA59D"/>
    <w:rsid w:val="714EC978"/>
    <w:rsid w:val="715E65E9"/>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2.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5.xml><?xml version="1.0" encoding="utf-8"?>
<ds:datastoreItem xmlns:ds="http://schemas.openxmlformats.org/officeDocument/2006/customXml" ds:itemID="{2521046A-E021-4A42-B253-993033101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3912</Words>
  <Characters>22818</Characters>
  <Application>Microsoft Office Word</Application>
  <DocSecurity>0</DocSecurity>
  <Lines>190</Lines>
  <Paragraphs>53</Paragraphs>
  <ScaleCrop>false</ScaleCrop>
  <Company>MMR</Company>
  <LinksUpToDate>false</LinksUpToDate>
  <CharactersWithSpaces>26677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20</cp:revision>
  <cp:lastPrinted>2022-07-27T19:25:00Z</cp:lastPrinted>
  <dcterms:created xsi:type="dcterms:W3CDTF">2022-09-15T08:53:00Z</dcterms:created>
  <dcterms:modified xsi:type="dcterms:W3CDTF">2025-02-19T07:55:00Z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