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B5" w:rsidRDefault="009449EA">
      <w:pPr>
        <w:spacing w:before="120"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Mgr. Eva </w:t>
      </w:r>
      <w:proofErr w:type="gramStart"/>
      <w:r>
        <w:rPr>
          <w:rFonts w:ascii="Arial" w:eastAsia="Arial" w:hAnsi="Arial" w:cs="Arial"/>
          <w:color w:val="000000"/>
          <w:sz w:val="20"/>
        </w:rPr>
        <w:t>Kreplová  02.10.2020</w:t>
      </w:r>
      <w:proofErr w:type="gramEnd"/>
      <w:r>
        <w:rPr>
          <w:rFonts w:ascii="Arial" w:eastAsia="Arial" w:hAnsi="Arial" w:cs="Arial"/>
          <w:color w:val="000000"/>
          <w:sz w:val="20"/>
        </w:rPr>
        <w:t xml:space="preserve"> 10:43:31</w:t>
      </w:r>
    </w:p>
    <w:p w:rsidR="00CF6BB5" w:rsidRDefault="00CF6BB5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9449EA">
      <w:pPr>
        <w:spacing w:after="120" w:line="312" w:lineRule="auto"/>
        <w:ind w:left="2241" w:right="105" w:hanging="2124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Název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dokumentu</w:t>
      </w:r>
      <w:proofErr w:type="spellEnd"/>
      <w:r w:rsidR="00D75BED">
        <w:rPr>
          <w:rFonts w:ascii="Arial" w:eastAsia="Arial" w:hAnsi="Arial" w:cs="Arial"/>
          <w:color w:val="000000"/>
          <w:sz w:val="20"/>
        </w:rPr>
        <w:t xml:space="preserve">     </w:t>
      </w:r>
      <w:proofErr w:type="spellStart"/>
      <w:r>
        <w:rPr>
          <w:rFonts w:ascii="Arial" w:eastAsia="Arial" w:hAnsi="Arial" w:cs="Arial"/>
          <w:color w:val="000000"/>
          <w:sz w:val="20"/>
        </w:rPr>
        <w:t>Zpráva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</w:rPr>
        <w:t>plnění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evaluačního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plánu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programu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</w:rPr>
        <w:t>k  30</w:t>
      </w:r>
      <w:proofErr w:type="gramEnd"/>
      <w:r>
        <w:rPr>
          <w:rFonts w:ascii="Arial" w:eastAsia="Arial" w:hAnsi="Arial" w:cs="Arial"/>
          <w:color w:val="000000"/>
          <w:sz w:val="20"/>
        </w:rPr>
        <w:t>. 09. 2020</w:t>
      </w:r>
    </w:p>
    <w:p w:rsidR="00CF6BB5" w:rsidRDefault="009449EA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Program</w:t>
      </w:r>
      <w:r>
        <w:rPr>
          <w:rFonts w:ascii="Arial" w:eastAsia="Arial" w:hAnsi="Arial" w:cs="Arial"/>
          <w:b/>
          <w:bCs/>
          <w:color w:val="000000"/>
          <w:sz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 xml:space="preserve">06 </w:t>
      </w:r>
      <w:proofErr w:type="spellStart"/>
      <w:r>
        <w:rPr>
          <w:rFonts w:ascii="Arial" w:eastAsia="Arial" w:hAnsi="Arial" w:cs="Arial"/>
          <w:color w:val="000000"/>
          <w:sz w:val="20"/>
        </w:rPr>
        <w:t>Integrovaný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regionální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operační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program</w:t>
      </w:r>
    </w:p>
    <w:p w:rsidR="00CF6BB5" w:rsidRDefault="009449EA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Verze</w:t>
      </w:r>
      <w:proofErr w:type="spellEnd"/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draft</w:t>
      </w:r>
    </w:p>
    <w:p w:rsidR="00CF6BB5" w:rsidRDefault="009449EA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Číslo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draftu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>1</w:t>
      </w:r>
    </w:p>
    <w:p w:rsidR="00CF6BB5" w:rsidRDefault="00CF6BB5">
      <w:pPr>
        <w:spacing w:after="160" w:line="259" w:lineRule="auto"/>
        <w:ind w:left="117" w:right="105"/>
        <w:rPr>
          <w:rFonts w:ascii="Arial" w:eastAsia="Arial" w:hAnsi="Arial" w:cs="Arial"/>
          <w:color w:val="000000"/>
          <w:sz w:val="20"/>
        </w:rPr>
      </w:pPr>
    </w:p>
    <w:p w:rsidR="00CF6BB5" w:rsidRDefault="009449EA">
      <w:r>
        <w:br w:type="page"/>
      </w:r>
    </w:p>
    <w:p w:rsidR="00CF6BB5" w:rsidRDefault="00CF6BB5">
      <w:pPr>
        <w:spacing w:line="259" w:lineRule="auto"/>
        <w:ind w:left="117" w:right="105"/>
        <w:rPr>
          <w:rFonts w:ascii="Arial" w:eastAsia="Arial" w:hAnsi="Arial" w:cs="Arial"/>
          <w:color w:val="000000"/>
          <w:sz w:val="20"/>
        </w:rPr>
      </w:pPr>
    </w:p>
    <w:p w:rsidR="00CF6BB5" w:rsidRDefault="009449EA">
      <w:pPr>
        <w:spacing w:before="480" w:after="240"/>
        <w:ind w:left="117" w:right="105"/>
        <w:rPr>
          <w:rFonts w:ascii="Arial" w:eastAsia="Arial" w:hAnsi="Arial" w:cs="Arial"/>
          <w:b/>
          <w:bCs/>
          <w:color w:val="2E74B5"/>
          <w:sz w:val="36"/>
        </w:rPr>
      </w:pP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Obsah</w:t>
      </w:r>
      <w:proofErr w:type="spellEnd"/>
    </w:p>
    <w:p w:rsidR="00CF6BB5" w:rsidRDefault="00D75BED">
      <w:pPr>
        <w:tabs>
          <w:tab w:val="right" w:leader="dot" w:pos="14416"/>
        </w:tabs>
        <w:ind w:left="117" w:right="105"/>
        <w:jc w:val="both"/>
        <w:rPr>
          <w:rFonts w:ascii="Calibri" w:eastAsia="Calibri" w:hAnsi="Calibri" w:cs="Calibri"/>
          <w:color w:val="0563C1"/>
          <w:u w:val="single"/>
        </w:rPr>
      </w:pPr>
      <w:hyperlink w:anchor="_Toc13037821" w:history="1"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Základní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informace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ab/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begin"/>
        </w:r>
        <w:r w:rsidR="009449EA">
          <w:rPr>
            <w:rFonts w:ascii="Calibri" w:eastAsia="Calibri" w:hAnsi="Calibri" w:cs="Calibri"/>
            <w:color w:val="0563C1"/>
            <w:u w:val="single"/>
          </w:rPr>
          <w:instrText>PAGEREF _Toc13037821</w:instrTex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separate"/>
        </w:r>
        <w:r w:rsidR="009449EA">
          <w:rPr>
            <w:rFonts w:ascii="Calibri" w:eastAsia="Calibri" w:hAnsi="Calibri" w:cs="Calibri"/>
            <w:color w:val="0563C1"/>
            <w:u w:val="single"/>
          </w:rPr>
          <w:t>0</w: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end"/>
        </w:r>
      </w:hyperlink>
    </w:p>
    <w:p w:rsidR="00CF6BB5" w:rsidRDefault="00D75BED">
      <w:pPr>
        <w:tabs>
          <w:tab w:val="right" w:leader="dot" w:pos="14416"/>
        </w:tabs>
        <w:ind w:left="117" w:right="105"/>
        <w:jc w:val="both"/>
        <w:rPr>
          <w:rFonts w:ascii="Calibri" w:eastAsia="Calibri" w:hAnsi="Calibri" w:cs="Calibri"/>
          <w:color w:val="0563C1"/>
          <w:u w:val="single"/>
        </w:rPr>
      </w:pPr>
      <w:hyperlink w:anchor="_Toc13037822" w:history="1">
        <w:r w:rsidR="009449EA">
          <w:rPr>
            <w:rFonts w:ascii="Calibri" w:eastAsia="Calibri" w:hAnsi="Calibri" w:cs="Calibri"/>
            <w:color w:val="0563C1"/>
            <w:u w:val="single"/>
          </w:rPr>
          <w:t xml:space="preserve">1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Vyhodnocení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plnění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evaluačního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plánu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v 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roce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ROK_N</w:t>
        </w:r>
        <w:r w:rsidR="009449EA">
          <w:rPr>
            <w:rFonts w:ascii="Calibri" w:eastAsia="Calibri" w:hAnsi="Calibri" w:cs="Calibri"/>
            <w:color w:val="0563C1"/>
            <w:u w:val="single"/>
          </w:rPr>
          <w:tab/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begin"/>
        </w:r>
        <w:r w:rsidR="009449EA">
          <w:rPr>
            <w:rFonts w:ascii="Calibri" w:eastAsia="Calibri" w:hAnsi="Calibri" w:cs="Calibri"/>
            <w:color w:val="0563C1"/>
            <w:u w:val="single"/>
          </w:rPr>
          <w:instrText>PAGEREF _Toc13037822</w:instrTex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separate"/>
        </w:r>
        <w:r w:rsidR="009449EA">
          <w:rPr>
            <w:rFonts w:ascii="Calibri" w:eastAsia="Calibri" w:hAnsi="Calibri" w:cs="Calibri"/>
            <w:color w:val="0563C1"/>
            <w:u w:val="single"/>
          </w:rPr>
          <w:t>0</w: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end"/>
        </w:r>
      </w:hyperlink>
    </w:p>
    <w:p w:rsidR="00CF6BB5" w:rsidRDefault="00D75BED">
      <w:pPr>
        <w:tabs>
          <w:tab w:val="right" w:leader="dot" w:pos="14416"/>
        </w:tabs>
        <w:ind w:left="117" w:right="105"/>
        <w:jc w:val="both"/>
        <w:rPr>
          <w:rFonts w:ascii="Calibri" w:eastAsia="Calibri" w:hAnsi="Calibri" w:cs="Calibri"/>
          <w:color w:val="0563C1"/>
          <w:u w:val="single"/>
        </w:rPr>
      </w:pPr>
      <w:hyperlink w:anchor="_Toc13037823" w:history="1">
        <w:r w:rsidR="009449EA">
          <w:rPr>
            <w:rFonts w:ascii="Calibri" w:eastAsia="Calibri" w:hAnsi="Calibri" w:cs="Calibri"/>
            <w:color w:val="0563C1"/>
            <w:u w:val="single"/>
          </w:rPr>
          <w:t xml:space="preserve">2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Přehled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ukončených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evaluací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ab/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begin"/>
        </w:r>
        <w:r w:rsidR="009449EA">
          <w:rPr>
            <w:rFonts w:ascii="Calibri" w:eastAsia="Calibri" w:hAnsi="Calibri" w:cs="Calibri"/>
            <w:color w:val="0563C1"/>
            <w:u w:val="single"/>
          </w:rPr>
          <w:instrText>PAGEREF _Toc13037823</w:instrTex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separate"/>
        </w:r>
        <w:r w:rsidR="009449EA">
          <w:rPr>
            <w:rFonts w:ascii="Calibri" w:eastAsia="Calibri" w:hAnsi="Calibri" w:cs="Calibri"/>
            <w:color w:val="0563C1"/>
            <w:u w:val="single"/>
          </w:rPr>
          <w:t>0</w: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end"/>
        </w:r>
      </w:hyperlink>
    </w:p>
    <w:p w:rsidR="00CF6BB5" w:rsidRDefault="00D75BED">
      <w:pPr>
        <w:tabs>
          <w:tab w:val="right" w:leader="dot" w:pos="14416"/>
        </w:tabs>
        <w:ind w:left="117" w:right="105"/>
        <w:jc w:val="both"/>
        <w:rPr>
          <w:rFonts w:ascii="Calibri" w:eastAsia="Calibri" w:hAnsi="Calibri" w:cs="Calibri"/>
          <w:color w:val="0563C1"/>
          <w:u w:val="single"/>
        </w:rPr>
      </w:pPr>
      <w:hyperlink w:anchor="_Toc13037824" w:history="1">
        <w:r w:rsidR="009449EA">
          <w:rPr>
            <w:rFonts w:ascii="Calibri" w:eastAsia="Calibri" w:hAnsi="Calibri" w:cs="Calibri"/>
            <w:color w:val="0563C1"/>
            <w:u w:val="single"/>
          </w:rPr>
          <w:t xml:space="preserve">3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Posílení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a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rozvoj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evaluační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 xml:space="preserve">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kapacity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ab/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begin"/>
        </w:r>
        <w:r w:rsidR="009449EA">
          <w:rPr>
            <w:rFonts w:ascii="Calibri" w:eastAsia="Calibri" w:hAnsi="Calibri" w:cs="Calibri"/>
            <w:color w:val="0563C1"/>
            <w:u w:val="single"/>
          </w:rPr>
          <w:instrText>PAGEREF _Toc13037824</w:instrTex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separate"/>
        </w:r>
        <w:r w:rsidR="009449EA">
          <w:rPr>
            <w:rFonts w:ascii="Calibri" w:eastAsia="Calibri" w:hAnsi="Calibri" w:cs="Calibri"/>
            <w:color w:val="0563C1"/>
            <w:u w:val="single"/>
          </w:rPr>
          <w:t>0</w: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end"/>
        </w:r>
      </w:hyperlink>
    </w:p>
    <w:p w:rsidR="00CF6BB5" w:rsidRDefault="00D75BED">
      <w:pPr>
        <w:tabs>
          <w:tab w:val="right" w:leader="dot" w:pos="14416"/>
        </w:tabs>
        <w:ind w:left="117" w:right="105"/>
        <w:jc w:val="both"/>
        <w:rPr>
          <w:rFonts w:ascii="Calibri" w:eastAsia="Calibri" w:hAnsi="Calibri" w:cs="Calibri"/>
          <w:color w:val="0563C1"/>
          <w:u w:val="single"/>
        </w:rPr>
      </w:pPr>
      <w:hyperlink w:anchor="_Toc13037825" w:history="1">
        <w:r w:rsidR="009449EA">
          <w:rPr>
            <w:rFonts w:ascii="Calibri" w:eastAsia="Calibri" w:hAnsi="Calibri" w:cs="Calibri"/>
            <w:color w:val="0563C1"/>
            <w:u w:val="single"/>
          </w:rPr>
          <w:t xml:space="preserve">4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Různé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ab/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begin"/>
        </w:r>
        <w:r w:rsidR="009449EA">
          <w:rPr>
            <w:rFonts w:ascii="Calibri" w:eastAsia="Calibri" w:hAnsi="Calibri" w:cs="Calibri"/>
            <w:color w:val="0563C1"/>
            <w:u w:val="single"/>
          </w:rPr>
          <w:instrText>PAGEREF _Toc13037825</w:instrTex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separate"/>
        </w:r>
        <w:r w:rsidR="009449EA">
          <w:rPr>
            <w:rFonts w:ascii="Calibri" w:eastAsia="Calibri" w:hAnsi="Calibri" w:cs="Calibri"/>
            <w:color w:val="0563C1"/>
            <w:u w:val="single"/>
          </w:rPr>
          <w:t>0</w: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end"/>
        </w:r>
      </w:hyperlink>
    </w:p>
    <w:p w:rsidR="00CF6BB5" w:rsidRDefault="00D75BED">
      <w:pPr>
        <w:tabs>
          <w:tab w:val="right" w:leader="dot" w:pos="14416"/>
        </w:tabs>
        <w:ind w:left="117" w:right="105"/>
        <w:jc w:val="both"/>
        <w:rPr>
          <w:rFonts w:ascii="Calibri" w:eastAsia="Calibri" w:hAnsi="Calibri" w:cs="Calibri"/>
          <w:color w:val="0563C1"/>
          <w:u w:val="single"/>
        </w:rPr>
      </w:pPr>
      <w:hyperlink w:anchor="_Toc13037826" w:history="1">
        <w:r w:rsidR="009449EA">
          <w:rPr>
            <w:rFonts w:ascii="Calibri" w:eastAsia="Calibri" w:hAnsi="Calibri" w:cs="Calibri"/>
            <w:color w:val="0563C1"/>
            <w:u w:val="single"/>
          </w:rPr>
          <w:t xml:space="preserve">5 </w:t>
        </w:r>
        <w:proofErr w:type="spellStart"/>
        <w:r w:rsidR="009449EA">
          <w:rPr>
            <w:rFonts w:ascii="Calibri" w:eastAsia="Calibri" w:hAnsi="Calibri" w:cs="Calibri"/>
            <w:color w:val="0563C1"/>
            <w:u w:val="single"/>
          </w:rPr>
          <w:t>Přílohy</w:t>
        </w:r>
        <w:proofErr w:type="spellEnd"/>
        <w:r w:rsidR="009449EA">
          <w:rPr>
            <w:rFonts w:ascii="Calibri" w:eastAsia="Calibri" w:hAnsi="Calibri" w:cs="Calibri"/>
            <w:color w:val="0563C1"/>
            <w:u w:val="single"/>
          </w:rPr>
          <w:tab/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begin"/>
        </w:r>
        <w:r w:rsidR="009449EA">
          <w:rPr>
            <w:rFonts w:ascii="Calibri" w:eastAsia="Calibri" w:hAnsi="Calibri" w:cs="Calibri"/>
            <w:color w:val="0563C1"/>
            <w:u w:val="single"/>
          </w:rPr>
          <w:instrText>PAGEREF _Toc13037826</w:instrTex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separate"/>
        </w:r>
        <w:r w:rsidR="009449EA">
          <w:rPr>
            <w:rFonts w:ascii="Calibri" w:eastAsia="Calibri" w:hAnsi="Calibri" w:cs="Calibri"/>
            <w:color w:val="0563C1"/>
            <w:u w:val="single"/>
          </w:rPr>
          <w:t>0</w:t>
        </w:r>
        <w:r w:rsidR="009449EA">
          <w:rPr>
            <w:rFonts w:ascii="Calibri" w:eastAsia="Calibri" w:hAnsi="Calibri" w:cs="Calibri"/>
            <w:color w:val="0563C1"/>
            <w:u w:val="single"/>
          </w:rPr>
          <w:fldChar w:fldCharType="end"/>
        </w:r>
      </w:hyperlink>
    </w:p>
    <w:p w:rsidR="00CF6BB5" w:rsidRDefault="00CF6BB5">
      <w:pPr>
        <w:spacing w:after="200" w:line="276" w:lineRule="auto"/>
        <w:ind w:left="117" w:right="105"/>
        <w:rPr>
          <w:rFonts w:ascii="Arial" w:eastAsia="Arial" w:hAnsi="Arial" w:cs="Arial"/>
          <w:color w:val="000000"/>
          <w:sz w:val="20"/>
        </w:rPr>
      </w:pPr>
    </w:p>
    <w:p w:rsidR="00CF6BB5" w:rsidRDefault="00CF6BB5">
      <w:pPr>
        <w:spacing w:after="160" w:line="259" w:lineRule="auto"/>
        <w:ind w:left="117" w:right="105"/>
        <w:rPr>
          <w:rFonts w:ascii="Arial" w:eastAsia="Arial" w:hAnsi="Arial" w:cs="Arial"/>
          <w:color w:val="000000"/>
          <w:sz w:val="20"/>
        </w:rPr>
      </w:pPr>
    </w:p>
    <w:p w:rsidR="00CF6BB5" w:rsidRDefault="009449EA">
      <w:r>
        <w:br w:type="page"/>
      </w:r>
    </w:p>
    <w:p w:rsidR="00CF6BB5" w:rsidRDefault="00CF6BB5">
      <w:pPr>
        <w:spacing w:line="259" w:lineRule="auto"/>
        <w:ind w:left="117" w:right="105"/>
        <w:rPr>
          <w:rFonts w:ascii="Arial" w:eastAsia="Arial" w:hAnsi="Arial" w:cs="Arial"/>
          <w:color w:val="000000"/>
          <w:sz w:val="20"/>
        </w:rPr>
      </w:pPr>
    </w:p>
    <w:p w:rsidR="00CF6BB5" w:rsidRDefault="009449EA">
      <w:pPr>
        <w:spacing w:before="480" w:after="240"/>
        <w:ind w:left="117" w:right="105"/>
        <w:rPr>
          <w:rFonts w:ascii="Arial" w:eastAsia="Arial" w:hAnsi="Arial" w:cs="Arial"/>
          <w:b/>
          <w:bCs/>
          <w:color w:val="2E74B5"/>
          <w:sz w:val="36"/>
        </w:rPr>
      </w:pPr>
      <w:bookmarkStart w:id="0" w:name="_Toc13037821"/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Základní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informace</w:t>
      </w:r>
      <w:bookmarkEnd w:id="0"/>
      <w:proofErr w:type="spellEnd"/>
    </w:p>
    <w:p w:rsidR="00CF6BB5" w:rsidRDefault="009449EA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Sledované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období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od</w:t>
      </w:r>
      <w:r>
        <w:rPr>
          <w:rFonts w:ascii="Arial" w:eastAsia="Arial" w:hAnsi="Arial" w:cs="Arial"/>
          <w:color w:val="000000"/>
          <w:sz w:val="20"/>
        </w:rPr>
        <w:t>:</w:t>
      </w:r>
      <w:r>
        <w:rPr>
          <w:rFonts w:ascii="Arial" w:eastAsia="Arial" w:hAnsi="Arial" w:cs="Arial"/>
          <w:color w:val="000000"/>
          <w:sz w:val="20"/>
        </w:rPr>
        <w:tab/>
        <w:t>01. 11. 2019</w:t>
      </w:r>
    </w:p>
    <w:p w:rsidR="00CF6BB5" w:rsidRDefault="009449EA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Sledované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období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do</w:t>
      </w:r>
      <w:r>
        <w:rPr>
          <w:rFonts w:ascii="Arial" w:eastAsia="Arial" w:hAnsi="Arial" w:cs="Arial"/>
          <w:color w:val="000000"/>
          <w:sz w:val="20"/>
        </w:rPr>
        <w:t>:</w:t>
      </w:r>
      <w:r>
        <w:rPr>
          <w:rFonts w:ascii="Arial" w:eastAsia="Arial" w:hAnsi="Arial" w:cs="Arial"/>
          <w:color w:val="000000"/>
          <w:sz w:val="20"/>
        </w:rPr>
        <w:tab/>
        <w:t>30. 09. 2020</w:t>
      </w:r>
    </w:p>
    <w:p w:rsidR="00CF6BB5" w:rsidRDefault="009449EA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 xml:space="preserve">Data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platná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k</w:t>
      </w:r>
      <w:r>
        <w:rPr>
          <w:rFonts w:ascii="Arial" w:eastAsia="Arial" w:hAnsi="Arial" w:cs="Arial"/>
          <w:color w:val="000000"/>
          <w:sz w:val="20"/>
        </w:rPr>
        <w:t>: 30. 09. 2020</w:t>
      </w:r>
    </w:p>
    <w:p w:rsidR="00CF6BB5" w:rsidRDefault="009449EA">
      <w:pPr>
        <w:spacing w:after="120" w:line="312" w:lineRule="auto"/>
        <w:ind w:left="117" w:right="105"/>
        <w:jc w:val="both"/>
        <w:rPr>
          <w:rFonts w:ascii="Arial" w:eastAsia="Arial" w:hAnsi="Arial" w:cs="Arial"/>
          <w:color w:val="000000"/>
          <w:sz w:val="20"/>
          <w:highlight w:val="white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 xml:space="preserve">Datum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generování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highlight w:val="white"/>
        </w:rPr>
        <w:t>02. 10. 2020</w:t>
      </w:r>
    </w:p>
    <w:p w:rsidR="00CF6BB5" w:rsidRDefault="00CF6BB5">
      <w:pPr>
        <w:spacing w:after="160" w:line="259" w:lineRule="auto"/>
        <w:ind w:left="117" w:right="105"/>
        <w:rPr>
          <w:rFonts w:ascii="Arial" w:eastAsia="Arial" w:hAnsi="Arial" w:cs="Arial"/>
          <w:color w:val="000000"/>
          <w:sz w:val="20"/>
        </w:rPr>
      </w:pPr>
    </w:p>
    <w:p w:rsidR="00CF6BB5" w:rsidRDefault="009449EA">
      <w:r>
        <w:br w:type="page"/>
      </w:r>
    </w:p>
    <w:p w:rsidR="00CF6BB5" w:rsidRDefault="00CF6BB5">
      <w:pPr>
        <w:spacing w:line="259" w:lineRule="auto"/>
        <w:ind w:left="117" w:right="105"/>
        <w:rPr>
          <w:rFonts w:ascii="Arial" w:eastAsia="Arial" w:hAnsi="Arial" w:cs="Arial"/>
          <w:color w:val="000000"/>
          <w:sz w:val="20"/>
        </w:rPr>
      </w:pPr>
    </w:p>
    <w:p w:rsidR="00CF6BB5" w:rsidRDefault="009449EA">
      <w:pPr>
        <w:keepNext/>
        <w:keepLines/>
        <w:spacing w:before="480" w:after="240"/>
        <w:ind w:left="117" w:right="105"/>
        <w:rPr>
          <w:rFonts w:ascii="Arial" w:eastAsia="Arial" w:hAnsi="Arial" w:cs="Arial"/>
          <w:b/>
          <w:bCs/>
          <w:color w:val="2E74B5"/>
          <w:sz w:val="36"/>
        </w:rPr>
      </w:pPr>
      <w:bookmarkStart w:id="1" w:name="_Toc13037822"/>
      <w:r>
        <w:rPr>
          <w:rFonts w:ascii="Arial" w:eastAsia="Arial" w:hAnsi="Arial" w:cs="Arial"/>
          <w:b/>
          <w:bCs/>
          <w:color w:val="2E74B5"/>
          <w:sz w:val="36"/>
        </w:rPr>
        <w:t xml:space="preserve">1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Vyhodnocení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plnění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evaluačního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plánu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v 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roce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2020</w:t>
      </w:r>
      <w:bookmarkEnd w:id="1"/>
    </w:p>
    <w:p w:rsidR="00CF6BB5" w:rsidRDefault="00CF6BB5">
      <w:pPr>
        <w:keepNext/>
        <w:keepLines/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2"/>
      </w:tblGrid>
      <w:tr w:rsidR="00CF6BB5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keepLines/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Zprávu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plnění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plánu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IROP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hodnoceným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obdobím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1. 11. 2019-30. 9. 2020.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dané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plánováno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dokončení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jedné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čtyř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jednoho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průzkumu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Dokončena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PO2: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specifické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cíle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2.1, 2.2, 2.4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zaměřením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inkluzi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". Tato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zakázka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01.07.2019,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dodána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koncem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června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2020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dodavatelem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společnost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Ernst &amp; Young,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s.r.o.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externě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zpracovávané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"Ex-ante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Integrovaného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regionálního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program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programové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2021-2027",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zakázka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20.12.2019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dodavatelem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společnost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Evaluation Advisory 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s.r.o.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integrovaných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IROP" a to 19.03.2020,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přičemž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dodavatelem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opět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společnost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 Evaluation Advisory 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s.r.o.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Externě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realizovaná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část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integrovaných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IROP"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doplněna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interně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realizovanou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analýzou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nákladovosti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administrativní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náročnosti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jednotlivých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její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první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výstup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dodavateli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doručen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začátkem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září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2020). </w:t>
            </w:r>
            <w: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Interně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zpracováváno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systému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procesu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IROP",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sloužit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především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optimalizaci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nastavení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implementační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struktury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Přípravy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červnu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2020 a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průběhu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srpna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připomínkovém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procesu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záměr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květnu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externího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Průzkumu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povědomí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 IROP",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jehož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dodavatelem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společnost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STEM/MARK,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a.s.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Čtvrtá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plánovaná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PO1 a PO3 IROP: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Případové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studie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" je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přípravě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její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opozdí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především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kvůli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vysoké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diverzitě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dopravní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infrastruktura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Integrovaný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záchranný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systém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kulturní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dědictví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ap.).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Změna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harmonogramu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součástí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předkládané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aktualizace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plánu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IROP.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Pokračuje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externí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vlivu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Integrovaného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regionálního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programové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2021-2027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životní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prostředí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zahájeného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srpnu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2019,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jehož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dodavatelem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Česká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zemědělská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univerzita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Praze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:rsidR="00CF6BB5" w:rsidRDefault="00CF6BB5">
            <w:pPr>
              <w:keepNext/>
              <w:keepLines/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CF6BB5" w:rsidRDefault="00CF6BB5">
      <w:pPr>
        <w:keepNext/>
        <w:keepLines/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9449EA">
      <w:pPr>
        <w:keepNext/>
        <w:keepLines/>
        <w:ind w:left="117" w:right="105"/>
        <w:jc w:val="both"/>
        <w:rPr>
          <w:rFonts w:ascii="Arial" w:eastAsia="Arial" w:hAnsi="Arial" w:cs="Arial"/>
          <w:b/>
          <w:bCs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Tabulka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1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Vyhodnocení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plnění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evaluačního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plánu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na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úrovni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etap</w:t>
      </w:r>
      <w:proofErr w:type="spellEnd"/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5488"/>
        <w:gridCol w:w="2816"/>
        <w:gridCol w:w="1968"/>
        <w:gridCol w:w="2111"/>
      </w:tblGrid>
      <w:tr w:rsidR="00CF6BB5">
        <w:trPr>
          <w:cantSplit/>
          <w:tblHeader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Lines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Lines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Název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Lines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Stav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Lines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plánovaného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zahájení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Lines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plánovaného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ukončení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</w:tr>
      <w:tr w:rsidR="00CF6BB5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06.010.01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vlivu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regionálního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2021-2027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životní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prostředí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v 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26. 08. 2019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31. 12. 2020</w:t>
            </w:r>
          </w:p>
        </w:tc>
      </w:tr>
      <w:tr w:rsidR="00CF6BB5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06.012.01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Ex-ante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regionálního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2021-2027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v 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realizaci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20. 12. 2019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31. 12. 2020</w:t>
            </w:r>
          </w:p>
        </w:tc>
      </w:tr>
      <w:tr w:rsidR="00CF6BB5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PO2: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specifické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2.1, 2.2, 2.4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inkluzi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ukončeno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01. 07. 2019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30. 06. 2020</w:t>
            </w:r>
          </w:p>
        </w:tc>
      </w:tr>
    </w:tbl>
    <w:p w:rsidR="00CF6BB5" w:rsidRDefault="00CF6BB5">
      <w:pPr>
        <w:ind w:left="1527" w:right="105" w:hanging="1410"/>
        <w:jc w:val="both"/>
      </w:pPr>
    </w:p>
    <w:p w:rsidR="002D0AEE" w:rsidRDefault="002D0AEE">
      <w:pPr>
        <w:ind w:left="1527" w:right="105" w:hanging="1410"/>
        <w:jc w:val="both"/>
      </w:pPr>
    </w:p>
    <w:p w:rsidR="00CF6BB5" w:rsidRDefault="009449EA">
      <w:pPr>
        <w:spacing w:before="480" w:after="240"/>
        <w:ind w:left="117" w:right="105"/>
        <w:rPr>
          <w:rFonts w:ascii="Arial" w:eastAsia="Arial" w:hAnsi="Arial" w:cs="Arial"/>
          <w:b/>
          <w:bCs/>
          <w:color w:val="2E74B5"/>
          <w:sz w:val="36"/>
        </w:rPr>
      </w:pPr>
      <w:bookmarkStart w:id="2" w:name="_Toc13037823"/>
      <w:r>
        <w:rPr>
          <w:rFonts w:ascii="Arial" w:eastAsia="Arial" w:hAnsi="Arial" w:cs="Arial"/>
          <w:b/>
          <w:bCs/>
          <w:color w:val="2E74B5"/>
          <w:sz w:val="36"/>
        </w:rPr>
        <w:lastRenderedPageBreak/>
        <w:t xml:space="preserve">2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Přehled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ukončených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evaluací</w:t>
      </w:r>
      <w:bookmarkEnd w:id="2"/>
      <w:proofErr w:type="spellEnd"/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2"/>
      </w:tblGrid>
      <w:tr w:rsidR="00CF6BB5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zjištění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doporučení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k 30. 9. 2020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formulováno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110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  <w:r w:rsidR="002D0AEE"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toho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k 30. 9. 2020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zrealizováno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74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4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zapracovány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nezávisle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  <w:r w:rsidR="002D0AEE"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Specifickou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kategorii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tvoří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zrušeny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Tyto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3.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Jeden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vzešel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Analýzy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absorpční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2016"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týkal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změny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hodnot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indikátorů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SC 2.1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hodnoty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lépe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odpovídaly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alokaci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prostředků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změna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nebyla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vyjednána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Druhý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navazoval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doporučení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plnění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priorit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specifických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cílů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IROP I."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doporučoval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realokaci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prostředků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důvodu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nízkého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zájmu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oprávněných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žadatelů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zájem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realizaci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prostředků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později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zvýšil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Poslední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týkal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rozsáhlého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doporučení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optimalizaci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webových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stránek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IROP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spuštění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webového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fóra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vyvozen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informačních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propagačních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efektivity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komunikačních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ŘO IROP I."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odmítnut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náročnosti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rozvojových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požadavků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optimalizace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webu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).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přípravě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19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Pět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efektivity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komunikačních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ŘO IROP I.",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která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ukončena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již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roce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2018.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Jeden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týkající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doporučení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revizi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indikátorů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nastavení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indikátorové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soustavy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IROP,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prověření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intervenční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logiky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informačních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zdrojů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datové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báze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dokončené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začátkem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roku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2019. U 13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tedy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valné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většiny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)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jedná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nedávno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dokončené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PO2: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specifické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cíle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2.1, 2.2, 2.4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zaměřením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inkluzi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". </w:t>
            </w:r>
            <w: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stavu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kdy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odkazuje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čekání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přijetí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legislativy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která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umožní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zapracovat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doporučení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programové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dokumentace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2021-2027.</w:t>
            </w:r>
            <w:r w:rsidR="002D0AEE"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Zbytek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tedy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8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hlášeno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"v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realizaci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".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Celkově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lze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tedy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konstatovat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dominantní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část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doporučení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již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splněna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plní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nepatrné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procento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zrušeno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Úkoly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přípravě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týkají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především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nedávno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ukončené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PO2 IROP,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menší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míře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pak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komunikačních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:rsidR="00CF6BB5" w:rsidRDefault="00CF6BB5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9449EA">
      <w:pPr>
        <w:keepNext/>
        <w:keepLines/>
        <w:ind w:left="117" w:right="105"/>
        <w:jc w:val="both"/>
        <w:rPr>
          <w:rFonts w:ascii="Arial" w:eastAsia="Arial" w:hAnsi="Arial" w:cs="Arial"/>
          <w:b/>
          <w:bCs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Tabulka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2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Přehled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ukončených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</w:rPr>
        <w:t>evaluací</w:t>
      </w:r>
      <w:proofErr w:type="spellEnd"/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3402"/>
        <w:gridCol w:w="1559"/>
        <w:gridCol w:w="1374"/>
        <w:gridCol w:w="43"/>
        <w:gridCol w:w="1418"/>
        <w:gridCol w:w="1374"/>
        <w:gridCol w:w="43"/>
        <w:gridCol w:w="1560"/>
        <w:gridCol w:w="381"/>
        <w:gridCol w:w="1320"/>
      </w:tblGrid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Název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Stav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zahájení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ukončení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</w:t>
            </w:r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PO2: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specifické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2.1, 2.2, 2.4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inkluzi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ukončeno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01. 07. 2019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30. 06. 2020</w:t>
            </w:r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Předmět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popis</w:t>
            </w:r>
            <w:proofErr w:type="spellEnd"/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pro-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inkluzivních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PO2.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Předmětem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vybraná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vazbě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TC 9 a TC 10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Dohody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partnerství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Konkrétně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týkající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podnikání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školství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posílení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kvality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infrastruktury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Hlavní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zjištění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výsledky</w:t>
            </w:r>
            <w:proofErr w:type="spellEnd"/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Hlavním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posoudit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nakolik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investice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infrastruktury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vliv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začleňování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rozdělena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dílčích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zkoumaných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zahrnovaly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centra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podniky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předškolního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střední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vyšší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odborné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celoživotní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zájmové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neformální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mládeže</w:t>
            </w:r>
            <w:proofErr w:type="spellEnd"/>
            <w:r w:rsidR="002D0AEE"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cílily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zejména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ohrožené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například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zdravotně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postižené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seniory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samoživitelky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jednalo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primárně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učitele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personál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neposlední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rodiče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Společným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jmenovatelem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zkoumaných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inkluze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resp.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prevence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provedené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vyplývá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vliv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financovaných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měřitelný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závisí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mnoha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podmiňujících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faktorech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spíše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nepřímý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obvykle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potenciál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zlepšit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vytváří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Jelikož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zpravidla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investice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nákup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kauzální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vazba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začleněním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silná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Pozitivní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dopady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obvykle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výraznější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tam,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uceleného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koordinovaného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souboru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vůči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kombinace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standardních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doplněné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inovativní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pomocí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Evropského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fondu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zásadní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zkoumaných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Tento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potenciál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nebyl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lastRenderedPageBreak/>
              <w:t>Závěry</w:t>
            </w:r>
            <w:proofErr w:type="spellEnd"/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Doporučení</w:t>
            </w:r>
            <w:proofErr w:type="spellEnd"/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závěru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Hlavní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závěry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Typ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Závažnost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časovost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Identifikace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řešení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Komentář</w:t>
            </w:r>
            <w:proofErr w:type="spellEnd"/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velkému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časovému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momentu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začíná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plánovat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začne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Respondenti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setkávají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problémy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externího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charakteru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zvyšování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tudíž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nakoupit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materiál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naplánovanou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Technologie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naplánované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mnoha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rychle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tudíž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navrhované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neaktuálním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zastaralým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investují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mohlo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být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nahrazeno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modernějším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aktuálnějším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06.008.01.01.01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Urychlit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proces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žádostí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snížit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rozestup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například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stanovená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žádosti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neodpovídá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cenám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implementace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navržené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bývá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zastaralé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předpokladů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úspěšného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schopného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zkušeného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Kompetence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zkušenosti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ukazují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klíčové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vyhledání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dotačních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možností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zkušené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žádosti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snadnější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nežli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pracovníky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ředitele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Během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administrativa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zátěží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pracovní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agendě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žadatele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06.008.01.02.01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Zvážit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sítí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poradenských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kanceláří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pravděpodobnost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úspěchu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fázi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zvyšuje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zapojení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odborníků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zabývajících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žádostí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průběhu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implementace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díky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snižuje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administrativní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zátěž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včetně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rizika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vzniku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nesrovnalostí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neuznatelnosti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nákladů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kteří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mohou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soustředit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261: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omezené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množství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zacílit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tyto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nikoliv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nepočítá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proplácením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mzdových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nákladů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hradit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proveditelnosti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výběrových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nejdůležitější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hlediska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nedostatečných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žadatelů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předpokladů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úspěšného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schopného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zkušeného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projektového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Kompetence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zkušenosti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ukazují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klíčové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vyhledání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dotačních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možností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zkušené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manažery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žádosti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snadnější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nežli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pracovníky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ředitele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Během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administrativa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zátěží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pracovní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agendě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žadatele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06.008.01.02.02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Zvážit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zavedení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zjednodušených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metod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vykazování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zahrnout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náklady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způsobilých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výdajů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zjednodušení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pravidel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postupů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navázané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metodické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monitorovacího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systému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Úprava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metodického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prostředí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faktorů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ukázaly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klíčové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aktéry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nejčastěji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kraje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spočívá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jednorázové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krátkodobé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investiční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jejíž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přínosy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Kromě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komplementarity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OPZ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ukazuje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respektive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krajem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Kraje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klíčovým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garantem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provozu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ohrožena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06.008.01.03.01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aktéry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nejčastěji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krajem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naopak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poskytovatelem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spočívá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jednorázové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krátkodobé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investiční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jejíž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přínosy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návaznými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ideálně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provazbou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poskytnutí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.). IROP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hybatelem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změny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Toto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těsnějším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navázáním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strategické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dokumenty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koordinací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především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ESF.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komplementarity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správná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definice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být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dosaženo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podporovanými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existují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poměrně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velké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rozdíly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například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domova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značně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nacházejících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složité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životní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například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samoživitelky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Příkladem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být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Nejpočetnějšími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podporovanými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samoživitelky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aktuálně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špatné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Pomoc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každém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prospěšná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problémů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této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přispívají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Pokud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Zadavatele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závažnější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taková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účinkem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06.008.01.04.01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Upravit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parametry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došlo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pokrytí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několika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centra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předškolní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ukázalo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podmínkami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motivováni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náročných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když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zamýšlena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Toto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prostřednictvím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podmínek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bonifikací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zkrácením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vyhlášení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262: U soc.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rozhodnutí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určených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SPPŽP toto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nabídne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výjimky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Konkrétně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zvolené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neumožňují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jasně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nešťastné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chybějící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absenci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dosažen?ý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vypovídací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neefektivně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roztříštěn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??ý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několik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2021+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zařadit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měřící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kromě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počet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uživatelů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infrastruktury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výjimky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Konkrétně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zvolené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neumožňují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jasně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nešťastné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chybějící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úpravě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absenci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dosažen?ý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vypovídací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neefektivně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roztříštěn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??ý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několik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06.008.01.05.02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Upravit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jasně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informovaly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vzniklých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center  ?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nyní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sledován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55401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Počet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funkci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výstupového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donátor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mohl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Toto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zvláště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faktu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neexistuje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ani data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počtu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KC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České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republiky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Neméně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toto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zjištění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přesunu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KC pod oblast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263: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neexistenci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pevného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prakticky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neomezeného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pojetí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pojmu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nelze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stanovit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svazující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popisný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rámec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KC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stanovovat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je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velké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žadateli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stanovil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obhájel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proces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výpočtu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tomto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nelez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upravit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velká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ukončena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příští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N/R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centra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nebudou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podporována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).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výjimky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Konkrétně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zvolené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neumožňují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jasně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nešťastné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chybějící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absenci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dosažen?ý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vypovídací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neefektivně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roztříštěn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??ý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několik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06.008.01.05.03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Jednoznačně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specifikovat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zřejmé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co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měří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uměli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vyplnit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krátkodobý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263: ŘO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Metodických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listech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každé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podrobně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stanovuje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mechanismus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výpočtu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každého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neexistuje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fyzikální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expertní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ukotvení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jednotky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jistou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umožníme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popsat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vznik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dokumentaci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žádosti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výjimky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Konkrétně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zvolené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neumožňují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jasně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nešťastné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chybějící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absenci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dosažen?ý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vypovídací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neefektivně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roztříštěn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??ý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několik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06.008.01.05.04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Určit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například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pokud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společné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nereflektují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Zadavatele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lépe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zachycovat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důležité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Kromě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absolutní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doporučujeme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údaje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stavu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naplněnosti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výjimky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Konkrétně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zvolené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neumožňují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jasně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nešťastné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chybějící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absenci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dosažen?ý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vypovídací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neefektivně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roztříštěn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??ý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několik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06.008.01.05.05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Spolupracovat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zpracování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institucemi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sbírají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využívají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podobná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data,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s MŠMT.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předejít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duplikaci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efektivnější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výjimky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úkolů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Konkrétně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zvolené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neumožňují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jasně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nešťastné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chybějící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legislativní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absenci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sledování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Monitorování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obtížné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Indikátory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sledovat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dosažen?ý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vypovídací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hodnotu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Sběr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neefektivně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roztříštěn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??ý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několik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06.008.01.05.06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Využívat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sesbíraná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data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pravidelnému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pokroku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zpřístupnit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veřejnosti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zástupcům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vzdělávacích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jin?ch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institucí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zájemcům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odborné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veřejnosti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studentům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odborné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263: ŘO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zveřejňuje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infomace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prostřednictvím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Zpravodaje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jednorázových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Analýz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jednotlivýcm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tématům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pravidelných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factsheetech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Výměna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partnery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probíhá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case by case.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rozlišitelné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shodné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znamená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zvýhodnění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oproti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ostatním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soutěží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sebou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republiky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soutěží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republiky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nižší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obhajitelnost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06.008.01.06.01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Zúžit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rozsah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ITI/IPRÚ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odpovídal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strategicky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rozhodnout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omezení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druhů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stávajícím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rozlišitelné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shodné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znamená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zvýhodnění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oproti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ostatním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soutěží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sebou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republiky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soutěží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republiky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nižší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obhajitelnost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nástrojů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Pokud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udržovány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speciální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ze SVL,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b?ýt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zajištěno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slabších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poměrně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široké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definici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SVL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SO ORP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praxi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docházet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tomu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SVL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působící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SVL,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dokonce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mohou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zcela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opačnou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příjmovou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06.008.01.07.01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zúžit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SVL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nyní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úrovni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rozšířenou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působností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(ORP)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SVL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SVL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řešily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primárně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této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lokalitě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zúžit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rozsah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lépe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odpovídaly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potřebám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SVL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dosáhnout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většího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dopadu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tyto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lokality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Ukazuje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propojení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význam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hlediska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zvýšení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Vhodnými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centra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tomu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centra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nejčastěji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vznikají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malých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tam,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standardní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infrastruktura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odbor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kumulace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centru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účelná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centrum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fungovat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místo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včasného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zachycení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nepříznivé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přispívat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začleňování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předcházet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vyčlenění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společnosti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06.008.01.08.01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Lépe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propojit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doplňovaly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docházelo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úsporám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rozsahu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kombinovat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?SB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povinnost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zavést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centra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Zadavatel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nepředpokládá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IROP 2014?2020,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přesunuta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pod oblast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celoživotního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definována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cílem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vytvoření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vzdělávacích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vedoucí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inkluzi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Tento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přístup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inkluze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aktuálním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čistě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vztahu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zajišťovaném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akcentována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kontextu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Tento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přístup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vnímáme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rizikový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formulované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vazbě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střediska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volného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mládeže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tedy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primárně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využívána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dospívajícími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06.008.01.09.01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Definovat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2021-2027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celoživotního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upozorňujeme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pokud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dospělých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tuto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oddělit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neformálního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celoživotního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zajištěn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rozvoj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komunitních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center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?KC?).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mládeže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odpovídajícím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nástrojem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střediska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volného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věnují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dospělým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zanedbatelnou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261: KC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platit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nebudeme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vlivu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začleňování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uživatelů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KC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zvyšuje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předpokladu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odpovídá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potřebám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uživatelů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zařazené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KC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obvykle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poskytována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rozsahu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mohla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nepříznivé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komplexně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fungovat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místo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včasného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zachycení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poradna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kroky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06.008.01.10.01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KC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povinnost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poskytnutí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během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2014 ?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2020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povinen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poskytnutí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) ?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přestože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vzhledem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dotaci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KC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obvykle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schopny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zásadnější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efekty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začleňování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zařazení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alespoň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znamená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vyšší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lepší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pokrytí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zajištění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vzdálenějších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menších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261: KC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platit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nebudeme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prvních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účelově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zakládány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subjekty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(NNO),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neměly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tímto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typem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žádnou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zkušenost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Po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skončení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(5 let)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pravděpodobně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vlastněné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těmito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subjekty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ztraceny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Pokud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požadovat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spíše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delší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ubytování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CS za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stanovených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podmínek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a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nejméně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15-20 let,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vyhlašovaných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později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06.008.01.11.01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Požadovat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delší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skončení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ubytování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CS za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stanovených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podmínek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prvních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alespoň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15 - 20 let,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vyhlašovaných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později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Přestože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navýšením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lépe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daří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účel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zároveň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znamenat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snížení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zájmu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subjektů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neziskového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sektoru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06.008.01.12.01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upravit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motivováni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veřejného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neziskového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sektoru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rozdílná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jednotlivé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typy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náročnosti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ubytované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nediskriminace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261: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nutné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zachovávat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rovný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přístup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příjemcům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musí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stejné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Ukazuje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mezi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osobami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plošná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Pokud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ubytovávány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primárně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středně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závažné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problémy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spojené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nejčastější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samoživitelky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nemá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poskytnutí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zásadní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význam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pomoci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počátku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stabilizaci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Nabídka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poskytnutí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být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zachována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závažnější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problémy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spojené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06.008.01.13.01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povinnost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poskytnutí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nikoli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plošně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ale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závažnější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problémy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spojené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261: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podmínek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to,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definován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Nájemníci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motivováni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změně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zlepšení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finanční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nájemným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reflektuje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úroveň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příjmů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stabilizaci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bydlících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ať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hlediska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Pokud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domácnosti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vzrostou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povinna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opustit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to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titulu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nevyhovující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maximálního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). Proto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příliš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motivována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cokoli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měnit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hledat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více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kvalifikovanou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za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vyšší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odměnu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hledá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šedé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ekonomiky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povinných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odvodů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systémů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zdravotního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pojištění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bez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dopadů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přiznaný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disponibilní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budoucna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způsobit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problém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domácnosti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důvodu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nízkého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vyměřeného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důchodu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tedy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reflektovat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tyto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procesy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umožnit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postupné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navyšování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příjmů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domácnosti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provázené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postupným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navyšováním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nájmu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úroveň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tržního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06.008.01.14.01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fáze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bydlení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motivovány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změně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zlepšení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finanční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situace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během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udržitelnosti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setrvání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CS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daném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postupně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zpřísňovat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podmínky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setrvání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získává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kompetence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zvyšuje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Pozitivní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dopady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obvykle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výraznější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tam,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uceleného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koordinovaného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souboru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vůči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kombinace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standardních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opatření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služeb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doplněná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inovativní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cílovou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pomocí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výzev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Evropského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fondu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?ESF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zásadní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všech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zkoumaných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06.008.01.15.01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Zachovat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komplementaritu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ESF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ovšem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důrazem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koordinaci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financované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Zaměstnanost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?OPZ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doplňují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budovanou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IROP.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Zatímco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počátku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2014-2020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záměrem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rozšířit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infrastrukturu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předškolní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situace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současnosti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změnila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Od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2018/2019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povinné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místa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mateřských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škol?ách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začátkem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(do 31.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srpna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dosáhly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alespoň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3 let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místo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trvalého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pobytu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spádovém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obvodu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Dvouleté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přijetí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šance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přijetí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mnohem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nižší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protože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musejí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přednostně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přijímat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starší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Přestože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mladší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let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dotazníkového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šetření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jedna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cílov?ých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uvedené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57 %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(vs.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věku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3-6 let v 81 %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nakonec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kvůli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přednostnímu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přijímání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třílet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??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starších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nastoupilo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mnohem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méně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plánováno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06.008.01.16.01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Více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zvýšení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dostupnosti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infrastruktury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3 let,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právní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nárok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přijetí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předškolního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být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více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výstavbu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mladší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3 let;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být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kontrolováno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zajištěno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po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přijímány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mladší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3 let.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mnoha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tomu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IROP,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rozšířit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přijímání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mladších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3 let,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nakonec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rozšíření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dobírají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tříleté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starší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nikoli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mladší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záměrem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tomu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vybudovaných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školek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věku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3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více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let,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předtím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chodily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školek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vzdálenějších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06.008.01.17.01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rozšíření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infrastruktury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mladší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3 let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přispívaly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vyšší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míře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umisťování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těchto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předškolního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Příjemci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neuvědomují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komplementarity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zaměřených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komplementaritě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spíše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nedochází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přinejmenším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ne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cíleně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přestože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69 %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respondentů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uvedlo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čerpá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OP VVV.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praxi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provázané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řeší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odlišné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06.008.01.18.01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Komplementarita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doporučujeme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zvýšit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informovanost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způsobilost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výdajů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proškolení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vyučujících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zvýšit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ŘO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osobnostně-profesní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rozvoj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pedagogů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prostřednictvím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pedagogických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pracovníků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díky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komplementárním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ukázaly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slabších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rozdělit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zájmem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zájmové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kteří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dostatečné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finanční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zázemí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Když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těmto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žákům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doma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chybí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potřebné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počítač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mohou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benefitovat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vybavení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 ii)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nepodporují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vzdělávacích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rozvojových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některých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případech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kryjí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absenci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vyučování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druhé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skupiny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obvykle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nemají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zájem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výuku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prostřednictvím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nedochází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Respondenti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zmiňovali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začleňování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tohoto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typu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především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soustavnou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prostřednictvím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resp.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kombinací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asistenti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stejného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etnika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06.008.01.19.01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Navázat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tvrdé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měkkými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".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podporu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slabých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vyloučených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potřeba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tvrdé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kombinací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?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měkkým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např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zapojení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asistenta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stejného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etnika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edukace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Doporučujeme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zvážit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spolupráci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Ministerstvem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školství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mládeže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tělovýchovy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?MŠMT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dalšími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relevantními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resorty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spolupráce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ohledně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komplementarity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intervence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bylo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záměrem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podpořit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rozvoj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mladistvých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dospělých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klíčových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kompetencích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napomoci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jejich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lepšímu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uplatnění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trhu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Záměr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vychází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snahy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vhodně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doplnit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kompetence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získané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výuky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školách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lépe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propojit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sladit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nabídku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poptávku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regionálním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trhu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práce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vyrovnat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příležitosti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žáky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sociálně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slabých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znevýhodněných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rodin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nabídnout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kvalitní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možnosti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trávení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volného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času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ukazuje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některých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Výzkum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?OP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VVV?)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hrazené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činnosti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školství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studijních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materiálů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osnov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výuky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06.008.01.20.01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Evropských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strukturálních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investičních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fondů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?ESIF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?)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rámec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výuky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Z ESIF by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měly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financovat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pouze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rámec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běžných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osnov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výuky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co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skutečně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dělá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navíc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osnovy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případových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ukazuje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projektů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Výzkum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vývoj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4"/>
              </w:rPr>
              <w:t>jen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?OP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VVV?)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jsou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částečně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hrazené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základní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činnosti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školství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příprava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studijních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materiálů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osnov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výuky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apod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jiné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dlouhodobý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nerelevantní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(NR)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261: Z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neplatíme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vzdělávací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prostory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nich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musí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převažovat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využití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výzvou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marginálně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tam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mohou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normálně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učit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to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princip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proporcionality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který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v ESIF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masivně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uplatňován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noci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mimo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provoz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tam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můžou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dělat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obecně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co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chtějí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třeba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pořádat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večírek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nelze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zakázat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.</w:t>
            </w:r>
          </w:p>
        </w:tc>
      </w:tr>
    </w:tbl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3402"/>
        <w:gridCol w:w="1559"/>
        <w:gridCol w:w="1374"/>
        <w:gridCol w:w="43"/>
        <w:gridCol w:w="1418"/>
        <w:gridCol w:w="1374"/>
        <w:gridCol w:w="43"/>
        <w:gridCol w:w="1560"/>
        <w:gridCol w:w="381"/>
        <w:gridCol w:w="1320"/>
      </w:tblGrid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Název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Stav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zahájení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ukončení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06.010.01</w:t>
            </w:r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vlivu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regionálního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2021-2027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životní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prostředí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v 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realizaci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26. 08. 2019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31. 12. 2020</w:t>
            </w:r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lastRenderedPageBreak/>
              <w:t>Předmět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popis</w:t>
            </w:r>
            <w:proofErr w:type="spellEnd"/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Předmětem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vyhodnocení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vlivů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IROP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2021-2027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životní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veřejné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zdraví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zákona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č. 100/2001 Sb., 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posuzování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vlivů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životní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prostředí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pozdějších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předpisů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známé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jako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SEA (Strategic Environmental Assessment).</w:t>
            </w:r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Hlavní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zjištění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výsledky</w:t>
            </w:r>
            <w:proofErr w:type="spellEnd"/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Závěry</w:t>
            </w:r>
            <w:proofErr w:type="spellEnd"/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Doporučení</w:t>
            </w:r>
            <w:proofErr w:type="spellEnd"/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závěru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Hlavní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závěry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Typ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Závažnost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časovost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Identifikace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řešení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Komentář</w:t>
            </w:r>
            <w:proofErr w:type="spellEnd"/>
          </w:p>
        </w:tc>
      </w:tr>
    </w:tbl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3402"/>
        <w:gridCol w:w="1559"/>
        <w:gridCol w:w="1374"/>
        <w:gridCol w:w="43"/>
        <w:gridCol w:w="1418"/>
        <w:gridCol w:w="1374"/>
        <w:gridCol w:w="43"/>
        <w:gridCol w:w="1560"/>
        <w:gridCol w:w="381"/>
        <w:gridCol w:w="1320"/>
      </w:tblGrid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Název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Stav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zahájení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skutečného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ukončení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realizace</w:t>
            </w:r>
            <w:proofErr w:type="spellEnd"/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06.012.01</w:t>
            </w:r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Ex-ante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regionálního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2021-2027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v 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realizaci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20. 12. 2019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31. 12. 2020</w:t>
            </w:r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Předmět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etapy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popis</w:t>
            </w:r>
            <w:proofErr w:type="spellEnd"/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Účelem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ex-ante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evaluace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zajistit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kvalitní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nastavení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Integrovaného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regionálního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programu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programovém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2021-2027,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posoudit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jeho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účinnost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zamýšlené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výsledky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navrhnout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úpravy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tak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aby se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daný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operační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stal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silným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nástrojem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přispívající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plnění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cílů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České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republiky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Evropské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unie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politiky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soudržnosti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. </w:t>
            </w:r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Hlavní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zjištění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výsledky</w:t>
            </w:r>
            <w:proofErr w:type="spellEnd"/>
          </w:p>
        </w:tc>
      </w:tr>
      <w:tr w:rsidR="00CF6BB5">
        <w:tc>
          <w:tcPr>
            <w:tcW w:w="141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CF6BB5"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Závěry</w:t>
            </w:r>
            <w:proofErr w:type="spellEnd"/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6BB5" w:rsidRDefault="009449EA">
            <w:pPr>
              <w:keepNext/>
              <w:spacing w:before="120" w:after="120" w:line="312" w:lineRule="auto"/>
              <w:ind w:left="108" w:right="108"/>
              <w:jc w:val="center"/>
              <w:rPr>
                <w:rFonts w:ascii="Arial" w:eastAsia="Arial" w:hAnsi="Arial" w:cs="Arial"/>
                <w:b/>
                <w:bCs/>
                <w:color w:val="2E74B5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E74B5"/>
                <w:sz w:val="14"/>
              </w:rPr>
              <w:t>Doporučení</w:t>
            </w:r>
            <w:proofErr w:type="spellEnd"/>
          </w:p>
        </w:tc>
      </w:tr>
      <w:tr w:rsidR="00CF6BB5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závěru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Hlavní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závěry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Kód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Typ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Závažnost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časovost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Identifikace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doporučení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 xml:space="preserve"> k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řešení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ind w:left="108" w:right="108"/>
              <w:jc w:val="both"/>
              <w:rPr>
                <w:rFonts w:ascii="Arial" w:eastAsia="Arial" w:hAnsi="Arial" w:cs="Arial"/>
                <w:b/>
                <w:bCs/>
                <w:color w:val="000000"/>
                <w:sz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4"/>
              </w:rPr>
              <w:t>Komentář</w:t>
            </w:r>
            <w:proofErr w:type="spellEnd"/>
          </w:p>
        </w:tc>
      </w:tr>
    </w:tbl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p w:rsidR="00CF6BB5" w:rsidRDefault="009449EA">
      <w:pPr>
        <w:keepNext/>
        <w:keepLines/>
        <w:spacing w:before="480" w:after="240"/>
        <w:ind w:left="117" w:right="105"/>
        <w:rPr>
          <w:rFonts w:ascii="Arial" w:eastAsia="Arial" w:hAnsi="Arial" w:cs="Arial"/>
          <w:b/>
          <w:bCs/>
          <w:color w:val="2E74B5"/>
          <w:sz w:val="36"/>
        </w:rPr>
      </w:pPr>
      <w:bookmarkStart w:id="3" w:name="_Toc13037824"/>
      <w:r>
        <w:rPr>
          <w:rFonts w:ascii="Arial" w:eastAsia="Arial" w:hAnsi="Arial" w:cs="Arial"/>
          <w:b/>
          <w:bCs/>
          <w:color w:val="2E74B5"/>
          <w:sz w:val="36"/>
        </w:rPr>
        <w:lastRenderedPageBreak/>
        <w:t xml:space="preserve">3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Posílení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rozvoj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evaluační</w:t>
      </w:r>
      <w:proofErr w:type="spellEnd"/>
      <w:r>
        <w:rPr>
          <w:rFonts w:ascii="Arial" w:eastAsia="Arial" w:hAnsi="Arial" w:cs="Arial"/>
          <w:b/>
          <w:bCs/>
          <w:color w:val="2E74B5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kapacity</w:t>
      </w:r>
      <w:bookmarkEnd w:id="3"/>
      <w:proofErr w:type="spellEnd"/>
    </w:p>
    <w:p w:rsidR="00CF6BB5" w:rsidRPr="002D0AEE" w:rsidRDefault="00CF6BB5">
      <w:pPr>
        <w:keepNext/>
        <w:keepLines/>
        <w:ind w:left="117" w:right="105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2"/>
      </w:tblGrid>
      <w:tr w:rsidR="00CF6BB5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9449EA">
            <w:pPr>
              <w:keepNext/>
              <w:keepLines/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Během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hodnoceného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období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nedošlo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EJ ŘO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 xml:space="preserve">IROP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personálním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změnám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Kapacita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EJ ŘO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tedy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zůstala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stabilně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 FTE. </w:t>
            </w:r>
            <w:bookmarkStart w:id="4" w:name="_GoBack"/>
            <w:bookmarkEnd w:id="4"/>
            <w:r>
              <w:rPr>
                <w:rFonts w:ascii="Arial" w:eastAsia="Arial" w:hAnsi="Arial" w:cs="Arial"/>
                <w:color w:val="000000"/>
                <w:sz w:val="20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rámci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zaměřených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zvýšení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kapacity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odborný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rozvoj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členové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EJ ŘO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absolvovali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několik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školení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přelomu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let 2019/2020,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které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věnovaly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problematice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projektového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analýzy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řízení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rizik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pokročilejším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metodám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především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kontrafaktuálním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metodám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)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základům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dotazníkového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šetření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evaluacích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Členové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EJ ŘO IROP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zapojili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také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aktivit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České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společnosti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zvyšování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kvalifikace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úzce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souvisejícímu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zvyšování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evaluačních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kapacit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aktivity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EJ ŘO IROP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ovlivnila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probíhající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pandemie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Cov-19,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kdy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zrušena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část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dalších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kursů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akce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typu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každoroční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konference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České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evaluační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společnosti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Významnější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roli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tedy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mělo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vzdělávání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formou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samostudia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využitím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odborné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literatury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:rsidR="00CF6BB5" w:rsidRDefault="00CF6BB5">
            <w:pPr>
              <w:keepNext/>
              <w:keepLines/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CF6BB5" w:rsidRDefault="009449EA">
      <w:pPr>
        <w:spacing w:before="480" w:after="240"/>
        <w:ind w:left="117" w:right="105"/>
        <w:rPr>
          <w:rFonts w:ascii="Arial" w:eastAsia="Arial" w:hAnsi="Arial" w:cs="Arial"/>
          <w:b/>
          <w:bCs/>
          <w:color w:val="2E74B5"/>
          <w:sz w:val="36"/>
        </w:rPr>
      </w:pPr>
      <w:bookmarkStart w:id="5" w:name="_Toc13037825"/>
      <w:r>
        <w:rPr>
          <w:rFonts w:ascii="Arial" w:eastAsia="Arial" w:hAnsi="Arial" w:cs="Arial"/>
          <w:b/>
          <w:bCs/>
          <w:color w:val="2E74B5"/>
          <w:sz w:val="36"/>
        </w:rPr>
        <w:t xml:space="preserve">4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Různé</w:t>
      </w:r>
      <w:bookmarkEnd w:id="5"/>
      <w:proofErr w:type="spellEnd"/>
    </w:p>
    <w:p w:rsidR="00CF6BB5" w:rsidRDefault="00CF6BB5">
      <w:pPr>
        <w:ind w:left="117" w:right="105"/>
        <w:jc w:val="both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2"/>
      </w:tblGrid>
      <w:tr w:rsidR="00CF6BB5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BB5" w:rsidRDefault="00CF6BB5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CF6BB5" w:rsidRDefault="00CF6BB5">
            <w:pPr>
              <w:ind w:left="108" w:right="10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CF6BB5" w:rsidRDefault="00CF6BB5">
      <w:pPr>
        <w:spacing w:line="276" w:lineRule="auto"/>
        <w:ind w:left="117" w:right="105"/>
        <w:rPr>
          <w:rFonts w:ascii="Calibri" w:eastAsia="Calibri" w:hAnsi="Calibri" w:cs="Calibri"/>
          <w:color w:val="000000"/>
        </w:rPr>
      </w:pPr>
    </w:p>
    <w:p w:rsidR="002D0AEE" w:rsidRDefault="009449EA" w:rsidP="002D0AEE">
      <w:pPr>
        <w:spacing w:before="480"/>
        <w:ind w:left="117" w:right="105"/>
        <w:rPr>
          <w:rFonts w:ascii="Arial" w:eastAsia="Arial" w:hAnsi="Arial" w:cs="Arial"/>
          <w:b/>
          <w:bCs/>
          <w:color w:val="2E74B5"/>
          <w:sz w:val="36"/>
        </w:rPr>
      </w:pPr>
      <w:bookmarkStart w:id="6" w:name="_Toc13037826"/>
      <w:r>
        <w:rPr>
          <w:rFonts w:ascii="Arial" w:eastAsia="Arial" w:hAnsi="Arial" w:cs="Arial"/>
          <w:b/>
          <w:bCs/>
          <w:color w:val="2E74B5"/>
          <w:sz w:val="36"/>
        </w:rPr>
        <w:t xml:space="preserve">5 </w:t>
      </w:r>
      <w:proofErr w:type="spellStart"/>
      <w:r>
        <w:rPr>
          <w:rFonts w:ascii="Arial" w:eastAsia="Arial" w:hAnsi="Arial" w:cs="Arial"/>
          <w:b/>
          <w:bCs/>
          <w:color w:val="2E74B5"/>
          <w:sz w:val="36"/>
        </w:rPr>
        <w:t>Přílohy</w:t>
      </w:r>
      <w:bookmarkEnd w:id="6"/>
      <w:proofErr w:type="spellEnd"/>
    </w:p>
    <w:p w:rsidR="002D0AEE" w:rsidRPr="002D0AEE" w:rsidRDefault="002D0AEE" w:rsidP="002D0AEE">
      <w:pPr>
        <w:spacing w:before="480" w:after="240"/>
        <w:ind w:left="117" w:right="105"/>
        <w:rPr>
          <w:rFonts w:ascii="Arial" w:eastAsia="Arial" w:hAnsi="Arial" w:cs="Arial"/>
        </w:rPr>
      </w:pPr>
      <w:proofErr w:type="spellStart"/>
      <w:r w:rsidRPr="002D0AEE">
        <w:rPr>
          <w:rFonts w:ascii="Arial" w:eastAsia="Arial" w:hAnsi="Arial" w:cs="Arial"/>
        </w:rPr>
        <w:t>Příloha</w:t>
      </w:r>
      <w:proofErr w:type="spellEnd"/>
      <w:r w:rsidRPr="002D0AEE">
        <w:rPr>
          <w:rFonts w:ascii="Arial" w:eastAsia="Arial" w:hAnsi="Arial" w:cs="Arial"/>
        </w:rPr>
        <w:t xml:space="preserve"> č. 1 – </w:t>
      </w:r>
      <w:proofErr w:type="spellStart"/>
      <w:r w:rsidRPr="002D0AEE">
        <w:rPr>
          <w:rFonts w:ascii="Arial" w:eastAsia="Arial" w:hAnsi="Arial" w:cs="Arial"/>
        </w:rPr>
        <w:t>Přehled</w:t>
      </w:r>
      <w:proofErr w:type="spellEnd"/>
      <w:r w:rsidRPr="002D0AEE">
        <w:rPr>
          <w:rFonts w:ascii="Arial" w:eastAsia="Arial" w:hAnsi="Arial" w:cs="Arial"/>
        </w:rPr>
        <w:t xml:space="preserve"> </w:t>
      </w:r>
      <w:proofErr w:type="spellStart"/>
      <w:r w:rsidRPr="002D0AEE">
        <w:rPr>
          <w:rFonts w:ascii="Arial" w:eastAsia="Arial" w:hAnsi="Arial" w:cs="Arial"/>
        </w:rPr>
        <w:t>doporučení</w:t>
      </w:r>
      <w:proofErr w:type="spellEnd"/>
      <w:r w:rsidRPr="002D0AEE">
        <w:rPr>
          <w:rFonts w:ascii="Arial" w:eastAsia="Arial" w:hAnsi="Arial" w:cs="Arial"/>
        </w:rPr>
        <w:t xml:space="preserve"> z </w:t>
      </w:r>
      <w:proofErr w:type="spellStart"/>
      <w:r w:rsidRPr="002D0AEE">
        <w:rPr>
          <w:rFonts w:ascii="Arial" w:eastAsia="Arial" w:hAnsi="Arial" w:cs="Arial"/>
        </w:rPr>
        <w:t>evaluací</w:t>
      </w:r>
      <w:proofErr w:type="spellEnd"/>
    </w:p>
    <w:p w:rsidR="00CF6BB5" w:rsidRDefault="00CF6BB5">
      <w:pPr>
        <w:spacing w:after="200" w:line="276" w:lineRule="auto"/>
        <w:ind w:left="117" w:right="105"/>
        <w:rPr>
          <w:rFonts w:ascii="Calibri" w:eastAsia="Calibri" w:hAnsi="Calibri" w:cs="Calibri"/>
          <w:color w:val="000000"/>
        </w:rPr>
      </w:pPr>
    </w:p>
    <w:p w:rsidR="00CF6BB5" w:rsidRDefault="00CF6BB5">
      <w:pPr>
        <w:spacing w:after="200" w:line="276" w:lineRule="auto"/>
        <w:ind w:left="117" w:right="105"/>
        <w:rPr>
          <w:rFonts w:ascii="Calibri" w:eastAsia="Calibri" w:hAnsi="Calibri" w:cs="Calibri"/>
          <w:color w:val="000000"/>
        </w:rPr>
      </w:pPr>
      <w:bookmarkStart w:id="7" w:name="page_total_master0"/>
      <w:bookmarkStart w:id="8" w:name="page_total"/>
      <w:bookmarkEnd w:id="7"/>
      <w:bookmarkEnd w:id="8"/>
    </w:p>
    <w:sectPr w:rsidR="00CF6BB5">
      <w:footerReference w:type="default" r:id="rId7"/>
      <w:pgSz w:w="16820" w:h="11900" w:orient="landscape"/>
      <w:pgMar w:top="1400" w:right="980" w:bottom="1400" w:left="130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EA" w:rsidRDefault="009449EA">
      <w:r>
        <w:separator/>
      </w:r>
    </w:p>
  </w:endnote>
  <w:endnote w:type="continuationSeparator" w:id="0">
    <w:p w:rsidR="009449EA" w:rsidRDefault="009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BB5" w:rsidRDefault="009449EA">
    <w:pPr>
      <w:tabs>
        <w:tab w:val="center" w:pos="4644"/>
        <w:tab w:val="right" w:pos="9180"/>
      </w:tabs>
      <w:ind w:left="117" w:right="105"/>
      <w:jc w:val="center"/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 xml:space="preserve"> PAGE   \* MERGEFORMAT 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EA" w:rsidRDefault="009449EA">
      <w:r>
        <w:separator/>
      </w:r>
    </w:p>
  </w:footnote>
  <w:footnote w:type="continuationSeparator" w:id="0">
    <w:p w:rsidR="009449EA" w:rsidRDefault="0094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BB5"/>
    <w:rsid w:val="002D0AEE"/>
    <w:rsid w:val="009449EA"/>
    <w:rsid w:val="00CF6BB5"/>
    <w:rsid w:val="00D7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89C"/>
  <w15:docId w15:val="{9526B8C3-E60E-451E-B25F-6FE7027A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5B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AC52-9795-4379-8B8B-7303142B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5645</Words>
  <Characters>33309</Characters>
  <Application>Microsoft Office Word</Application>
  <DocSecurity>0</DocSecurity>
  <Lines>277</Lines>
  <Paragraphs>77</Paragraphs>
  <ScaleCrop>false</ScaleCrop>
  <Company>Oracle USA</Company>
  <LinksUpToDate>false</LinksUpToDate>
  <CharactersWithSpaces>38877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User</dc:creator>
  <cp:keywords/>
  <dc:description>Generated by Oracle BI Publisher 12.2.1.4.0</dc:description>
  <cp:lastModifiedBy>Kreplová Eva</cp:lastModifiedBy>
  <cp:revision>4</cp:revision>
  <dcterms:created xsi:type="dcterms:W3CDTF">2013-02-11T20:57:00Z</dcterms:created>
  <dcterms:modified xsi:type="dcterms:W3CDTF">2020-10-02T09:24:00Z</dcterms:modified>
</cp:coreProperties>
</file>