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6A99046" w14:textId="0E59318E" w:rsidR="002479EC" w:rsidRPr="00FA29D0" w:rsidRDefault="002479EC" w:rsidP="002479EC">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2109EA7" w14:textId="40BE2189" w:rsidR="002479EC" w:rsidRDefault="002479EC" w:rsidP="002479EC">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72A3429C" w14:textId="5919674D" w:rsidR="002479EC" w:rsidRDefault="002479EC" w:rsidP="002479EC">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9F7EAC3" w14:textId="70011E71" w:rsidR="00E71619" w:rsidRPr="001E1A0D" w:rsidRDefault="00E71619" w:rsidP="002479EC">
      <w:pPr>
        <w:pStyle w:val="Zkladnodstavec"/>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E918E3">
        <w:rPr>
          <w:rFonts w:ascii="Arial" w:eastAsia="Calibri" w:hAnsi="Arial" w:cs="Arial"/>
          <w:caps/>
          <w:color w:val="7F7F7F"/>
          <w:sz w:val="32"/>
          <w:szCs w:val="32"/>
          <w:lang w:eastAsia="en-US"/>
        </w:rPr>
        <w:t xml:space="preserve"> </w:t>
      </w:r>
      <w:r w:rsidR="007876C3">
        <w:rPr>
          <w:rFonts w:ascii="Arial" w:eastAsia="Calibri" w:hAnsi="Arial" w:cs="Arial"/>
          <w:caps/>
          <w:color w:val="7F7F7F"/>
          <w:sz w:val="32"/>
          <w:szCs w:val="32"/>
          <w:lang w:eastAsia="en-US"/>
        </w:rPr>
        <w:t>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040C69B9" w14:textId="389F1766" w:rsidR="00826EB7" w:rsidRDefault="008C7931" w:rsidP="00E57576">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 xml:space="preserve">Modernizace nezahrnuje energetickou inovaci ani údržbu </w:t>
      </w:r>
    </w:p>
    <w:p w14:paraId="4217C147" w14:textId="1402B741" w:rsidR="007876C3" w:rsidRDefault="00826EB7" w:rsidP="007876C3">
      <w:pPr>
        <w:spacing w:after="200" w:line="276" w:lineRule="auto"/>
        <w:jc w:val="both"/>
        <w:rPr>
          <w:rFonts w:ascii="Arial" w:hAnsi="Arial" w:cs="Arial"/>
          <w:sz w:val="22"/>
          <w:szCs w:val="22"/>
        </w:rPr>
      </w:pPr>
      <w:r>
        <w:rPr>
          <w:rFonts w:ascii="Arial" w:hAnsi="Arial" w:cs="Arial"/>
          <w:noProof/>
          <w:sz w:val="22"/>
          <w:szCs w:val="22"/>
        </w:rPr>
        <mc:AlternateContent>
          <mc:Choice Requires="wps">
            <w:drawing>
              <wp:inline distT="0" distB="0" distL="0" distR="0" wp14:anchorId="262FEAA0" wp14:editId="617CD005">
                <wp:extent cx="5800725" cy="1724025"/>
                <wp:effectExtent l="0" t="0" r="28575" b="28575"/>
                <wp:docPr id="252734100" name="Textové pole 1"/>
                <wp:cNvGraphicFramePr/>
                <a:graphic xmlns:a="http://schemas.openxmlformats.org/drawingml/2006/main">
                  <a:graphicData uri="http://schemas.microsoft.com/office/word/2010/wordprocessingShape">
                    <wps:wsp>
                      <wps:cNvSpPr txBox="1"/>
                      <wps:spPr>
                        <a:xfrm>
                          <a:off x="0" y="0"/>
                          <a:ext cx="5800725" cy="1724025"/>
                        </a:xfrm>
                        <a:prstGeom prst="rect">
                          <a:avLst/>
                        </a:prstGeom>
                        <a:solidFill>
                          <a:schemeClr val="lt1"/>
                        </a:solidFill>
                        <a:ln w="6350">
                          <a:solidFill>
                            <a:prstClr val="black"/>
                          </a:solidFill>
                        </a:ln>
                      </wps:spPr>
                      <wps:txbx>
                        <w:txbxContent>
                          <w:p w14:paraId="2F3AD7D8" w14:textId="77777777" w:rsidR="00826EB7" w:rsidRPr="00E57576" w:rsidRDefault="00826EB7" w:rsidP="00E57576">
                            <w:pPr>
                              <w:spacing w:before="240"/>
                              <w:rPr>
                                <w:rFonts w:ascii="Arial" w:hAnsi="Arial" w:cs="Arial"/>
                                <w:b/>
                                <w:bCs/>
                              </w:rPr>
                            </w:pPr>
                            <w:r w:rsidRPr="00E57576">
                              <w:rPr>
                                <w:rFonts w:ascii="Arial" w:hAnsi="Arial" w:cs="Arial"/>
                                <w:b/>
                                <w:bCs/>
                              </w:rPr>
                              <w:t>UPOZORNĚNÍ</w:t>
                            </w:r>
                          </w:p>
                          <w:p w14:paraId="7F773C00" w14:textId="77777777" w:rsidR="00826EB7" w:rsidRPr="00E57576" w:rsidRDefault="00826EB7" w:rsidP="00826EB7">
                            <w:pPr>
                              <w:rPr>
                                <w:rFonts w:ascii="Arial" w:hAnsi="Arial" w:cs="Arial"/>
                              </w:rPr>
                            </w:pPr>
                          </w:p>
                          <w:p w14:paraId="230379B9" w14:textId="1C45D798" w:rsidR="00826EB7" w:rsidRPr="00E57576" w:rsidRDefault="00826EB7" w:rsidP="00E57576">
                            <w:pPr>
                              <w:jc w:val="both"/>
                              <w:rPr>
                                <w:rFonts w:ascii="Arial" w:hAnsi="Arial" w:cs="Arial"/>
                                <w:sz w:val="22"/>
                                <w:szCs w:val="22"/>
                              </w:rPr>
                            </w:pPr>
                            <w:r w:rsidRPr="00E57576">
                              <w:rPr>
                                <w:rFonts w:ascii="Arial" w:hAnsi="Arial" w:cs="Arial"/>
                                <w:sz w:val="22"/>
                                <w:szCs w:val="22"/>
                              </w:rPr>
                              <w:t>Pro účely této výzvy je zdravotnickým zařízením myšlen každý žadatel splňující definici oprávněného žadatele. V rámci zdravotnického zařízení se pak jedná o urgentní příjem poskytovatele lůžkové péče uvedeného ve standardizované síti urgentních příjmů. Pokud je projekt předkládán ve prospěch více poskytovatelů (nemocnic), je nutné do Studie proveditelnosti uvést kapacitu za každou nemocnici zvlášť. Následně tyto kapacity sečíst a uvést jako cílovou hodnotu tohoto indikátoru.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du="http://schemas.microsoft.com/office/word/2023/wordml/word16du">
            <w:pict>
              <v:shapetype w14:anchorId="262FEAA0" id="_x0000_t202" coordsize="21600,21600" o:spt="202" path="m,l,21600r21600,l21600,xe">
                <v:stroke joinstyle="miter"/>
                <v:path gradientshapeok="t" o:connecttype="rect"/>
              </v:shapetype>
              <v:shape id="Textové pole 1" o:spid="_x0000_s1026" type="#_x0000_t202" style="width:456.75pt;height:13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" fillcolor="white [3201]" strokeweight=".5pt">
                <v:textbox>
                  <w:txbxContent>
                    <w:p w14:paraId="2F3AD7D8" w14:textId="77777777" w:rsidR="00826EB7" w:rsidRPr="00E57576" w:rsidRDefault="00826EB7" w:rsidP="00E57576">
                      <w:pPr>
                        <w:spacing w:before="240"/>
                        <w:rPr>
                          <w:rFonts w:ascii="Arial" w:hAnsi="Arial" w:cs="Arial"/>
                          <w:b/>
                          <w:bCs/>
                        </w:rPr>
                      </w:pPr>
                      <w:r w:rsidRPr="00E57576">
                        <w:rPr>
                          <w:rFonts w:ascii="Arial" w:hAnsi="Arial" w:cs="Arial"/>
                          <w:b/>
                          <w:bCs/>
                        </w:rPr>
                        <w:t>UPOZORNĚNÍ</w:t>
                      </w:r>
                    </w:p>
                    <w:p w14:paraId="7F773C00" w14:textId="77777777" w:rsidR="00826EB7" w:rsidRPr="00E57576" w:rsidRDefault="00826EB7" w:rsidP="00826EB7">
                      <w:pPr>
                        <w:rPr>
                          <w:rFonts w:ascii="Arial" w:hAnsi="Arial" w:cs="Arial"/>
                        </w:rPr>
                      </w:pPr>
                    </w:p>
                    <w:p w14:paraId="230379B9" w14:textId="1C45D798" w:rsidR="00826EB7" w:rsidRPr="00E57576" w:rsidRDefault="00826EB7" w:rsidP="00E57576">
                      <w:pPr>
                        <w:jc w:val="both"/>
                        <w:rPr>
                          <w:rFonts w:ascii="Arial" w:hAnsi="Arial" w:cs="Arial"/>
                          <w:sz w:val="22"/>
                          <w:szCs w:val="22"/>
                        </w:rPr>
                      </w:pPr>
                      <w:r w:rsidRPr="00E57576">
                        <w:rPr>
                          <w:rFonts w:ascii="Arial" w:hAnsi="Arial" w:cs="Arial"/>
                          <w:sz w:val="22"/>
                          <w:szCs w:val="22"/>
                        </w:rPr>
                        <w:t>Pro účely této výzvy je zdravotnickým zařízením myšlen každý žadatel splňující definici oprávněného žadatele. V rámci zdravotnického zařízení se pak jedná o urgentní příjem poskytovatele lůžkové péče uvedeného ve standardizované síti urgentních příjmů. Pokud je projekt předkládán ve prospěch více poskytovatelů (nemocnic), je nutné do Studie proveditelnosti uvést kapacitu za každou nemocnici zvlášť. Následně tyto kapacity sečíst a uvést jako cílovou hodnotu tohoto indikátoru.</w:t>
                      </w:r>
                    </w:p>
                  </w:txbxContent>
                </v:textbox>
                <w10:anchorlock/>
              </v:shape>
            </w:pict>
          </mc:Fallback>
        </mc:AlternateConten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18008EBA"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nemocnice, kliniky, centra, oddělení </w:t>
      </w:r>
      <w:r w:rsidR="00C81EAA">
        <w:rPr>
          <w:rFonts w:ascii="Arial" w:hAnsi="Arial" w:cs="Arial"/>
          <w:sz w:val="22"/>
          <w:szCs w:val="22"/>
        </w:rPr>
        <w:t xml:space="preserve">apod. </w:t>
      </w:r>
      <w:r w:rsidR="004E2951" w:rsidRPr="004E2951">
        <w:rPr>
          <w:rFonts w:ascii="Arial" w:hAnsi="Arial" w:cs="Arial"/>
          <w:sz w:val="22"/>
          <w:szCs w:val="22"/>
        </w:rPr>
        <w:t>či jejich částí</w:t>
      </w:r>
      <w:r w:rsidR="008071B5">
        <w:rPr>
          <w:rFonts w:ascii="Arial" w:hAnsi="Arial" w:cs="Arial"/>
          <w:sz w:val="22"/>
          <w:szCs w:val="22"/>
        </w:rPr>
        <w:t xml:space="preserve">, a to v podporovaných </w:t>
      </w:r>
      <w:r w:rsidR="0069025B">
        <w:rPr>
          <w:rFonts w:ascii="Arial" w:hAnsi="Arial" w:cs="Arial"/>
          <w:sz w:val="22"/>
          <w:szCs w:val="22"/>
        </w:rPr>
        <w:t xml:space="preserve">formách či </w:t>
      </w:r>
      <w:r w:rsidR="008071B5">
        <w:rPr>
          <w:rFonts w:ascii="Arial" w:hAnsi="Arial" w:cs="Arial"/>
          <w:sz w:val="22"/>
          <w:szCs w:val="22"/>
        </w:rPr>
        <w:t>oborech zdravotní péče</w:t>
      </w:r>
      <w:r w:rsidR="0069025B">
        <w:rPr>
          <w:rStyle w:val="Znakapoznpodarou"/>
          <w:rFonts w:ascii="Arial" w:hAnsi="Arial" w:cs="Arial"/>
          <w:sz w:val="22"/>
          <w:szCs w:val="22"/>
        </w:rPr>
        <w:footnoteReference w:id="2"/>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6AF003FD"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 xml:space="preserve">projektem podpořená </w:t>
      </w:r>
      <w:r w:rsidR="0069025B" w:rsidRPr="00346FE1">
        <w:rPr>
          <w:rFonts w:ascii="Arial" w:hAnsi="Arial" w:cs="Arial"/>
          <w:sz w:val="22"/>
          <w:szCs w:val="22"/>
        </w:rPr>
        <w:t>pracoviště</w:t>
      </w:r>
      <w:r w:rsidR="00B91BFA" w:rsidRPr="00346FE1">
        <w:rPr>
          <w:rFonts w:ascii="Arial" w:hAnsi="Arial" w:cs="Arial"/>
          <w:sz w:val="22"/>
          <w:szCs w:val="22"/>
        </w:rPr>
        <w:t xml:space="preserve"> v </w:t>
      </w:r>
      <w:r w:rsidR="00E2550E" w:rsidRPr="00346FE1">
        <w:rPr>
          <w:rFonts w:ascii="Arial" w:hAnsi="Arial" w:cs="Arial"/>
          <w:sz w:val="22"/>
          <w:szCs w:val="22"/>
        </w:rPr>
        <w:t>podporovan</w:t>
      </w:r>
      <w:r w:rsidR="00B91BFA" w:rsidRPr="00346FE1">
        <w:rPr>
          <w:rFonts w:ascii="Arial" w:hAnsi="Arial" w:cs="Arial"/>
          <w:sz w:val="22"/>
          <w:szCs w:val="22"/>
        </w:rPr>
        <w:t xml:space="preserve">ých </w:t>
      </w:r>
      <w:r w:rsidR="0069025B" w:rsidRPr="00346FE1">
        <w:rPr>
          <w:rFonts w:ascii="Arial" w:hAnsi="Arial" w:cs="Arial"/>
          <w:sz w:val="22"/>
          <w:szCs w:val="22"/>
        </w:rPr>
        <w:t xml:space="preserve">formách či </w:t>
      </w:r>
      <w:r w:rsidR="00B91BFA" w:rsidRPr="00346FE1">
        <w:rPr>
          <w:rFonts w:ascii="Arial" w:hAnsi="Arial" w:cs="Arial"/>
          <w:sz w:val="22"/>
          <w:szCs w:val="22"/>
        </w:rPr>
        <w:t>oborech péče</w:t>
      </w:r>
      <w:r w:rsidR="0069025B" w:rsidRPr="00346FE1">
        <w:rPr>
          <w:rStyle w:val="Znakapoznpodarou"/>
          <w:rFonts w:ascii="Arial" w:hAnsi="Arial" w:cs="Arial"/>
          <w:sz w:val="22"/>
          <w:szCs w:val="22"/>
        </w:rPr>
        <w:footnoteReference w:id="3"/>
      </w:r>
      <w:r w:rsidR="00B91BFA" w:rsidRPr="00346FE1">
        <w:rPr>
          <w:rFonts w:ascii="Arial" w:hAnsi="Arial" w:cs="Arial"/>
          <w:sz w:val="22"/>
          <w:szCs w:val="22"/>
        </w:rPr>
        <w:t xml:space="preserve">. </w:t>
      </w:r>
      <w:r w:rsidR="00E2550E">
        <w:rPr>
          <w:rFonts w:ascii="Arial" w:hAnsi="Arial" w:cs="Arial"/>
          <w:sz w:val="22"/>
          <w:szCs w:val="22"/>
        </w:rPr>
        <w:t xml:space="preserve"> </w:t>
      </w:r>
    </w:p>
    <w:p w14:paraId="16809A47" w14:textId="50529EC7" w:rsidR="008B0299" w:rsidRPr="00A05961" w:rsidRDefault="00703A0E" w:rsidP="00A05961">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4"/>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008B0299" w:rsidRPr="00A05961">
        <w:rPr>
          <w:rFonts w:ascii="Arial" w:hAnsi="Arial" w:cs="Arial"/>
          <w:sz w:val="22"/>
          <w:szCs w:val="22"/>
        </w:rPr>
        <w:t xml:space="preserve">. Hodnoty </w:t>
      </w:r>
      <w:r w:rsidR="008B0299" w:rsidRPr="00A05961">
        <w:rPr>
          <w:rFonts w:ascii="Arial" w:hAnsi="Arial" w:cs="Arial"/>
          <w:sz w:val="22"/>
          <w:szCs w:val="22"/>
        </w:rPr>
        <w:lastRenderedPageBreak/>
        <w:t>indikátoru jsou vždy vztahovány na celý urgentní příjem</w:t>
      </w:r>
      <w:r w:rsidR="002E35F2">
        <w:rPr>
          <w:rFonts w:ascii="Arial" w:hAnsi="Arial" w:cs="Arial"/>
          <w:sz w:val="22"/>
          <w:szCs w:val="22"/>
        </w:rPr>
        <w:t xml:space="preserve"> a </w:t>
      </w:r>
      <w:r w:rsidR="008B0299">
        <w:rPr>
          <w:rFonts w:ascii="Arial" w:hAnsi="Arial" w:cs="Arial"/>
          <w:sz w:val="22"/>
          <w:szCs w:val="22"/>
        </w:rPr>
        <w:t>jsou vykazovány jako prost</w:t>
      </w:r>
      <w:r w:rsidR="009B6364">
        <w:rPr>
          <w:rFonts w:ascii="Arial" w:hAnsi="Arial" w:cs="Arial"/>
          <w:sz w:val="22"/>
          <w:szCs w:val="22"/>
        </w:rPr>
        <w:t xml:space="preserve">á </w:t>
      </w:r>
      <w:r w:rsidR="008B0299" w:rsidRPr="00A05961">
        <w:rPr>
          <w:rFonts w:ascii="Arial" w:hAnsi="Arial" w:cs="Arial"/>
          <w:sz w:val="22"/>
          <w:szCs w:val="22"/>
        </w:rPr>
        <w:t>nominální</w:t>
      </w:r>
      <w:r w:rsidR="009B6364">
        <w:rPr>
          <w:rFonts w:ascii="Arial" w:hAnsi="Arial" w:cs="Arial"/>
          <w:sz w:val="22"/>
          <w:szCs w:val="22"/>
        </w:rPr>
        <w:t xml:space="preserve"> roční</w:t>
      </w:r>
      <w:r w:rsidR="008B0299" w:rsidRPr="00A05961">
        <w:rPr>
          <w:rFonts w:ascii="Arial" w:hAnsi="Arial" w:cs="Arial"/>
          <w:sz w:val="22"/>
          <w:szCs w:val="22"/>
        </w:rPr>
        <w:t xml:space="preserve"> kapacit</w:t>
      </w:r>
      <w:r w:rsidR="009B6364">
        <w:rPr>
          <w:rFonts w:ascii="Arial" w:hAnsi="Arial" w:cs="Arial"/>
          <w:sz w:val="22"/>
          <w:szCs w:val="22"/>
        </w:rPr>
        <w:t xml:space="preserve">a </w:t>
      </w:r>
      <w:r w:rsidR="008B0299" w:rsidRPr="00A05961">
        <w:rPr>
          <w:rFonts w:ascii="Arial" w:hAnsi="Arial" w:cs="Arial"/>
          <w:sz w:val="22"/>
          <w:szCs w:val="22"/>
        </w:rPr>
        <w:t xml:space="preserve">daného </w:t>
      </w:r>
      <w:r w:rsidR="009B6364">
        <w:rPr>
          <w:rFonts w:ascii="Arial" w:hAnsi="Arial" w:cs="Arial"/>
          <w:sz w:val="22"/>
          <w:szCs w:val="22"/>
        </w:rPr>
        <w:t>urgentního příjmu</w:t>
      </w:r>
      <w:r w:rsidR="002E35F2">
        <w:rPr>
          <w:rFonts w:ascii="Arial" w:hAnsi="Arial" w:cs="Arial"/>
          <w:sz w:val="22"/>
          <w:szCs w:val="22"/>
        </w:rPr>
        <w:t xml:space="preserve"> </w:t>
      </w:r>
      <w:r w:rsidR="008B0299" w:rsidRPr="00A05961">
        <w:rPr>
          <w:rFonts w:ascii="Arial" w:hAnsi="Arial" w:cs="Arial"/>
          <w:sz w:val="22"/>
          <w:szCs w:val="22"/>
        </w:rPr>
        <w:t>v důsledku realizace projektu.</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55E6D7E" w14:textId="77777777" w:rsidR="002E35F2" w:rsidRDefault="002E35F2" w:rsidP="002E35F2">
      <w:pPr>
        <w:spacing w:after="200" w:line="276" w:lineRule="auto"/>
        <w:jc w:val="both"/>
        <w:rPr>
          <w:rFonts w:ascii="Arial" w:hAnsi="Arial" w:cs="Arial"/>
          <w:sz w:val="22"/>
          <w:szCs w:val="22"/>
        </w:rPr>
      </w:pPr>
      <w:r>
        <w:rPr>
          <w:rFonts w:ascii="Arial" w:hAnsi="Arial" w:cs="Arial"/>
          <w:b/>
          <w:bCs/>
          <w:noProof/>
          <w:sz w:val="22"/>
          <w:szCs w:val="22"/>
        </w:rPr>
        <mc:AlternateContent>
          <mc:Choice Requires="wps">
            <w:drawing>
              <wp:inline distT="0" distB="0" distL="0" distR="0" wp14:anchorId="729B7414" wp14:editId="574FF9D9">
                <wp:extent cx="5759450" cy="1019175"/>
                <wp:effectExtent l="0" t="0" r="12700" b="28575"/>
                <wp:docPr id="379693653" name="Textové pole 2"/>
                <wp:cNvGraphicFramePr/>
                <a:graphic xmlns:a="http://schemas.openxmlformats.org/drawingml/2006/main">
                  <a:graphicData uri="http://schemas.microsoft.com/office/word/2010/wordprocessingShape">
                    <wps:wsp>
                      <wps:cNvSpPr txBox="1"/>
                      <wps:spPr>
                        <a:xfrm>
                          <a:off x="0" y="0"/>
                          <a:ext cx="5759450" cy="1019175"/>
                        </a:xfrm>
                        <a:prstGeom prst="rect">
                          <a:avLst/>
                        </a:prstGeom>
                        <a:solidFill>
                          <a:schemeClr val="lt1"/>
                        </a:solidFill>
                        <a:ln w="6350">
                          <a:solidFill>
                            <a:prstClr val="black"/>
                          </a:solidFill>
                        </a:ln>
                      </wps:spPr>
                      <wps:txbx>
                        <w:txbxContent>
                          <w:p w14:paraId="1FFB486E" w14:textId="77777777" w:rsidR="002E35F2" w:rsidRPr="00AA7F96" w:rsidRDefault="002E35F2" w:rsidP="002E35F2">
                            <w:pPr>
                              <w:spacing w:before="240"/>
                              <w:rPr>
                                <w:rFonts w:ascii="Arial" w:hAnsi="Arial" w:cs="Arial"/>
                                <w:sz w:val="22"/>
                                <w:szCs w:val="22"/>
                              </w:rPr>
                            </w:pPr>
                            <w:r w:rsidRPr="00E57576">
                              <w:rPr>
                                <w:rFonts w:ascii="Arial" w:hAnsi="Arial" w:cs="Arial"/>
                                <w:b/>
                                <w:bCs/>
                              </w:rPr>
                              <w:t>UPOZORNĚNÍ</w:t>
                            </w:r>
                          </w:p>
                          <w:p w14:paraId="0081D743" w14:textId="1FA5374C" w:rsidR="009B6364" w:rsidRDefault="009B6364" w:rsidP="009B6364">
                            <w:pPr>
                              <w:jc w:val="both"/>
                              <w:rPr>
                                <w:rFonts w:ascii="Arial" w:hAnsi="Arial" w:cs="Arial"/>
                                <w:sz w:val="22"/>
                                <w:szCs w:val="22"/>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p>
                          <w:p w14:paraId="56546178" w14:textId="77777777" w:rsidR="002E35F2" w:rsidRPr="00E57576" w:rsidRDefault="002E35F2" w:rsidP="002E35F2">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29B7414" id="_x0000_t202" coordsize="21600,21600" o:spt="202" path="m,l,21600r21600,l21600,xe">
                <v:stroke joinstyle="miter"/>
                <v:path gradientshapeok="t" o:connecttype="rect"/>
              </v:shapetype>
              <v:shape id="Textové pole 2" o:spid="_x0000_s1027" type="#_x0000_t202" style="width:453.5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" fillcolor="white [3201]" strokeweight=".5pt">
                <v:textbox>
                  <w:txbxContent>
                    <w:p w14:paraId="1FFB486E" w14:textId="77777777" w:rsidR="002E35F2" w:rsidRPr="00AA7F96" w:rsidRDefault="002E35F2" w:rsidP="002E35F2">
                      <w:pPr>
                        <w:spacing w:before="240"/>
                        <w:rPr>
                          <w:rFonts w:ascii="Arial" w:hAnsi="Arial" w:cs="Arial"/>
                          <w:sz w:val="22"/>
                          <w:szCs w:val="22"/>
                        </w:rPr>
                      </w:pPr>
                      <w:r w:rsidRPr="00E57576">
                        <w:rPr>
                          <w:rFonts w:ascii="Arial" w:hAnsi="Arial" w:cs="Arial"/>
                          <w:b/>
                          <w:bCs/>
                        </w:rPr>
                        <w:t>UPOZORNĚNÍ</w:t>
                      </w:r>
                    </w:p>
                    <w:p w14:paraId="0081D743" w14:textId="1FA5374C" w:rsidR="009B6364" w:rsidRDefault="009B6364" w:rsidP="009B6364">
                      <w:pPr>
                        <w:jc w:val="both"/>
                        <w:rPr>
                          <w:rFonts w:ascii="Arial" w:hAnsi="Arial" w:cs="Arial"/>
                          <w:sz w:val="22"/>
                          <w:szCs w:val="22"/>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p>
                    <w:p w14:paraId="56546178" w14:textId="77777777" w:rsidR="002E35F2" w:rsidRPr="00E57576" w:rsidRDefault="002E35F2" w:rsidP="002E35F2">
                      <w:pPr>
                        <w:spacing w:before="240"/>
                        <w:jc w:val="both"/>
                        <w:rPr>
                          <w:rFonts w:ascii="Arial" w:hAnsi="Arial" w:cs="Arial"/>
                        </w:rPr>
                      </w:pPr>
                    </w:p>
                  </w:txbxContent>
                </v:textbox>
                <w10:anchorlock/>
              </v:shape>
            </w:pict>
          </mc:Fallback>
        </mc:AlternateContent>
      </w:r>
    </w:p>
    <w:p w14:paraId="26CBEB3D" w14:textId="77777777" w:rsidR="008B0299" w:rsidRDefault="008B0299" w:rsidP="00581AFF">
      <w:pPr>
        <w:keepNext/>
        <w:spacing w:line="276" w:lineRule="auto"/>
        <w:jc w:val="both"/>
        <w:rPr>
          <w:rStyle w:val="Zdraznnintenzivn"/>
          <w:rFonts w:ascii="Arial" w:eastAsiaTheme="minorHAnsi" w:hAnsi="Arial" w:cs="Arial"/>
          <w:b/>
          <w:bCs/>
          <w:caps/>
          <w:color w:val="31849B" w:themeColor="accent5" w:themeShade="BF"/>
          <w:lang w:eastAsia="en-US"/>
        </w:rPr>
      </w:pPr>
    </w:p>
    <w:p w14:paraId="69630ACB" w14:textId="2BCE5CD4"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60E81B5" w14:textId="4E7B0F83" w:rsidR="00826EB7" w:rsidRDefault="008A2193" w:rsidP="00581AFF">
      <w:pPr>
        <w:spacing w:before="240" w:after="240" w:line="276" w:lineRule="auto"/>
        <w:jc w:val="both"/>
      </w:pPr>
      <w:r w:rsidRPr="009A4CBD">
        <w:rPr>
          <w:rFonts w:ascii="Arial" w:hAnsi="Arial" w:cs="Arial"/>
          <w:b/>
          <w:bCs/>
          <w:sz w:val="22"/>
          <w:szCs w:val="22"/>
        </w:rPr>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p>
    <w:p w14:paraId="470B6465" w14:textId="655F28A6" w:rsidR="00826EB7" w:rsidRDefault="00826EB7" w:rsidP="00581AFF">
      <w:pPr>
        <w:spacing w:before="240" w:after="240" w:line="276" w:lineRule="auto"/>
        <w:jc w:val="both"/>
        <w:rPr>
          <w:rFonts w:ascii="Arial" w:hAnsi="Arial" w:cs="Arial"/>
          <w:sz w:val="22"/>
          <w:szCs w:val="22"/>
        </w:rPr>
      </w:pPr>
      <w:r>
        <w:rPr>
          <w:rFonts w:ascii="Arial" w:hAnsi="Arial" w:cs="Arial"/>
          <w:b/>
          <w:bCs/>
          <w:noProof/>
          <w:sz w:val="22"/>
          <w:szCs w:val="22"/>
        </w:rPr>
        <mc:AlternateContent>
          <mc:Choice Requires="wps">
            <w:drawing>
              <wp:inline distT="0" distB="0" distL="0" distR="0" wp14:anchorId="0EA75F25" wp14:editId="74920284">
                <wp:extent cx="5759450" cy="1571625"/>
                <wp:effectExtent l="0" t="0" r="12700" b="28575"/>
                <wp:docPr id="385665543" name="Textové pole 2"/>
                <wp:cNvGraphicFramePr/>
                <a:graphic xmlns:a="http://schemas.openxmlformats.org/drawingml/2006/main">
                  <a:graphicData uri="http://schemas.microsoft.com/office/word/2010/wordprocessingShape">
                    <wps:wsp>
                      <wps:cNvSpPr txBox="1"/>
                      <wps:spPr>
                        <a:xfrm>
                          <a:off x="0" y="0"/>
                          <a:ext cx="5759450" cy="1571625"/>
                        </a:xfrm>
                        <a:prstGeom prst="rect">
                          <a:avLst/>
                        </a:prstGeom>
                        <a:solidFill>
                          <a:schemeClr val="lt1"/>
                        </a:solidFill>
                        <a:ln w="6350">
                          <a:solidFill>
                            <a:prstClr val="black"/>
                          </a:solidFill>
                        </a:ln>
                      </wps:spPr>
                      <wps:txbx>
                        <w:txbxContent>
                          <w:p w14:paraId="3E5FDF20" w14:textId="77777777" w:rsidR="00826EB7" w:rsidRPr="00AA7F96" w:rsidRDefault="00826EB7" w:rsidP="00E57576">
                            <w:pPr>
                              <w:spacing w:before="240"/>
                              <w:rPr>
                                <w:rFonts w:ascii="Arial" w:hAnsi="Arial" w:cs="Arial"/>
                                <w:b/>
                                <w:bCs/>
                                <w:sz w:val="22"/>
                                <w:szCs w:val="22"/>
                              </w:rPr>
                            </w:pPr>
                            <w:r w:rsidRPr="00AA7F96">
                              <w:rPr>
                                <w:rFonts w:ascii="Arial" w:hAnsi="Arial" w:cs="Arial"/>
                                <w:b/>
                                <w:bCs/>
                                <w:sz w:val="22"/>
                                <w:szCs w:val="22"/>
                              </w:rPr>
                              <w:t>PŘÍKLAD</w:t>
                            </w:r>
                          </w:p>
                          <w:p w14:paraId="7EFFA8E9" w14:textId="77777777" w:rsidR="00826EB7" w:rsidRPr="00AA7F96" w:rsidRDefault="00826EB7" w:rsidP="00826EB7">
                            <w:pPr>
                              <w:rPr>
                                <w:rFonts w:ascii="Arial" w:hAnsi="Arial" w:cs="Arial"/>
                                <w:sz w:val="22"/>
                                <w:szCs w:val="22"/>
                              </w:rPr>
                            </w:pPr>
                          </w:p>
                          <w:p w14:paraId="30FFEE21" w14:textId="5455FFBF" w:rsidR="00826EB7" w:rsidRDefault="00826EB7" w:rsidP="00E57576">
                            <w:pPr>
                              <w:jc w:val="both"/>
                              <w:rPr>
                                <w:rFonts w:ascii="Arial" w:hAnsi="Arial" w:cs="Arial"/>
                              </w:rPr>
                            </w:pPr>
                            <w:r w:rsidRPr="00826EB7">
                              <w:rPr>
                                <w:rFonts w:ascii="Arial" w:hAnsi="Arial" w:cs="Arial"/>
                                <w:sz w:val="22"/>
                                <w:szCs w:val="22"/>
                              </w:rPr>
                              <w:t>Žadatel plánuje modernizovat urgentní příjem</w:t>
                            </w:r>
                            <w:r w:rsidR="00CD40BC">
                              <w:rPr>
                                <w:rFonts w:ascii="Arial" w:hAnsi="Arial" w:cs="Arial"/>
                                <w:sz w:val="22"/>
                                <w:szCs w:val="22"/>
                              </w:rPr>
                              <w:t xml:space="preserve"> </w:t>
                            </w:r>
                            <w:r w:rsidR="00CD40BC" w:rsidRPr="009B6364">
                              <w:rPr>
                                <w:rFonts w:ascii="Arial" w:hAnsi="Arial" w:cs="Arial"/>
                                <w:sz w:val="22"/>
                                <w:szCs w:val="22"/>
                              </w:rPr>
                              <w:t>(nebo jeho část)</w:t>
                            </w:r>
                            <w:r w:rsidR="006C56A6">
                              <w:rPr>
                                <w:rFonts w:ascii="Arial" w:hAnsi="Arial" w:cs="Arial"/>
                                <w:sz w:val="22"/>
                                <w:szCs w:val="22"/>
                              </w:rPr>
                              <w:t xml:space="preserve"> a jeho maximální denní kapacitu ošetřených pacientů na základě zkušeností odhaduje na 100 pacientů. </w:t>
                            </w:r>
                            <w:r w:rsidRPr="00826EB7">
                              <w:rPr>
                                <w:rFonts w:ascii="Arial" w:hAnsi="Arial" w:cs="Arial"/>
                                <w:sz w:val="22"/>
                                <w:szCs w:val="22"/>
                              </w:rPr>
                              <w:t xml:space="preserve"> Denní kapacita je tedy </w:t>
                            </w:r>
                            <w:r w:rsidR="006C56A6">
                              <w:rPr>
                                <w:rFonts w:ascii="Arial" w:hAnsi="Arial" w:cs="Arial"/>
                                <w:sz w:val="22"/>
                                <w:szCs w:val="22"/>
                              </w:rPr>
                              <w:t>10</w:t>
                            </w:r>
                            <w:r w:rsidRPr="00826EB7">
                              <w:rPr>
                                <w:rFonts w:ascii="Arial" w:hAnsi="Arial" w:cs="Arial"/>
                                <w:sz w:val="22"/>
                                <w:szCs w:val="22"/>
                              </w:rPr>
                              <w:t xml:space="preserve">0 pacientů. Zařízení je v provozu 365 dnů v roce.  Teoretická kapacita bude činit </w:t>
                            </w:r>
                            <w:r w:rsidR="006C56A6">
                              <w:rPr>
                                <w:rFonts w:ascii="Arial" w:hAnsi="Arial" w:cs="Arial"/>
                                <w:sz w:val="22"/>
                                <w:szCs w:val="22"/>
                              </w:rPr>
                              <w:t>100</w:t>
                            </w:r>
                            <w:r w:rsidRPr="00826EB7">
                              <w:rPr>
                                <w:rFonts w:ascii="Arial" w:hAnsi="Arial" w:cs="Arial"/>
                                <w:sz w:val="22"/>
                                <w:szCs w:val="22"/>
                              </w:rPr>
                              <w:t xml:space="preserve">*365 = </w:t>
                            </w:r>
                            <w:r w:rsidR="006C56A6">
                              <w:rPr>
                                <w:rFonts w:ascii="Arial" w:hAnsi="Arial" w:cs="Arial"/>
                                <w:sz w:val="22"/>
                                <w:szCs w:val="22"/>
                              </w:rPr>
                              <w:t>36 500</w:t>
                            </w:r>
                            <w:r w:rsidRPr="00826EB7">
                              <w:rPr>
                                <w:rFonts w:ascii="Arial" w:hAnsi="Arial" w:cs="Arial"/>
                                <w:sz w:val="22"/>
                                <w:szCs w:val="22"/>
                              </w:rPr>
                              <w:t>, což je cílová hodnota indikátoru. Výchozí hodnota indikátoru</w:t>
                            </w:r>
                            <w:r w:rsidRPr="00E57576">
                              <w:rPr>
                                <w:rFonts w:ascii="Arial" w:hAnsi="Arial" w:cs="Arial"/>
                              </w:rPr>
                              <w:t xml:space="preserve"> bude vždy 0.</w:t>
                            </w:r>
                          </w:p>
                          <w:p w14:paraId="4667A2CB" w14:textId="77777777" w:rsidR="00CD40BC" w:rsidRDefault="00CD40BC" w:rsidP="00E57576">
                            <w:pPr>
                              <w:jc w:val="both"/>
                              <w:rPr>
                                <w:rFonts w:ascii="Arial" w:hAnsi="Arial" w:cs="Arial"/>
                              </w:rPr>
                            </w:pPr>
                          </w:p>
                          <w:p w14:paraId="3D30B00E" w14:textId="77777777" w:rsidR="00093C8E" w:rsidRPr="00E57576" w:rsidRDefault="00093C8E" w:rsidP="00A05961">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EA75F25" id="_x0000_s1028" type="#_x0000_t202" style="width:453.5pt;height:1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" fillcolor="white [3201]" strokeweight=".5pt">
                <v:textbox>
                  <w:txbxContent>
                    <w:p w14:paraId="3E5FDF20" w14:textId="77777777" w:rsidR="00826EB7" w:rsidRPr="00AA7F96" w:rsidRDefault="00826EB7" w:rsidP="00E57576">
                      <w:pPr>
                        <w:spacing w:before="240"/>
                        <w:rPr>
                          <w:rFonts w:ascii="Arial" w:hAnsi="Arial" w:cs="Arial"/>
                          <w:b/>
                          <w:bCs/>
                          <w:sz w:val="22"/>
                          <w:szCs w:val="22"/>
                        </w:rPr>
                      </w:pPr>
                      <w:r w:rsidRPr="00AA7F96">
                        <w:rPr>
                          <w:rFonts w:ascii="Arial" w:hAnsi="Arial" w:cs="Arial"/>
                          <w:b/>
                          <w:bCs/>
                          <w:sz w:val="22"/>
                          <w:szCs w:val="22"/>
                        </w:rPr>
                        <w:t>PŘÍKLAD</w:t>
                      </w:r>
                    </w:p>
                    <w:p w14:paraId="7EFFA8E9" w14:textId="77777777" w:rsidR="00826EB7" w:rsidRPr="00AA7F96" w:rsidRDefault="00826EB7" w:rsidP="00826EB7">
                      <w:pPr>
                        <w:rPr>
                          <w:rFonts w:ascii="Arial" w:hAnsi="Arial" w:cs="Arial"/>
                          <w:sz w:val="22"/>
                          <w:szCs w:val="22"/>
                        </w:rPr>
                      </w:pPr>
                    </w:p>
                    <w:p w14:paraId="30FFEE21" w14:textId="5455FFBF" w:rsidR="00826EB7" w:rsidRDefault="00826EB7" w:rsidP="00E57576">
                      <w:pPr>
                        <w:jc w:val="both"/>
                        <w:rPr>
                          <w:rFonts w:ascii="Arial" w:hAnsi="Arial" w:cs="Arial"/>
                        </w:rPr>
                      </w:pPr>
                      <w:r w:rsidRPr="00826EB7">
                        <w:rPr>
                          <w:rFonts w:ascii="Arial" w:hAnsi="Arial" w:cs="Arial"/>
                          <w:sz w:val="22"/>
                          <w:szCs w:val="22"/>
                        </w:rPr>
                        <w:t>Žadatel plánuje modernizovat urgentní příjem</w:t>
                      </w:r>
                      <w:r w:rsidR="00CD40BC">
                        <w:rPr>
                          <w:rFonts w:ascii="Arial" w:hAnsi="Arial" w:cs="Arial"/>
                          <w:sz w:val="22"/>
                          <w:szCs w:val="22"/>
                        </w:rPr>
                        <w:t xml:space="preserve"> </w:t>
                      </w:r>
                      <w:r w:rsidR="00CD40BC" w:rsidRPr="009B6364">
                        <w:rPr>
                          <w:rFonts w:ascii="Arial" w:hAnsi="Arial" w:cs="Arial"/>
                          <w:sz w:val="22"/>
                          <w:szCs w:val="22"/>
                        </w:rPr>
                        <w:t>(nebo jeho část)</w:t>
                      </w:r>
                      <w:r w:rsidR="006C56A6">
                        <w:rPr>
                          <w:rFonts w:ascii="Arial" w:hAnsi="Arial" w:cs="Arial"/>
                          <w:sz w:val="22"/>
                          <w:szCs w:val="22"/>
                        </w:rPr>
                        <w:t xml:space="preserve"> a jeho maximální denní kapacitu ošetřených pacientů na základě zkušeností odhaduje na 100 pacientů. </w:t>
                      </w:r>
                      <w:r w:rsidRPr="00826EB7">
                        <w:rPr>
                          <w:rFonts w:ascii="Arial" w:hAnsi="Arial" w:cs="Arial"/>
                          <w:sz w:val="22"/>
                          <w:szCs w:val="22"/>
                        </w:rPr>
                        <w:t xml:space="preserve"> Denní kapacita je tedy </w:t>
                      </w:r>
                      <w:r w:rsidR="006C56A6">
                        <w:rPr>
                          <w:rFonts w:ascii="Arial" w:hAnsi="Arial" w:cs="Arial"/>
                          <w:sz w:val="22"/>
                          <w:szCs w:val="22"/>
                        </w:rPr>
                        <w:t>10</w:t>
                      </w:r>
                      <w:r w:rsidRPr="00826EB7">
                        <w:rPr>
                          <w:rFonts w:ascii="Arial" w:hAnsi="Arial" w:cs="Arial"/>
                          <w:sz w:val="22"/>
                          <w:szCs w:val="22"/>
                        </w:rPr>
                        <w:t xml:space="preserve">0 pacientů. Zařízení je v provozu 365 dnů v roce.  Teoretická kapacita bude činit </w:t>
                      </w:r>
                      <w:r w:rsidR="006C56A6">
                        <w:rPr>
                          <w:rFonts w:ascii="Arial" w:hAnsi="Arial" w:cs="Arial"/>
                          <w:sz w:val="22"/>
                          <w:szCs w:val="22"/>
                        </w:rPr>
                        <w:t>100</w:t>
                      </w:r>
                      <w:r w:rsidRPr="00826EB7">
                        <w:rPr>
                          <w:rFonts w:ascii="Arial" w:hAnsi="Arial" w:cs="Arial"/>
                          <w:sz w:val="22"/>
                          <w:szCs w:val="22"/>
                        </w:rPr>
                        <w:t xml:space="preserve">*365 = </w:t>
                      </w:r>
                      <w:r w:rsidR="006C56A6">
                        <w:rPr>
                          <w:rFonts w:ascii="Arial" w:hAnsi="Arial" w:cs="Arial"/>
                          <w:sz w:val="22"/>
                          <w:szCs w:val="22"/>
                        </w:rPr>
                        <w:t>36 500</w:t>
                      </w:r>
                      <w:r w:rsidRPr="00826EB7">
                        <w:rPr>
                          <w:rFonts w:ascii="Arial" w:hAnsi="Arial" w:cs="Arial"/>
                          <w:sz w:val="22"/>
                          <w:szCs w:val="22"/>
                        </w:rPr>
                        <w:t>, což je cílová hodnota indikátoru. Výchozí hodnota indikátoru</w:t>
                      </w:r>
                      <w:r w:rsidRPr="00E57576">
                        <w:rPr>
                          <w:rFonts w:ascii="Arial" w:hAnsi="Arial" w:cs="Arial"/>
                        </w:rPr>
                        <w:t xml:space="preserve"> bude vždy 0.</w:t>
                      </w:r>
                    </w:p>
                    <w:p w14:paraId="4667A2CB" w14:textId="77777777" w:rsidR="00CD40BC" w:rsidRDefault="00CD40BC" w:rsidP="00E57576">
                      <w:pPr>
                        <w:jc w:val="both"/>
                        <w:rPr>
                          <w:rFonts w:ascii="Arial" w:hAnsi="Arial" w:cs="Arial"/>
                        </w:rPr>
                      </w:pPr>
                    </w:p>
                    <w:p w14:paraId="3D30B00E" w14:textId="77777777" w:rsidR="00093C8E" w:rsidRPr="00E57576" w:rsidRDefault="00093C8E" w:rsidP="00A05961">
                      <w:pPr>
                        <w:rPr>
                          <w:rFonts w:ascii="Arial" w:hAnsi="Arial" w:cs="Arial"/>
                        </w:rPr>
                      </w:pPr>
                    </w:p>
                  </w:txbxContent>
                </v:textbox>
                <w10:anchorlock/>
              </v:shape>
            </w:pict>
          </mc:Fallback>
        </mc:AlternateContent>
      </w:r>
    </w:p>
    <w:p w14:paraId="0A13694C" w14:textId="46B41BD1" w:rsidR="008A2193" w:rsidRPr="007F4BB9" w:rsidRDefault="00D85674" w:rsidP="00BA5909">
      <w:pPr>
        <w:spacing w:before="240" w:after="240" w:line="276" w:lineRule="auto"/>
        <w:jc w:val="both"/>
        <w:rPr>
          <w:rFonts w:ascii="Arial" w:hAnsi="Arial" w:cs="Arial"/>
          <w:sz w:val="22"/>
          <w:szCs w:val="22"/>
        </w:rPr>
      </w:pPr>
      <w:r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1EE917D5" w14:textId="31E8D0A2" w:rsidR="00826EB7" w:rsidRDefault="003E3EA1" w:rsidP="00822000">
      <w:pPr>
        <w:spacing w:after="200" w:line="276" w:lineRule="auto"/>
        <w:jc w:val="both"/>
        <w:rPr>
          <w:rFonts w:ascii="Arial" w:hAnsi="Arial" w:cs="Arial"/>
          <w:sz w:val="22"/>
          <w:szCs w:val="22"/>
        </w:rPr>
      </w:pPr>
      <w:r w:rsidRPr="00EA3109">
        <w:rPr>
          <w:rFonts w:ascii="Arial" w:hAnsi="Arial" w:cs="Arial"/>
          <w:sz w:val="22"/>
          <w:szCs w:val="22"/>
        </w:rPr>
        <w:lastRenderedPageBreak/>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B989DF5" w14:textId="77777777" w:rsidR="00826EB7" w:rsidRDefault="00826EB7">
      <w:pPr>
        <w:spacing w:after="200" w:line="276" w:lineRule="auto"/>
        <w:rPr>
          <w:rFonts w:ascii="Arial" w:hAnsi="Arial" w:cs="Arial"/>
          <w:sz w:val="22"/>
          <w:szCs w:val="22"/>
        </w:rPr>
      </w:pPr>
      <w:r>
        <w:rPr>
          <w:rFonts w:ascii="Arial" w:hAnsi="Arial" w:cs="Arial"/>
          <w:sz w:val="22"/>
          <w:szCs w:val="22"/>
        </w:rPr>
        <w:br w:type="page"/>
      </w:r>
    </w:p>
    <w:p w14:paraId="4A51BDF5" w14:textId="7C904CB9"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A13752">
        <w:trPr>
          <w:trHeight w:val="6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6740FF5B" w:rsidR="008071B5" w:rsidRPr="00A13752" w:rsidRDefault="003E3EA1" w:rsidP="00A13752">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5"/>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C81922" w:rsidRDefault="008904D1"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C81922" w:rsidRDefault="00941BE4" w:rsidP="00111F89">
            <w:pPr>
              <w:pStyle w:val="Nadpis1"/>
              <w:spacing w:before="0" w:after="0"/>
              <w:ind w:left="57" w:right="57"/>
              <w:rPr>
                <w:rFonts w:ascii="Arial" w:hAnsi="Arial" w:cs="Arial"/>
                <w:caps w:val="0"/>
                <w:sz w:val="22"/>
                <w:szCs w:val="22"/>
              </w:rPr>
            </w:pPr>
            <w:r>
              <w:rPr>
                <w:rFonts w:ascii="Arial" w:hAnsi="Arial" w:cs="Arial"/>
                <w:caps w:val="0"/>
              </w:rPr>
              <w:t>pracoviště</w:t>
            </w:r>
            <w:r w:rsidR="008904D1">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573571BF" w14:textId="581D5F3C" w:rsidR="00885C85" w:rsidRDefault="008904D1" w:rsidP="008904D1">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w:t>
      </w:r>
      <w:proofErr w:type="gramStart"/>
      <w:r>
        <w:rPr>
          <w:rFonts w:ascii="Arial" w:hAnsi="Arial" w:cs="Arial"/>
          <w:sz w:val="22"/>
          <w:szCs w:val="22"/>
        </w:rPr>
        <w:t>patří</w:t>
      </w:r>
      <w:proofErr w:type="gramEnd"/>
      <w:r>
        <w:rPr>
          <w:rFonts w:ascii="Arial" w:hAnsi="Arial" w:cs="Arial"/>
          <w:sz w:val="22"/>
          <w:szCs w:val="22"/>
        </w:rPr>
        <w:t xml:space="preserve"> např. ARO, JIP, laboratoře, intervenční, diagnostická, </w:t>
      </w:r>
      <w:proofErr w:type="spellStart"/>
      <w:r>
        <w:rPr>
          <w:rFonts w:ascii="Arial" w:hAnsi="Arial" w:cs="Arial"/>
          <w:sz w:val="22"/>
          <w:szCs w:val="22"/>
        </w:rPr>
        <w:t>infektologická</w:t>
      </w:r>
      <w:proofErr w:type="spellEnd"/>
      <w:r>
        <w:rPr>
          <w:rFonts w:ascii="Arial" w:hAnsi="Arial" w:cs="Arial"/>
          <w:sz w:val="22"/>
          <w:szCs w:val="22"/>
        </w:rPr>
        <w:t xml:space="preserve"> pracoviště nebo pracoviště poskytující péči zvláště ohroženým skupinám obyvatelstva.</w:t>
      </w:r>
    </w:p>
    <w:p w14:paraId="7F62E41D" w14:textId="2A49B040" w:rsidR="00826EB7" w:rsidRDefault="00826EB7" w:rsidP="008904D1">
      <w:pPr>
        <w:spacing w:after="200" w:line="276" w:lineRule="auto"/>
        <w:jc w:val="both"/>
        <w:rPr>
          <w:rFonts w:ascii="Arial" w:hAnsi="Arial" w:cs="Arial"/>
          <w:sz w:val="22"/>
          <w:szCs w:val="22"/>
        </w:rPr>
      </w:pPr>
      <w:r>
        <w:rPr>
          <w:rFonts w:ascii="Arial" w:hAnsi="Arial" w:cs="Arial"/>
          <w:b/>
          <w:bCs/>
          <w:noProof/>
          <w:sz w:val="22"/>
          <w:szCs w:val="22"/>
        </w:rPr>
        <mc:AlternateContent>
          <mc:Choice Requires="wps">
            <w:drawing>
              <wp:inline distT="0" distB="0" distL="0" distR="0" wp14:anchorId="67FB521A" wp14:editId="25E73B22">
                <wp:extent cx="5759450" cy="1714500"/>
                <wp:effectExtent l="0" t="0" r="12700" b="19050"/>
                <wp:docPr id="650273696" name="Textové pole 2"/>
                <wp:cNvGraphicFramePr/>
                <a:graphic xmlns:a="http://schemas.openxmlformats.org/drawingml/2006/main">
                  <a:graphicData uri="http://schemas.microsoft.com/office/word/2010/wordprocessingShape">
                    <wps:wsp>
                      <wps:cNvSpPr txBox="1"/>
                      <wps:spPr>
                        <a:xfrm>
                          <a:off x="0" y="0"/>
                          <a:ext cx="5759450" cy="1714500"/>
                        </a:xfrm>
                        <a:prstGeom prst="rect">
                          <a:avLst/>
                        </a:prstGeom>
                        <a:solidFill>
                          <a:schemeClr val="lt1"/>
                        </a:solidFill>
                        <a:ln w="6350">
                          <a:solidFill>
                            <a:prstClr val="black"/>
                          </a:solidFill>
                        </a:ln>
                      </wps:spPr>
                      <wps:txbx>
                        <w:txbxContent>
                          <w:p w14:paraId="42CAC20B" w14:textId="17686677" w:rsidR="00826EB7" w:rsidRPr="00AA7F96" w:rsidRDefault="00826EB7" w:rsidP="00826EB7">
                            <w:pPr>
                              <w:spacing w:before="240"/>
                              <w:rPr>
                                <w:rFonts w:ascii="Arial" w:hAnsi="Arial" w:cs="Arial"/>
                                <w:sz w:val="22"/>
                                <w:szCs w:val="22"/>
                              </w:rPr>
                            </w:pPr>
                            <w:r w:rsidRPr="00E57576">
                              <w:rPr>
                                <w:rFonts w:ascii="Arial" w:hAnsi="Arial" w:cs="Arial"/>
                                <w:b/>
                                <w:bCs/>
                              </w:rPr>
                              <w:t>UPOZORNĚNÍ</w:t>
                            </w:r>
                          </w:p>
                          <w:p w14:paraId="7782EB42" w14:textId="0274D2BD" w:rsidR="00826EB7" w:rsidRDefault="00826EB7" w:rsidP="00E57576">
                            <w:pPr>
                              <w:spacing w:before="240"/>
                              <w:jc w:val="both"/>
                              <w:rPr>
                                <w:rFonts w:ascii="Arial" w:hAnsi="Arial" w:cs="Arial"/>
                                <w:sz w:val="22"/>
                                <w:szCs w:val="22"/>
                              </w:rPr>
                            </w:pPr>
                            <w:r w:rsidRPr="00826EB7">
                              <w:rPr>
                                <w:rFonts w:ascii="Arial" w:hAnsi="Arial" w:cs="Arial"/>
                                <w:sz w:val="22"/>
                                <w:szCs w:val="22"/>
                              </w:rPr>
                              <w:t xml:space="preserve">Pro účely této výzvy je nutné započíst hodnotu 1 za každý podpořený urgentní příjem každého poskytovatele (nemocnici), za kterého je předkládán projekt. </w:t>
                            </w:r>
                          </w:p>
                          <w:p w14:paraId="6B616B19" w14:textId="77777777" w:rsidR="00CD40BC" w:rsidRPr="00B30310" w:rsidRDefault="00CD40BC" w:rsidP="00CD40BC">
                            <w:pPr>
                              <w:jc w:val="both"/>
                              <w:rPr>
                                <w:rFonts w:ascii="Arial" w:hAnsi="Arial" w:cs="Arial"/>
                                <w:highlight w:val="green"/>
                              </w:rPr>
                            </w:pPr>
                          </w:p>
                          <w:p w14:paraId="13569F09" w14:textId="6D0FF1FA" w:rsidR="00CD40BC" w:rsidRPr="00A05961" w:rsidRDefault="00CD40BC" w:rsidP="00CD40BC">
                            <w:pPr>
                              <w:rPr>
                                <w:rFonts w:ascii="Arial" w:hAnsi="Arial" w:cs="Arial"/>
                                <w:sz w:val="22"/>
                                <w:szCs w:val="22"/>
                              </w:rPr>
                            </w:pPr>
                            <w:r w:rsidRPr="00A05961">
                              <w:rPr>
                                <w:rFonts w:ascii="Arial" w:hAnsi="Arial" w:cs="Arial"/>
                                <w:sz w:val="22"/>
                                <w:szCs w:val="22"/>
                              </w:rPr>
                              <w:t>Pokud jsou pro jedno pracoviště urgentního příjmu, vyjmenované v síti urgentních příjmů I. nebo II. typu, předkládány dva projekty</w:t>
                            </w:r>
                            <w:r w:rsidR="009B6364">
                              <w:rPr>
                                <w:rFonts w:ascii="Arial" w:hAnsi="Arial" w:cs="Arial"/>
                                <w:sz w:val="22"/>
                                <w:szCs w:val="22"/>
                              </w:rPr>
                              <w:t>,</w:t>
                            </w:r>
                            <w:r w:rsidRPr="00A05961">
                              <w:rPr>
                                <w:rFonts w:ascii="Arial" w:hAnsi="Arial" w:cs="Arial"/>
                                <w:sz w:val="22"/>
                                <w:szCs w:val="22"/>
                              </w:rPr>
                              <w:t xml:space="preserve"> budou hodnoty v obou projektech identické a rovny 1.</w:t>
                            </w:r>
                          </w:p>
                          <w:p w14:paraId="1C260B22" w14:textId="541D2128" w:rsidR="00093C8E" w:rsidRPr="00E57576" w:rsidRDefault="00093C8E" w:rsidP="00CD40BC">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7FB521A" id="_x0000_s1029" type="#_x0000_t202" style="width:453.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" fillcolor="white [3201]" strokeweight=".5pt">
                <v:textbox>
                  <w:txbxContent>
                    <w:p w14:paraId="42CAC20B" w14:textId="17686677" w:rsidR="00826EB7" w:rsidRPr="00AA7F96" w:rsidRDefault="00826EB7" w:rsidP="00826EB7">
                      <w:pPr>
                        <w:spacing w:before="240"/>
                        <w:rPr>
                          <w:rFonts w:ascii="Arial" w:hAnsi="Arial" w:cs="Arial"/>
                          <w:sz w:val="22"/>
                          <w:szCs w:val="22"/>
                        </w:rPr>
                      </w:pPr>
                      <w:r w:rsidRPr="00E57576">
                        <w:rPr>
                          <w:rFonts w:ascii="Arial" w:hAnsi="Arial" w:cs="Arial"/>
                          <w:b/>
                          <w:bCs/>
                        </w:rPr>
                        <w:t>UPOZORNĚNÍ</w:t>
                      </w:r>
                    </w:p>
                    <w:p w14:paraId="7782EB42" w14:textId="0274D2BD" w:rsidR="00826EB7" w:rsidRDefault="00826EB7" w:rsidP="00E57576">
                      <w:pPr>
                        <w:spacing w:before="240"/>
                        <w:jc w:val="both"/>
                        <w:rPr>
                          <w:rFonts w:ascii="Arial" w:hAnsi="Arial" w:cs="Arial"/>
                          <w:sz w:val="22"/>
                          <w:szCs w:val="22"/>
                        </w:rPr>
                      </w:pPr>
                      <w:r w:rsidRPr="00826EB7">
                        <w:rPr>
                          <w:rFonts w:ascii="Arial" w:hAnsi="Arial" w:cs="Arial"/>
                          <w:sz w:val="22"/>
                          <w:szCs w:val="22"/>
                        </w:rPr>
                        <w:t xml:space="preserve">Pro účely této výzvy je nutné započíst hodnotu 1 za každý podpořený urgentní příjem každého poskytovatele (nemocnici), za kterého je předkládán projekt. </w:t>
                      </w:r>
                    </w:p>
                    <w:p w14:paraId="6B616B19" w14:textId="77777777" w:rsidR="00CD40BC" w:rsidRPr="00B30310" w:rsidRDefault="00CD40BC" w:rsidP="00CD40BC">
                      <w:pPr>
                        <w:jc w:val="both"/>
                        <w:rPr>
                          <w:rFonts w:ascii="Arial" w:hAnsi="Arial" w:cs="Arial"/>
                          <w:highlight w:val="green"/>
                        </w:rPr>
                      </w:pPr>
                    </w:p>
                    <w:p w14:paraId="13569F09" w14:textId="6D0FF1FA" w:rsidR="00CD40BC" w:rsidRPr="00A05961" w:rsidRDefault="00CD40BC" w:rsidP="00CD40BC">
                      <w:pPr>
                        <w:rPr>
                          <w:rFonts w:ascii="Arial" w:hAnsi="Arial" w:cs="Arial"/>
                          <w:sz w:val="22"/>
                          <w:szCs w:val="22"/>
                        </w:rPr>
                      </w:pPr>
                      <w:r w:rsidRPr="00A05961">
                        <w:rPr>
                          <w:rFonts w:ascii="Arial" w:hAnsi="Arial" w:cs="Arial"/>
                          <w:sz w:val="22"/>
                          <w:szCs w:val="22"/>
                        </w:rPr>
                        <w:t>Pokud jsou pro jedno pracoviště urgentního příjmu, vyjmenované v síti urgentních příjmů I. nebo II. typu, předkládány dva projekty</w:t>
                      </w:r>
                      <w:r w:rsidR="009B6364">
                        <w:rPr>
                          <w:rFonts w:ascii="Arial" w:hAnsi="Arial" w:cs="Arial"/>
                          <w:sz w:val="22"/>
                          <w:szCs w:val="22"/>
                        </w:rPr>
                        <w:t>,</w:t>
                      </w:r>
                      <w:r w:rsidRPr="00A05961">
                        <w:rPr>
                          <w:rFonts w:ascii="Arial" w:hAnsi="Arial" w:cs="Arial"/>
                          <w:sz w:val="22"/>
                          <w:szCs w:val="22"/>
                        </w:rPr>
                        <w:t xml:space="preserve"> budou hodnoty v obou projektech identické a rovny 1.</w:t>
                      </w:r>
                    </w:p>
                    <w:p w14:paraId="1C260B22" w14:textId="541D2128" w:rsidR="00093C8E" w:rsidRPr="00E57576" w:rsidRDefault="00093C8E" w:rsidP="00CD40BC">
                      <w:pPr>
                        <w:spacing w:before="240"/>
                        <w:jc w:val="both"/>
                        <w:rPr>
                          <w:rFonts w:ascii="Arial" w:hAnsi="Arial" w:cs="Arial"/>
                        </w:rPr>
                      </w:pPr>
                    </w:p>
                  </w:txbxContent>
                </v:textbox>
                <w10:anchorlock/>
              </v:shape>
            </w:pict>
          </mc:Fallback>
        </mc:AlternateContent>
      </w: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7118D667"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Každé pracoviště </w:t>
      </w:r>
      <w:r w:rsidR="002479EC">
        <w:rPr>
          <w:rFonts w:ascii="Arial" w:hAnsi="Arial" w:cs="Arial"/>
          <w:sz w:val="22"/>
          <w:szCs w:val="22"/>
        </w:rPr>
        <w:t xml:space="preserve">urgentního příjmu </w:t>
      </w:r>
      <w:r w:rsidR="00147A9E" w:rsidRPr="00BA47FE">
        <w:rPr>
          <w:rFonts w:ascii="Arial" w:hAnsi="Arial" w:cs="Arial"/>
          <w:sz w:val="22"/>
          <w:szCs w:val="22"/>
        </w:rPr>
        <w:t xml:space="preserve">může být započteno nejvýše 1x.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w:t>
      </w:r>
      <w:r w:rsidRPr="00BA47FE">
        <w:rPr>
          <w:rFonts w:ascii="Arial" w:hAnsi="Arial" w:cs="Arial"/>
          <w:sz w:val="22"/>
          <w:szCs w:val="22"/>
        </w:rPr>
        <w:lastRenderedPageBreak/>
        <w:t xml:space="preserve">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88"/>
        <w:gridCol w:w="4678"/>
      </w:tblGrid>
      <w:tr w:rsidR="008904D1" w:rsidRPr="00346FE1" w14:paraId="1DEC8611" w14:textId="77777777" w:rsidTr="00E57576">
        <w:trPr>
          <w:trHeight w:val="1793"/>
        </w:trPr>
        <w:tc>
          <w:tcPr>
            <w:tcW w:w="4588"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108A8536" w14:textId="6B9986FE"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p w14:paraId="36B665A2" w14:textId="0504D2B3" w:rsidR="00E3798F" w:rsidRPr="00346FE1" w:rsidRDefault="00E3798F" w:rsidP="00E57576">
            <w:pPr>
              <w:pStyle w:val="Odstavecseseznamem"/>
              <w:spacing w:before="120" w:after="120" w:line="271" w:lineRule="auto"/>
              <w:jc w:val="both"/>
              <w:rPr>
                <w:rFonts w:ascii="Arial" w:hAnsi="Arial" w:cs="Arial"/>
                <w:sz w:val="22"/>
                <w:szCs w:val="22"/>
              </w:rPr>
            </w:pPr>
          </w:p>
        </w:tc>
        <w:tc>
          <w:tcPr>
            <w:tcW w:w="4678"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1A2E0824" w14:textId="70CEF22B" w:rsidR="00A13752" w:rsidRPr="00FF1B6E" w:rsidRDefault="00FF1B6E" w:rsidP="00FF1B6E">
            <w:pPr>
              <w:spacing w:before="120" w:after="120" w:line="271" w:lineRule="auto"/>
              <w:rPr>
                <w:rFonts w:ascii="Arial" w:hAnsi="Arial" w:cs="Arial"/>
                <w:sz w:val="22"/>
                <w:szCs w:val="22"/>
              </w:rPr>
            </w:pPr>
            <w:r>
              <w:rPr>
                <w:rFonts w:ascii="Arial" w:hAnsi="Arial" w:cs="Arial"/>
                <w:sz w:val="22"/>
                <w:szCs w:val="22"/>
              </w:rPr>
              <w:t>-i</w:t>
            </w:r>
            <w:r w:rsidR="008904D1" w:rsidRPr="00FF1B6E">
              <w:rPr>
                <w:rFonts w:ascii="Arial" w:hAnsi="Arial" w:cs="Arial"/>
                <w:sz w:val="22"/>
                <w:szCs w:val="22"/>
              </w:rPr>
              <w:t xml:space="preserve">ndikátor je dokládán vždy v Závěrečné zprávě o realizaci, 1. </w:t>
            </w:r>
            <w:proofErr w:type="spellStart"/>
            <w:r w:rsidR="008904D1" w:rsidRPr="00FF1B6E">
              <w:rPr>
                <w:rFonts w:ascii="Arial" w:hAnsi="Arial" w:cs="Arial"/>
                <w:sz w:val="22"/>
                <w:szCs w:val="22"/>
              </w:rPr>
              <w:t>ZoU</w:t>
            </w:r>
            <w:proofErr w:type="spellEnd"/>
            <w:r w:rsidR="008904D1" w:rsidRPr="00FF1B6E">
              <w:rPr>
                <w:rFonts w:ascii="Arial" w:hAnsi="Arial" w:cs="Arial"/>
                <w:sz w:val="22"/>
                <w:szCs w:val="22"/>
              </w:rPr>
              <w:t xml:space="preserve"> nemá žádné pevně stanovené materiály</w:t>
            </w:r>
          </w:p>
          <w:p w14:paraId="232D6F4F" w14:textId="310CEB0F" w:rsidR="00A13752" w:rsidRPr="00E57576" w:rsidRDefault="00A13752" w:rsidP="00826EB7">
            <w:pPr>
              <w:spacing w:before="120" w:after="120" w:line="271" w:lineRule="auto"/>
              <w:rPr>
                <w:rFonts w:ascii="Arial" w:hAnsi="Arial" w:cs="Arial"/>
                <w:b/>
                <w:bCs/>
                <w:sz w:val="22"/>
                <w:szCs w:val="22"/>
              </w:rPr>
            </w:pPr>
            <w:bookmarkStart w:id="7" w:name="_Hlk182388924"/>
            <w:r w:rsidRPr="00E57576">
              <w:rPr>
                <w:rFonts w:ascii="Arial" w:hAnsi="Arial" w:cs="Arial"/>
                <w:b/>
                <w:bCs/>
                <w:sz w:val="22"/>
                <w:szCs w:val="22"/>
              </w:rPr>
              <w:t>V</w:t>
            </w:r>
            <w:r w:rsidR="00E57576" w:rsidRPr="00E57576">
              <w:rPr>
                <w:rFonts w:ascii="Arial" w:hAnsi="Arial" w:cs="Arial"/>
                <w:b/>
                <w:bCs/>
                <w:sz w:val="22"/>
                <w:szCs w:val="22"/>
              </w:rPr>
              <w:t xml:space="preserve"> 1. Zprávě o udržitelnosti a </w:t>
            </w:r>
            <w:r w:rsidRPr="00E57576">
              <w:rPr>
                <w:rFonts w:ascii="Arial" w:hAnsi="Arial" w:cs="Arial"/>
                <w:b/>
                <w:bCs/>
                <w:sz w:val="22"/>
                <w:szCs w:val="22"/>
              </w:rPr>
              <w:t xml:space="preserve">každé následující </w:t>
            </w:r>
            <w:proofErr w:type="spellStart"/>
            <w:r w:rsidRPr="00E57576">
              <w:rPr>
                <w:rFonts w:ascii="Arial" w:hAnsi="Arial" w:cs="Arial"/>
                <w:b/>
                <w:bCs/>
                <w:sz w:val="22"/>
                <w:szCs w:val="22"/>
              </w:rPr>
              <w:t>Z</w:t>
            </w:r>
            <w:r w:rsidR="001F7E76" w:rsidRPr="00E57576">
              <w:rPr>
                <w:rFonts w:ascii="Arial" w:hAnsi="Arial" w:cs="Arial"/>
                <w:b/>
                <w:bCs/>
                <w:sz w:val="22"/>
                <w:szCs w:val="22"/>
              </w:rPr>
              <w:t>oU</w:t>
            </w:r>
            <w:proofErr w:type="spellEnd"/>
            <w:r w:rsidR="001F7E76" w:rsidRPr="00E57576">
              <w:rPr>
                <w:rFonts w:ascii="Arial" w:hAnsi="Arial" w:cs="Arial"/>
                <w:b/>
                <w:bCs/>
                <w:sz w:val="22"/>
                <w:szCs w:val="22"/>
              </w:rPr>
              <w:t>:</w:t>
            </w:r>
          </w:p>
          <w:bookmarkEnd w:id="7"/>
          <w:p w14:paraId="4D8251EE" w14:textId="13CC7B69" w:rsidR="00A80746" w:rsidRPr="00E57576" w:rsidRDefault="00A80746" w:rsidP="00E57576">
            <w:pPr>
              <w:spacing w:before="120" w:after="120" w:line="271" w:lineRule="auto"/>
              <w:jc w:val="both"/>
              <w:rPr>
                <w:rFonts w:ascii="Arial" w:hAnsi="Arial" w:cs="Arial"/>
                <w:sz w:val="22"/>
                <w:szCs w:val="22"/>
              </w:rPr>
            </w:pPr>
            <w:r w:rsidRPr="00E57576">
              <w:rPr>
                <w:rFonts w:ascii="Arial" w:hAnsi="Arial" w:cs="Arial"/>
                <w:sz w:val="22"/>
                <w:szCs w:val="22"/>
              </w:rPr>
              <w:t xml:space="preserve">- vykázání ročních parametrů ze systému pro sledování kvality minimálně v následujících parametrech: </w:t>
            </w:r>
          </w:p>
          <w:p w14:paraId="1B8DF966" w14:textId="77777777" w:rsidR="00A80746" w:rsidRPr="00E57576" w:rsidRDefault="00A80746" w:rsidP="00E57576">
            <w:pPr>
              <w:rPr>
                <w:rFonts w:ascii="Arial" w:hAnsi="Arial" w:cs="Arial"/>
                <w:sz w:val="22"/>
                <w:szCs w:val="22"/>
              </w:rPr>
            </w:pPr>
            <w:r w:rsidRPr="00E57576">
              <w:rPr>
                <w:rFonts w:ascii="Arial" w:hAnsi="Arial" w:cs="Arial"/>
                <w:sz w:val="22"/>
                <w:szCs w:val="22"/>
              </w:rPr>
              <w:t>• doba čekání na vyšetření (</w:t>
            </w:r>
            <w:proofErr w:type="spellStart"/>
            <w:r w:rsidRPr="00E57576">
              <w:rPr>
                <w:rFonts w:ascii="Arial" w:hAnsi="Arial" w:cs="Arial"/>
                <w:sz w:val="22"/>
                <w:szCs w:val="22"/>
              </w:rPr>
              <w:t>waiting</w:t>
            </w:r>
            <w:proofErr w:type="spellEnd"/>
            <w:r w:rsidRPr="00E57576">
              <w:rPr>
                <w:rFonts w:ascii="Arial" w:hAnsi="Arial" w:cs="Arial"/>
                <w:sz w:val="22"/>
                <w:szCs w:val="22"/>
              </w:rPr>
              <w:t xml:space="preserve"> </w:t>
            </w:r>
            <w:proofErr w:type="spellStart"/>
            <w:r w:rsidRPr="00E57576">
              <w:rPr>
                <w:rFonts w:ascii="Arial" w:hAnsi="Arial" w:cs="Arial"/>
                <w:sz w:val="22"/>
                <w:szCs w:val="22"/>
              </w:rPr>
              <w:t>room</w:t>
            </w:r>
            <w:proofErr w:type="spellEnd"/>
            <w:r w:rsidRPr="00E57576">
              <w:rPr>
                <w:rFonts w:ascii="Arial" w:hAnsi="Arial" w:cs="Arial"/>
                <w:sz w:val="22"/>
                <w:szCs w:val="22"/>
              </w:rPr>
              <w:t xml:space="preserve"> </w:t>
            </w:r>
            <w:proofErr w:type="spellStart"/>
            <w:r w:rsidRPr="00E57576">
              <w:rPr>
                <w:rFonts w:ascii="Arial" w:hAnsi="Arial" w:cs="Arial"/>
                <w:sz w:val="22"/>
                <w:szCs w:val="22"/>
              </w:rPr>
              <w:t>time</w:t>
            </w:r>
            <w:proofErr w:type="spellEnd"/>
            <w:r w:rsidRPr="00E57576">
              <w:rPr>
                <w:rFonts w:ascii="Arial" w:hAnsi="Arial" w:cs="Arial"/>
                <w:sz w:val="22"/>
                <w:szCs w:val="22"/>
              </w:rPr>
              <w:t xml:space="preserve">) </w:t>
            </w:r>
          </w:p>
          <w:p w14:paraId="30A571AE" w14:textId="77777777" w:rsidR="00A80746" w:rsidRPr="00E57576" w:rsidRDefault="00A80746" w:rsidP="00E57576">
            <w:pPr>
              <w:rPr>
                <w:rFonts w:ascii="Arial" w:hAnsi="Arial" w:cs="Arial"/>
                <w:sz w:val="22"/>
                <w:szCs w:val="22"/>
              </w:rPr>
            </w:pPr>
            <w:r w:rsidRPr="00E57576">
              <w:rPr>
                <w:rFonts w:ascii="Arial" w:hAnsi="Arial" w:cs="Arial"/>
                <w:sz w:val="22"/>
                <w:szCs w:val="22"/>
              </w:rPr>
              <w:t>• celkový čas strávený na urgentním příjmu (</w:t>
            </w:r>
            <w:proofErr w:type="spellStart"/>
            <w:r w:rsidRPr="00E57576">
              <w:rPr>
                <w:rFonts w:ascii="Arial" w:hAnsi="Arial" w:cs="Arial"/>
                <w:sz w:val="22"/>
                <w:szCs w:val="22"/>
              </w:rPr>
              <w:t>lenght</w:t>
            </w:r>
            <w:proofErr w:type="spellEnd"/>
            <w:r w:rsidRPr="00E57576">
              <w:rPr>
                <w:rFonts w:ascii="Arial" w:hAnsi="Arial" w:cs="Arial"/>
                <w:sz w:val="22"/>
                <w:szCs w:val="22"/>
              </w:rPr>
              <w:t xml:space="preserve"> </w:t>
            </w:r>
            <w:proofErr w:type="spellStart"/>
            <w:r w:rsidRPr="00E57576">
              <w:rPr>
                <w:rFonts w:ascii="Arial" w:hAnsi="Arial" w:cs="Arial"/>
                <w:sz w:val="22"/>
                <w:szCs w:val="22"/>
              </w:rPr>
              <w:t>of</w:t>
            </w:r>
            <w:proofErr w:type="spellEnd"/>
            <w:r w:rsidRPr="00E57576">
              <w:rPr>
                <w:rFonts w:ascii="Arial" w:hAnsi="Arial" w:cs="Arial"/>
                <w:sz w:val="22"/>
                <w:szCs w:val="22"/>
              </w:rPr>
              <w:t xml:space="preserve"> </w:t>
            </w:r>
            <w:proofErr w:type="spellStart"/>
            <w:r w:rsidRPr="00E57576">
              <w:rPr>
                <w:rFonts w:ascii="Arial" w:hAnsi="Arial" w:cs="Arial"/>
                <w:sz w:val="22"/>
                <w:szCs w:val="22"/>
              </w:rPr>
              <w:t>stay</w:t>
            </w:r>
            <w:proofErr w:type="spellEnd"/>
            <w:r w:rsidRPr="00E57576">
              <w:rPr>
                <w:rFonts w:ascii="Arial" w:hAnsi="Arial" w:cs="Arial"/>
                <w:sz w:val="22"/>
                <w:szCs w:val="22"/>
              </w:rPr>
              <w:t xml:space="preserve">) </w:t>
            </w:r>
          </w:p>
          <w:p w14:paraId="5606FFD2" w14:textId="77777777" w:rsidR="00A80746" w:rsidRPr="00E57576" w:rsidRDefault="00A80746" w:rsidP="00E57576">
            <w:pPr>
              <w:rPr>
                <w:rFonts w:ascii="Arial" w:hAnsi="Arial" w:cs="Arial"/>
                <w:sz w:val="22"/>
                <w:szCs w:val="22"/>
              </w:rPr>
            </w:pPr>
            <w:r w:rsidRPr="00E57576">
              <w:rPr>
                <w:rFonts w:ascii="Arial" w:hAnsi="Arial" w:cs="Arial"/>
                <w:sz w:val="22"/>
                <w:szCs w:val="22"/>
              </w:rPr>
              <w:t>• množství neplánovaných opakovaných návštěv (re-</w:t>
            </w:r>
            <w:proofErr w:type="spellStart"/>
            <w:r w:rsidRPr="00E57576">
              <w:rPr>
                <w:rFonts w:ascii="Arial" w:hAnsi="Arial" w:cs="Arial"/>
                <w:sz w:val="22"/>
                <w:szCs w:val="22"/>
              </w:rPr>
              <w:t>attendance</w:t>
            </w:r>
            <w:proofErr w:type="spellEnd"/>
            <w:r w:rsidRPr="00E57576">
              <w:rPr>
                <w:rFonts w:ascii="Arial" w:hAnsi="Arial" w:cs="Arial"/>
                <w:sz w:val="22"/>
                <w:szCs w:val="22"/>
              </w:rPr>
              <w:t xml:space="preserve"> </w:t>
            </w:r>
            <w:proofErr w:type="spellStart"/>
            <w:r w:rsidRPr="00E57576">
              <w:rPr>
                <w:rFonts w:ascii="Arial" w:hAnsi="Arial" w:cs="Arial"/>
                <w:sz w:val="22"/>
                <w:szCs w:val="22"/>
              </w:rPr>
              <w:t>rate</w:t>
            </w:r>
            <w:proofErr w:type="spellEnd"/>
            <w:r w:rsidRPr="00E57576">
              <w:rPr>
                <w:rFonts w:ascii="Arial" w:hAnsi="Arial" w:cs="Arial"/>
                <w:sz w:val="22"/>
                <w:szCs w:val="22"/>
              </w:rPr>
              <w:t xml:space="preserve">) </w:t>
            </w:r>
          </w:p>
          <w:p w14:paraId="6590EC6F" w14:textId="77777777" w:rsidR="00A80746" w:rsidRPr="00E57576" w:rsidRDefault="00A80746" w:rsidP="00E57576">
            <w:pPr>
              <w:rPr>
                <w:rFonts w:ascii="Arial" w:hAnsi="Arial" w:cs="Arial"/>
                <w:sz w:val="22"/>
                <w:szCs w:val="22"/>
              </w:rPr>
            </w:pPr>
            <w:r w:rsidRPr="00E57576">
              <w:rPr>
                <w:rFonts w:ascii="Arial" w:hAnsi="Arial" w:cs="Arial"/>
                <w:sz w:val="22"/>
                <w:szCs w:val="22"/>
              </w:rPr>
              <w:t>• počet neošetřených pacientů (</w:t>
            </w:r>
            <w:proofErr w:type="spellStart"/>
            <w:r w:rsidRPr="00E57576">
              <w:rPr>
                <w:rFonts w:ascii="Arial" w:hAnsi="Arial" w:cs="Arial"/>
                <w:sz w:val="22"/>
                <w:szCs w:val="22"/>
              </w:rPr>
              <w:t>left</w:t>
            </w:r>
            <w:proofErr w:type="spellEnd"/>
            <w:r w:rsidRPr="00E57576">
              <w:rPr>
                <w:rFonts w:ascii="Arial" w:hAnsi="Arial" w:cs="Arial"/>
                <w:sz w:val="22"/>
                <w:szCs w:val="22"/>
              </w:rPr>
              <w:t xml:space="preserve"> </w:t>
            </w:r>
            <w:proofErr w:type="spellStart"/>
            <w:r w:rsidRPr="00E57576">
              <w:rPr>
                <w:rFonts w:ascii="Arial" w:hAnsi="Arial" w:cs="Arial"/>
                <w:sz w:val="22"/>
                <w:szCs w:val="22"/>
              </w:rPr>
              <w:t>without</w:t>
            </w:r>
            <w:proofErr w:type="spellEnd"/>
            <w:r w:rsidRPr="00E57576">
              <w:rPr>
                <w:rFonts w:ascii="Arial" w:hAnsi="Arial" w:cs="Arial"/>
                <w:sz w:val="22"/>
                <w:szCs w:val="22"/>
              </w:rPr>
              <w:t xml:space="preserve"> </w:t>
            </w:r>
            <w:proofErr w:type="spellStart"/>
            <w:r w:rsidRPr="00E57576">
              <w:rPr>
                <w:rFonts w:ascii="Arial" w:hAnsi="Arial" w:cs="Arial"/>
                <w:sz w:val="22"/>
                <w:szCs w:val="22"/>
              </w:rPr>
              <w:t>beeing</w:t>
            </w:r>
            <w:proofErr w:type="spellEnd"/>
            <w:r w:rsidRPr="00E57576">
              <w:rPr>
                <w:rFonts w:ascii="Arial" w:hAnsi="Arial" w:cs="Arial"/>
                <w:sz w:val="22"/>
                <w:szCs w:val="22"/>
              </w:rPr>
              <w:t xml:space="preserve"> </w:t>
            </w:r>
            <w:proofErr w:type="spellStart"/>
            <w:r w:rsidRPr="00E57576">
              <w:rPr>
                <w:rFonts w:ascii="Arial" w:hAnsi="Arial" w:cs="Arial"/>
                <w:sz w:val="22"/>
                <w:szCs w:val="22"/>
              </w:rPr>
              <w:t>seen</w:t>
            </w:r>
            <w:proofErr w:type="spellEnd"/>
            <w:r w:rsidRPr="00E57576">
              <w:rPr>
                <w:rFonts w:ascii="Arial" w:hAnsi="Arial" w:cs="Arial"/>
                <w:sz w:val="22"/>
                <w:szCs w:val="22"/>
              </w:rPr>
              <w:t>)</w:t>
            </w:r>
          </w:p>
          <w:p w14:paraId="7F7A9D2B" w14:textId="702F9D59" w:rsidR="00A80746" w:rsidRPr="002479EC" w:rsidRDefault="00A80746" w:rsidP="00E57576">
            <w:pPr>
              <w:spacing w:before="120" w:after="120" w:line="271" w:lineRule="auto"/>
              <w:jc w:val="both"/>
              <w:rPr>
                <w:rFonts w:ascii="Arial" w:hAnsi="Arial" w:cs="Arial"/>
                <w:b/>
                <w:bCs/>
                <w:sz w:val="22"/>
                <w:szCs w:val="22"/>
              </w:rPr>
            </w:pP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BA47F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78BCFB3F" w14:textId="77777777" w:rsidR="000A2FD1" w:rsidRDefault="000A2FD1" w:rsidP="000A2FD1">
      <w:pPr>
        <w:spacing w:after="200" w:line="276" w:lineRule="auto"/>
        <w:jc w:val="center"/>
        <w:rPr>
          <w:rFonts w:ascii="Arial" w:eastAsia="Calibri" w:hAnsi="Arial" w:cs="Arial"/>
          <w:caps/>
          <w:color w:val="7F7F7F"/>
          <w:sz w:val="32"/>
          <w:szCs w:val="32"/>
          <w:lang w:eastAsia="en-US"/>
        </w:rPr>
      </w:pP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3233C1E" w14:textId="02917B8B" w:rsidR="002479EC" w:rsidRPr="009A4CBD" w:rsidRDefault="000A2FD1" w:rsidP="001F7E76">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 xml:space="preserve">či nově poskytovanou péči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1157BDC2" w14:textId="52B077E0" w:rsidR="001F7E76" w:rsidRDefault="001F7E76" w:rsidP="000A2FD1">
      <w:pPr>
        <w:pStyle w:val="Nadpis1"/>
        <w:spacing w:after="0"/>
        <w:ind w:left="0"/>
        <w:jc w:val="both"/>
        <w:rPr>
          <w:rStyle w:val="Zdraznnintenzivn"/>
          <w:rFonts w:ascii="Arial" w:hAnsi="Arial" w:cs="Arial"/>
          <w:color w:val="31849B" w:themeColor="accent5" w:themeShade="BF"/>
        </w:rPr>
      </w:pPr>
      <w:r>
        <w:rPr>
          <w:rFonts w:ascii="Arial" w:hAnsi="Arial" w:cs="Arial"/>
          <w:b w:val="0"/>
          <w:bCs w:val="0"/>
          <w:noProof/>
          <w:sz w:val="22"/>
          <w:szCs w:val="22"/>
        </w:rPr>
        <mc:AlternateContent>
          <mc:Choice Requires="wps">
            <w:drawing>
              <wp:inline distT="0" distB="0" distL="0" distR="0" wp14:anchorId="03C8BFE6" wp14:editId="4CA7805D">
                <wp:extent cx="5759450" cy="1200150"/>
                <wp:effectExtent l="0" t="0" r="12700" b="19050"/>
                <wp:docPr id="1266384063" name="Textové pole 2"/>
                <wp:cNvGraphicFramePr/>
                <a:graphic xmlns:a="http://schemas.openxmlformats.org/drawingml/2006/main">
                  <a:graphicData uri="http://schemas.microsoft.com/office/word/2010/wordprocessingShape">
                    <wps:wsp>
                      <wps:cNvSpPr txBox="1"/>
                      <wps:spPr>
                        <a:xfrm>
                          <a:off x="0" y="0"/>
                          <a:ext cx="5759450" cy="1200150"/>
                        </a:xfrm>
                        <a:prstGeom prst="rect">
                          <a:avLst/>
                        </a:prstGeom>
                        <a:solidFill>
                          <a:schemeClr val="lt1"/>
                        </a:solidFill>
                        <a:ln w="6350">
                          <a:solidFill>
                            <a:prstClr val="black"/>
                          </a:solidFill>
                        </a:ln>
                      </wps:spPr>
                      <wps:txbx>
                        <w:txbxContent>
                          <w:p w14:paraId="5EE93654" w14:textId="2528767F" w:rsidR="001F7E76" w:rsidRPr="00AA7F96" w:rsidRDefault="001F7E76" w:rsidP="001F7E76">
                            <w:pPr>
                              <w:spacing w:before="240"/>
                              <w:rPr>
                                <w:rFonts w:ascii="Arial" w:hAnsi="Arial" w:cs="Arial"/>
                                <w:sz w:val="22"/>
                                <w:szCs w:val="22"/>
                              </w:rPr>
                            </w:pPr>
                            <w:r w:rsidRPr="00E57576">
                              <w:rPr>
                                <w:rFonts w:ascii="Arial" w:hAnsi="Arial" w:cs="Arial"/>
                                <w:b/>
                                <w:bCs/>
                              </w:rPr>
                              <w:t>UPOZORNĚNÍ</w:t>
                            </w:r>
                          </w:p>
                          <w:p w14:paraId="33D621C3" w14:textId="212B44EC" w:rsidR="001F7E76" w:rsidRDefault="001F7E76" w:rsidP="00E57576">
                            <w:pPr>
                              <w:spacing w:before="240"/>
                              <w:jc w:val="both"/>
                              <w:rPr>
                                <w:rFonts w:ascii="Arial" w:hAnsi="Arial" w:cs="Arial"/>
                                <w:sz w:val="22"/>
                                <w:szCs w:val="22"/>
                              </w:rPr>
                            </w:pPr>
                            <w:r w:rsidRPr="00BA5909">
                              <w:rPr>
                                <w:rFonts w:ascii="Arial" w:hAnsi="Arial" w:cs="Arial"/>
                                <w:sz w:val="22"/>
                                <w:szCs w:val="22"/>
                              </w:rPr>
                              <w:t xml:space="preserve">Pro účely </w:t>
                            </w:r>
                            <w:r>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splňující definici oprávněného žadatele. </w:t>
                            </w:r>
                            <w:r>
                              <w:rPr>
                                <w:rFonts w:ascii="Arial" w:hAnsi="Arial" w:cs="Arial"/>
                                <w:sz w:val="22"/>
                                <w:szCs w:val="22"/>
                              </w:rPr>
                              <w:t>V rámci zdravotnického zařízení se pak jedná o urgentní příjem poskytovatele lůžkové péče uvedeného ve standardizované síti urgentních příjmů.</w:t>
                            </w:r>
                          </w:p>
                          <w:p w14:paraId="2AD68057" w14:textId="77777777" w:rsidR="00CD40BC" w:rsidRPr="00E57576" w:rsidRDefault="00CD40BC" w:rsidP="00E57576">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3C8BFE6" id="_x0000_s1030" type="#_x0000_t202" style="width:453.5pt;height: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" fillcolor="white [3201]" strokeweight=".5pt">
                <v:textbox>
                  <w:txbxContent>
                    <w:p w14:paraId="5EE93654" w14:textId="2528767F" w:rsidR="001F7E76" w:rsidRPr="00AA7F96" w:rsidRDefault="001F7E76" w:rsidP="001F7E76">
                      <w:pPr>
                        <w:spacing w:before="240"/>
                        <w:rPr>
                          <w:rFonts w:ascii="Arial" w:hAnsi="Arial" w:cs="Arial"/>
                          <w:sz w:val="22"/>
                          <w:szCs w:val="22"/>
                        </w:rPr>
                      </w:pPr>
                      <w:r w:rsidRPr="00E57576">
                        <w:rPr>
                          <w:rFonts w:ascii="Arial" w:hAnsi="Arial" w:cs="Arial"/>
                          <w:b/>
                          <w:bCs/>
                        </w:rPr>
                        <w:t>UPOZORNĚNÍ</w:t>
                      </w:r>
                    </w:p>
                    <w:p w14:paraId="33D621C3" w14:textId="212B44EC" w:rsidR="001F7E76" w:rsidRDefault="001F7E76" w:rsidP="00E57576">
                      <w:pPr>
                        <w:spacing w:before="240"/>
                        <w:jc w:val="both"/>
                        <w:rPr>
                          <w:rFonts w:ascii="Arial" w:hAnsi="Arial" w:cs="Arial"/>
                          <w:sz w:val="22"/>
                          <w:szCs w:val="22"/>
                        </w:rPr>
                      </w:pPr>
                      <w:r w:rsidRPr="00BA5909">
                        <w:rPr>
                          <w:rFonts w:ascii="Arial" w:hAnsi="Arial" w:cs="Arial"/>
                          <w:sz w:val="22"/>
                          <w:szCs w:val="22"/>
                        </w:rPr>
                        <w:t xml:space="preserve">Pro účely </w:t>
                      </w:r>
                      <w:r>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splňující definici oprávněného žadatele. </w:t>
                      </w:r>
                      <w:r>
                        <w:rPr>
                          <w:rFonts w:ascii="Arial" w:hAnsi="Arial" w:cs="Arial"/>
                          <w:sz w:val="22"/>
                          <w:szCs w:val="22"/>
                        </w:rPr>
                        <w:t>V rámci zdravotnického zařízení se pak jedná o urgentní příjem poskytovatele lůžkové péče uvedeného ve standardizované síti urgentních příjmů.</w:t>
                      </w:r>
                    </w:p>
                    <w:p w14:paraId="2AD68057" w14:textId="77777777" w:rsidR="00CD40BC" w:rsidRPr="00E57576" w:rsidRDefault="00CD40BC" w:rsidP="00E57576">
                      <w:pPr>
                        <w:spacing w:before="240"/>
                        <w:jc w:val="both"/>
                        <w:rPr>
                          <w:rFonts w:ascii="Arial" w:hAnsi="Arial" w:cs="Arial"/>
                        </w:rPr>
                      </w:pPr>
                    </w:p>
                  </w:txbxContent>
                </v:textbox>
                <w10:anchorlock/>
              </v:shape>
            </w:pict>
          </mc:Fallback>
        </mc:AlternateContent>
      </w:r>
    </w:p>
    <w:p w14:paraId="11592294" w14:textId="59D3119E"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39042D0" w14:textId="7A75529E" w:rsidR="000A2FD1" w:rsidRPr="00BA5E4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nemocnice, kliniky, centra, oddělení </w:t>
      </w:r>
      <w:r>
        <w:rPr>
          <w:rFonts w:ascii="Arial" w:hAnsi="Arial" w:cs="Arial"/>
          <w:sz w:val="22"/>
          <w:szCs w:val="22"/>
        </w:rPr>
        <w:t xml:space="preserve">apod. </w:t>
      </w:r>
      <w:r w:rsidRPr="004E2951">
        <w:rPr>
          <w:rFonts w:ascii="Arial" w:hAnsi="Arial" w:cs="Arial"/>
          <w:sz w:val="22"/>
          <w:szCs w:val="22"/>
        </w:rPr>
        <w:t>či jejich částí</w:t>
      </w:r>
      <w:r>
        <w:rPr>
          <w:rFonts w:ascii="Arial" w:hAnsi="Arial" w:cs="Arial"/>
          <w:sz w:val="22"/>
          <w:szCs w:val="22"/>
        </w:rPr>
        <w:t>, a to v</w:t>
      </w:r>
      <w:r w:rsidR="00B165E3">
        <w:rPr>
          <w:rFonts w:ascii="Arial" w:hAnsi="Arial" w:cs="Arial"/>
          <w:sz w:val="22"/>
          <w:szCs w:val="22"/>
        </w:rPr>
        <w:t> </w:t>
      </w:r>
      <w:r w:rsidRPr="00BA5E43">
        <w:rPr>
          <w:rFonts w:ascii="Arial" w:hAnsi="Arial" w:cs="Arial"/>
          <w:sz w:val="22"/>
          <w:szCs w:val="22"/>
        </w:rPr>
        <w:t>podporovaných</w:t>
      </w:r>
      <w:r w:rsidR="00B165E3">
        <w:rPr>
          <w:rFonts w:ascii="Arial" w:hAnsi="Arial" w:cs="Arial"/>
          <w:sz w:val="22"/>
          <w:szCs w:val="22"/>
        </w:rPr>
        <w:t xml:space="preserve"> formách či</w:t>
      </w:r>
      <w:r w:rsidRPr="00BA5E43">
        <w:rPr>
          <w:rFonts w:ascii="Arial" w:hAnsi="Arial" w:cs="Arial"/>
          <w:sz w:val="22"/>
          <w:szCs w:val="22"/>
        </w:rPr>
        <w:t xml:space="preserve"> oborech zdravotní péče.</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000CB47D"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projektem podpořen</w:t>
      </w:r>
      <w:r w:rsidR="009B6364">
        <w:rPr>
          <w:rFonts w:ascii="Arial" w:hAnsi="Arial" w:cs="Arial"/>
          <w:sz w:val="22"/>
          <w:szCs w:val="22"/>
        </w:rPr>
        <w:t>ou kapacitu urgentního přijmu vykazovanou</w:t>
      </w:r>
      <w:r w:rsidRPr="00BA5909">
        <w:rPr>
          <w:rFonts w:ascii="Arial" w:hAnsi="Arial" w:cs="Arial"/>
          <w:sz w:val="22"/>
          <w:szCs w:val="22"/>
        </w:rPr>
        <w:t xml:space="preserve">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 xml:space="preserve">578 061 - Podpořená pracoviště zdravotní péče a ochrany veřejného </w:t>
      </w:r>
      <w:r w:rsidR="002374BC" w:rsidRPr="009B6364">
        <w:rPr>
          <w:rFonts w:ascii="Arial" w:hAnsi="Arial" w:cs="Arial"/>
          <w:i/>
          <w:iCs/>
          <w:sz w:val="22"/>
          <w:szCs w:val="22"/>
        </w:rPr>
        <w:t>zdraví</w:t>
      </w:r>
      <w:r w:rsidRPr="009B6364">
        <w:rPr>
          <w:rFonts w:ascii="Arial" w:hAnsi="Arial" w:cs="Arial"/>
          <w:sz w:val="22"/>
          <w:szCs w:val="22"/>
        </w:rPr>
        <w:t>,</w:t>
      </w:r>
      <w:r w:rsidR="009B6364" w:rsidRPr="00A05961">
        <w:rPr>
          <w:rFonts w:ascii="Arial" w:hAnsi="Arial" w:cs="Arial"/>
          <w:sz w:val="22"/>
          <w:szCs w:val="22"/>
        </w:rPr>
        <w:t xml:space="preserve"> </w:t>
      </w:r>
      <w:r w:rsidRPr="009B6364">
        <w:rPr>
          <w:rFonts w:ascii="Arial" w:hAnsi="Arial" w:cs="Arial"/>
          <w:sz w:val="22"/>
          <w:szCs w:val="22"/>
        </w:rPr>
        <w:t>nikoliv</w:t>
      </w:r>
      <w:r>
        <w:rPr>
          <w:rFonts w:ascii="Arial" w:hAnsi="Arial" w:cs="Arial"/>
          <w:sz w:val="22"/>
          <w:szCs w:val="22"/>
        </w:rPr>
        <w:t xml:space="preserve"> na celé zařízení</w:t>
      </w:r>
      <w:r w:rsidR="009B6364">
        <w:rPr>
          <w:rFonts w:ascii="Arial" w:hAnsi="Arial" w:cs="Arial"/>
          <w:sz w:val="22"/>
          <w:szCs w:val="22"/>
        </w:rPr>
        <w:t>.</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4D625A40" w14:textId="11BE8DA3" w:rsidR="009B6364" w:rsidRDefault="009B6364" w:rsidP="00581AFF">
      <w:pPr>
        <w:spacing w:before="120" w:after="120" w:line="271" w:lineRule="auto"/>
        <w:jc w:val="both"/>
        <w:rPr>
          <w:rFonts w:ascii="Arial" w:hAnsi="Arial" w:cs="Arial"/>
          <w:sz w:val="22"/>
          <w:szCs w:val="22"/>
        </w:rPr>
      </w:pPr>
      <w:r>
        <w:rPr>
          <w:rFonts w:ascii="Arial" w:hAnsi="Arial" w:cs="Arial"/>
          <w:b/>
          <w:bCs/>
          <w:noProof/>
          <w:sz w:val="22"/>
          <w:szCs w:val="22"/>
        </w:rPr>
        <w:lastRenderedPageBreak/>
        <mc:AlternateContent>
          <mc:Choice Requires="wps">
            <w:drawing>
              <wp:inline distT="0" distB="0" distL="0" distR="0" wp14:anchorId="564C6215" wp14:editId="2531FD67">
                <wp:extent cx="5829300" cy="1371600"/>
                <wp:effectExtent l="0" t="0" r="19050" b="19050"/>
                <wp:docPr id="1018224122" name="Textové pole 2"/>
                <wp:cNvGraphicFramePr/>
                <a:graphic xmlns:a="http://schemas.openxmlformats.org/drawingml/2006/main">
                  <a:graphicData uri="http://schemas.microsoft.com/office/word/2010/wordprocessingShape">
                    <wps:wsp>
                      <wps:cNvSpPr txBox="1"/>
                      <wps:spPr>
                        <a:xfrm>
                          <a:off x="0" y="0"/>
                          <a:ext cx="5829300" cy="1371600"/>
                        </a:xfrm>
                        <a:prstGeom prst="rect">
                          <a:avLst/>
                        </a:prstGeom>
                        <a:solidFill>
                          <a:schemeClr val="lt1"/>
                        </a:solidFill>
                        <a:ln w="6350">
                          <a:solidFill>
                            <a:prstClr val="black"/>
                          </a:solidFill>
                        </a:ln>
                      </wps:spPr>
                      <wps:txbx>
                        <w:txbxContent>
                          <w:p w14:paraId="7B2A6E1F" w14:textId="77777777" w:rsidR="009B6364" w:rsidRPr="00AA7F96" w:rsidRDefault="009B6364" w:rsidP="009B6364">
                            <w:pPr>
                              <w:spacing w:before="240"/>
                              <w:rPr>
                                <w:rFonts w:ascii="Arial" w:hAnsi="Arial" w:cs="Arial"/>
                                <w:sz w:val="22"/>
                                <w:szCs w:val="22"/>
                              </w:rPr>
                            </w:pPr>
                            <w:r w:rsidRPr="00E57576">
                              <w:rPr>
                                <w:rFonts w:ascii="Arial" w:hAnsi="Arial" w:cs="Arial"/>
                                <w:b/>
                                <w:bCs/>
                              </w:rPr>
                              <w:t>UPOZORNĚNÍ</w:t>
                            </w:r>
                          </w:p>
                          <w:p w14:paraId="2B0EA317" w14:textId="7A9E19DA" w:rsidR="009B6364" w:rsidRPr="00E57576" w:rsidRDefault="009B6364" w:rsidP="009B6364">
                            <w:pPr>
                              <w:spacing w:before="240"/>
                              <w:jc w:val="both"/>
                              <w:rPr>
                                <w:rFonts w:ascii="Arial" w:hAnsi="Arial" w:cs="Arial"/>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w:t>
                            </w:r>
                            <w:r w:rsidR="006D19D9">
                              <w:rPr>
                                <w:rFonts w:ascii="Arial" w:hAnsi="Arial" w:cs="Arial"/>
                                <w:sz w:val="22"/>
                                <w:szCs w:val="22"/>
                              </w:rPr>
                              <w:t xml:space="preserve"> cílové</w:t>
                            </w:r>
                            <w:r w:rsidRPr="00BD3E0C">
                              <w:rPr>
                                <w:rFonts w:ascii="Arial" w:hAnsi="Arial" w:cs="Arial"/>
                                <w:sz w:val="22"/>
                                <w:szCs w:val="22"/>
                              </w:rPr>
                              <w:t xml:space="preserve">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r w:rsidR="006D19D9">
                              <w:rPr>
                                <w:rFonts w:ascii="Arial" w:hAnsi="Arial" w:cs="Arial"/>
                                <w:sz w:val="22"/>
                                <w:szCs w:val="22"/>
                              </w:rPr>
                              <w:t xml:space="preserve"> Dosažené hodnoty se mohou lišit v závislosti na sledovaném období.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64C6215" id="_x0000_s1031" type="#_x0000_t202" style="width:459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" fillcolor="white [3201]" strokeweight=".5pt">
                <v:textbox>
                  <w:txbxContent>
                    <w:p w14:paraId="7B2A6E1F" w14:textId="77777777" w:rsidR="009B6364" w:rsidRPr="00AA7F96" w:rsidRDefault="009B6364" w:rsidP="009B6364">
                      <w:pPr>
                        <w:spacing w:before="240"/>
                        <w:rPr>
                          <w:rFonts w:ascii="Arial" w:hAnsi="Arial" w:cs="Arial"/>
                          <w:sz w:val="22"/>
                          <w:szCs w:val="22"/>
                        </w:rPr>
                      </w:pPr>
                      <w:r w:rsidRPr="00E57576">
                        <w:rPr>
                          <w:rFonts w:ascii="Arial" w:hAnsi="Arial" w:cs="Arial"/>
                          <w:b/>
                          <w:bCs/>
                        </w:rPr>
                        <w:t>UPOZORNĚNÍ</w:t>
                      </w:r>
                    </w:p>
                    <w:p w14:paraId="2B0EA317" w14:textId="7A9E19DA" w:rsidR="009B6364" w:rsidRPr="00E57576" w:rsidRDefault="009B6364" w:rsidP="009B6364">
                      <w:pPr>
                        <w:spacing w:before="240"/>
                        <w:jc w:val="both"/>
                        <w:rPr>
                          <w:rFonts w:ascii="Arial" w:hAnsi="Arial" w:cs="Arial"/>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w:t>
                      </w:r>
                      <w:r w:rsidR="006D19D9">
                        <w:rPr>
                          <w:rFonts w:ascii="Arial" w:hAnsi="Arial" w:cs="Arial"/>
                          <w:sz w:val="22"/>
                          <w:szCs w:val="22"/>
                        </w:rPr>
                        <w:t xml:space="preserve"> cílové</w:t>
                      </w:r>
                      <w:r w:rsidRPr="00BD3E0C">
                        <w:rPr>
                          <w:rFonts w:ascii="Arial" w:hAnsi="Arial" w:cs="Arial"/>
                          <w:sz w:val="22"/>
                          <w:szCs w:val="22"/>
                        </w:rPr>
                        <w:t xml:space="preserve">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r w:rsidR="006D19D9">
                        <w:rPr>
                          <w:rFonts w:ascii="Arial" w:hAnsi="Arial" w:cs="Arial"/>
                          <w:sz w:val="22"/>
                          <w:szCs w:val="22"/>
                        </w:rPr>
                        <w:t xml:space="preserve"> Dosažené hodnoty se mohou lišit v závislosti na sledovaném období. </w:t>
                      </w:r>
                    </w:p>
                  </w:txbxContent>
                </v:textbox>
                <w10:anchorlock/>
              </v:shape>
            </w:pict>
          </mc:Fallback>
        </mc:AlternateConten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34740D68" w14:textId="6D6D60F9" w:rsidR="00EB448F"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bookmarkStart w:id="9" w:name="_Hlk116378416"/>
    </w:p>
    <w:bookmarkEnd w:id="9"/>
    <w:p w14:paraId="5BA5963F" w14:textId="60BBB580" w:rsidR="001F7E76" w:rsidRDefault="001F7E76" w:rsidP="000A2FD1">
      <w:pPr>
        <w:spacing w:after="200" w:line="276" w:lineRule="auto"/>
        <w:jc w:val="both"/>
        <w:rPr>
          <w:rFonts w:ascii="Arial" w:hAnsi="Arial" w:cs="Arial"/>
          <w:b/>
          <w:bCs/>
          <w:sz w:val="22"/>
          <w:szCs w:val="22"/>
        </w:rPr>
      </w:pPr>
      <w:r>
        <w:rPr>
          <w:rFonts w:ascii="Arial" w:hAnsi="Arial" w:cs="Arial"/>
          <w:b/>
          <w:bCs/>
          <w:noProof/>
          <w:sz w:val="22"/>
          <w:szCs w:val="22"/>
        </w:rPr>
        <mc:AlternateContent>
          <mc:Choice Requires="wps">
            <w:drawing>
              <wp:inline distT="0" distB="0" distL="0" distR="0" wp14:anchorId="1C2ED5C8" wp14:editId="2508E53A">
                <wp:extent cx="5759450" cy="2143125"/>
                <wp:effectExtent l="0" t="0" r="12700" b="28575"/>
                <wp:docPr id="1719464509" name="Textové pole 2"/>
                <wp:cNvGraphicFramePr/>
                <a:graphic xmlns:a="http://schemas.openxmlformats.org/drawingml/2006/main">
                  <a:graphicData uri="http://schemas.microsoft.com/office/word/2010/wordprocessingShape">
                    <wps:wsp>
                      <wps:cNvSpPr txBox="1"/>
                      <wps:spPr>
                        <a:xfrm>
                          <a:off x="0" y="0"/>
                          <a:ext cx="5759450" cy="2143125"/>
                        </a:xfrm>
                        <a:prstGeom prst="rect">
                          <a:avLst/>
                        </a:prstGeom>
                        <a:solidFill>
                          <a:schemeClr val="lt1"/>
                        </a:solidFill>
                        <a:ln w="6350">
                          <a:solidFill>
                            <a:prstClr val="black"/>
                          </a:solidFill>
                        </a:ln>
                      </wps:spPr>
                      <wps:txbx>
                        <w:txbxContent>
                          <w:p w14:paraId="55CA14E1" w14:textId="10F3B1E9" w:rsidR="001F7E76" w:rsidRPr="00AA7F96" w:rsidRDefault="001F7E76" w:rsidP="001F7E76">
                            <w:pPr>
                              <w:spacing w:before="240"/>
                              <w:rPr>
                                <w:rFonts w:ascii="Arial" w:hAnsi="Arial" w:cs="Arial"/>
                                <w:sz w:val="22"/>
                                <w:szCs w:val="22"/>
                              </w:rPr>
                            </w:pPr>
                            <w:r w:rsidRPr="001F7E76">
                              <w:rPr>
                                <w:rFonts w:ascii="Arial" w:hAnsi="Arial" w:cs="Arial"/>
                                <w:b/>
                                <w:bCs/>
                              </w:rPr>
                              <w:t>PŘÍKLAD</w:t>
                            </w:r>
                          </w:p>
                          <w:p w14:paraId="5AF1F017" w14:textId="17C2F20B" w:rsidR="001F7E76" w:rsidRPr="001F7E76" w:rsidRDefault="001F7E76" w:rsidP="007F6918">
                            <w:pPr>
                              <w:spacing w:before="240"/>
                              <w:jc w:val="both"/>
                              <w:rPr>
                                <w:rFonts w:ascii="Arial" w:hAnsi="Arial" w:cs="Arial"/>
                                <w:sz w:val="22"/>
                                <w:szCs w:val="22"/>
                              </w:rPr>
                            </w:pPr>
                            <w:r w:rsidRPr="001F7E76">
                              <w:rPr>
                                <w:rFonts w:ascii="Arial" w:hAnsi="Arial" w:cs="Arial"/>
                                <w:sz w:val="22"/>
                                <w:szCs w:val="22"/>
                              </w:rPr>
                              <w:t xml:space="preserve">Žadatel plánuje modernizovat pracoviště urgentního příjmu, které bez realizace projektu obsloužilo </w:t>
                            </w:r>
                            <w:r w:rsidR="0086751C">
                              <w:rPr>
                                <w:rFonts w:ascii="Arial" w:hAnsi="Arial" w:cs="Arial"/>
                                <w:sz w:val="22"/>
                                <w:szCs w:val="22"/>
                              </w:rPr>
                              <w:t>průměrně 30</w:t>
                            </w:r>
                            <w:r w:rsidRPr="001F7E76">
                              <w:rPr>
                                <w:rFonts w:ascii="Arial" w:hAnsi="Arial" w:cs="Arial"/>
                                <w:sz w:val="22"/>
                                <w:szCs w:val="22"/>
                              </w:rPr>
                              <w:t xml:space="preserve"> pacientů </w:t>
                            </w:r>
                            <w:r w:rsidR="0086751C">
                              <w:rPr>
                                <w:rFonts w:ascii="Arial" w:hAnsi="Arial" w:cs="Arial"/>
                                <w:sz w:val="22"/>
                                <w:szCs w:val="22"/>
                              </w:rPr>
                              <w:t>denně, tj. 10 950 ročně</w:t>
                            </w:r>
                            <w:r w:rsidRPr="001F7E76">
                              <w:rPr>
                                <w:rFonts w:ascii="Arial" w:hAnsi="Arial" w:cs="Arial"/>
                                <w:sz w:val="22"/>
                                <w:szCs w:val="22"/>
                              </w:rPr>
                              <w:t xml:space="preserve">. Díky projektu se plánuje rozšíření obslužnosti o </w:t>
                            </w:r>
                            <w:r w:rsidR="0086751C">
                              <w:rPr>
                                <w:rFonts w:ascii="Arial" w:hAnsi="Arial" w:cs="Arial"/>
                                <w:sz w:val="22"/>
                                <w:szCs w:val="22"/>
                              </w:rPr>
                              <w:t>10 denně</w:t>
                            </w:r>
                            <w:r w:rsidRPr="001F7E76">
                              <w:rPr>
                                <w:rFonts w:ascii="Arial" w:hAnsi="Arial" w:cs="Arial"/>
                                <w:sz w:val="22"/>
                                <w:szCs w:val="22"/>
                              </w:rPr>
                              <w:t xml:space="preserve">. Výchozí hodnota bude činit </w:t>
                            </w:r>
                            <w:r w:rsidR="0086751C">
                              <w:rPr>
                                <w:rFonts w:ascii="Arial" w:hAnsi="Arial" w:cs="Arial"/>
                                <w:sz w:val="22"/>
                                <w:szCs w:val="22"/>
                              </w:rPr>
                              <w:t>10 950</w:t>
                            </w:r>
                            <w:r w:rsidRPr="001F7E76">
                              <w:rPr>
                                <w:rFonts w:ascii="Arial" w:hAnsi="Arial" w:cs="Arial"/>
                                <w:sz w:val="22"/>
                                <w:szCs w:val="22"/>
                              </w:rPr>
                              <w:t xml:space="preserve">. Cílová hodnota bude činit </w:t>
                            </w:r>
                            <w:r w:rsidR="0086751C">
                              <w:rPr>
                                <w:rFonts w:ascii="Arial" w:hAnsi="Arial" w:cs="Arial"/>
                                <w:sz w:val="22"/>
                                <w:szCs w:val="22"/>
                              </w:rPr>
                              <w:t>10 950</w:t>
                            </w:r>
                            <w:r w:rsidRPr="001F7E76">
                              <w:rPr>
                                <w:rFonts w:ascii="Arial" w:hAnsi="Arial" w:cs="Arial"/>
                                <w:sz w:val="22"/>
                                <w:szCs w:val="22"/>
                              </w:rPr>
                              <w:t xml:space="preserve"> + </w:t>
                            </w:r>
                            <w:r w:rsidR="0086751C">
                              <w:rPr>
                                <w:rFonts w:ascii="Arial" w:hAnsi="Arial" w:cs="Arial"/>
                                <w:sz w:val="22"/>
                                <w:szCs w:val="22"/>
                              </w:rPr>
                              <w:t>3 650</w:t>
                            </w:r>
                            <w:r w:rsidRPr="001F7E76">
                              <w:rPr>
                                <w:rFonts w:ascii="Arial" w:hAnsi="Arial" w:cs="Arial"/>
                                <w:sz w:val="22"/>
                                <w:szCs w:val="22"/>
                              </w:rPr>
                              <w:t xml:space="preserve"> = </w:t>
                            </w:r>
                            <w:r w:rsidR="0086751C">
                              <w:rPr>
                                <w:rFonts w:ascii="Arial" w:hAnsi="Arial" w:cs="Arial"/>
                                <w:sz w:val="22"/>
                                <w:szCs w:val="22"/>
                              </w:rPr>
                              <w:t>14 600</w:t>
                            </w:r>
                            <w:r w:rsidRPr="001F7E76">
                              <w:rPr>
                                <w:rFonts w:ascii="Arial" w:hAnsi="Arial" w:cs="Arial"/>
                                <w:sz w:val="22"/>
                                <w:szCs w:val="22"/>
                              </w:rPr>
                              <w:t>.</w:t>
                            </w:r>
                            <w:r w:rsidR="0086751C">
                              <w:rPr>
                                <w:rFonts w:ascii="Arial" w:hAnsi="Arial" w:cs="Arial"/>
                                <w:sz w:val="22"/>
                                <w:szCs w:val="22"/>
                              </w:rPr>
                              <w:t xml:space="preserve"> Nejedná se o unikátní pacienty, ale o jednotlivé ošetřené pacienty na urgentním příjmu</w:t>
                            </w:r>
                            <w:r w:rsidR="00FF78C5">
                              <w:rPr>
                                <w:rFonts w:ascii="Arial" w:hAnsi="Arial" w:cs="Arial"/>
                                <w:sz w:val="22"/>
                                <w:szCs w:val="22"/>
                              </w:rPr>
                              <w:t>,</w:t>
                            </w:r>
                            <w:r w:rsidR="0086751C">
                              <w:rPr>
                                <w:rFonts w:ascii="Arial" w:hAnsi="Arial" w:cs="Arial"/>
                                <w:sz w:val="22"/>
                                <w:szCs w:val="22"/>
                              </w:rPr>
                              <w:t xml:space="preserve"> tj. jednotlivé návštěvy. </w:t>
                            </w:r>
                          </w:p>
                          <w:p w14:paraId="448FEE74" w14:textId="2CEA8C61" w:rsidR="001F7E76" w:rsidRDefault="001F7E76" w:rsidP="00E57576">
                            <w:pPr>
                              <w:spacing w:before="240"/>
                              <w:jc w:val="both"/>
                              <w:rPr>
                                <w:rFonts w:ascii="Arial" w:hAnsi="Arial" w:cs="Arial"/>
                                <w:sz w:val="22"/>
                                <w:szCs w:val="22"/>
                              </w:rPr>
                            </w:pPr>
                            <w:r w:rsidRPr="001F7E76">
                              <w:rPr>
                                <w:rFonts w:ascii="Arial" w:hAnsi="Arial" w:cs="Arial"/>
                                <w:sz w:val="22"/>
                                <w:szCs w:val="22"/>
                              </w:rPr>
                              <w:t>Cílová hodnota indikátoru bude vždy nižší nebo rovna než hodnota kapacitního indikátoru „560 201 - Kapacita nových nebo modernizovaných zdravotnických zařízení, jelikož odráží skutečný počet obsloužených pacientů“.</w:t>
                            </w:r>
                          </w:p>
                          <w:p w14:paraId="50B95EB2" w14:textId="77777777" w:rsidR="00093C8E" w:rsidRPr="00E57576" w:rsidRDefault="00093C8E" w:rsidP="00E57576">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C2ED5C8" id="_x0000_s1032" type="#_x0000_t202" style="width:453.5pt;height:16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" fillcolor="white [3201]" strokeweight=".5pt">
                <v:textbox>
                  <w:txbxContent>
                    <w:p w14:paraId="55CA14E1" w14:textId="10F3B1E9" w:rsidR="001F7E76" w:rsidRPr="00AA7F96" w:rsidRDefault="001F7E76" w:rsidP="001F7E76">
                      <w:pPr>
                        <w:spacing w:before="240"/>
                        <w:rPr>
                          <w:rFonts w:ascii="Arial" w:hAnsi="Arial" w:cs="Arial"/>
                          <w:sz w:val="22"/>
                          <w:szCs w:val="22"/>
                        </w:rPr>
                      </w:pPr>
                      <w:r w:rsidRPr="001F7E76">
                        <w:rPr>
                          <w:rFonts w:ascii="Arial" w:hAnsi="Arial" w:cs="Arial"/>
                          <w:b/>
                          <w:bCs/>
                        </w:rPr>
                        <w:t>PŘÍKLAD</w:t>
                      </w:r>
                    </w:p>
                    <w:p w14:paraId="5AF1F017" w14:textId="17C2F20B" w:rsidR="001F7E76" w:rsidRPr="001F7E76" w:rsidRDefault="001F7E76" w:rsidP="007F6918">
                      <w:pPr>
                        <w:spacing w:before="240"/>
                        <w:jc w:val="both"/>
                        <w:rPr>
                          <w:rFonts w:ascii="Arial" w:hAnsi="Arial" w:cs="Arial"/>
                          <w:sz w:val="22"/>
                          <w:szCs w:val="22"/>
                        </w:rPr>
                      </w:pPr>
                      <w:r w:rsidRPr="001F7E76">
                        <w:rPr>
                          <w:rFonts w:ascii="Arial" w:hAnsi="Arial" w:cs="Arial"/>
                          <w:sz w:val="22"/>
                          <w:szCs w:val="22"/>
                        </w:rPr>
                        <w:t xml:space="preserve">Žadatel plánuje modernizovat pracoviště urgentního příjmu, které bez realizace projektu obsloužilo </w:t>
                      </w:r>
                      <w:r w:rsidR="0086751C">
                        <w:rPr>
                          <w:rFonts w:ascii="Arial" w:hAnsi="Arial" w:cs="Arial"/>
                          <w:sz w:val="22"/>
                          <w:szCs w:val="22"/>
                        </w:rPr>
                        <w:t>průměrně 30</w:t>
                      </w:r>
                      <w:r w:rsidRPr="001F7E76">
                        <w:rPr>
                          <w:rFonts w:ascii="Arial" w:hAnsi="Arial" w:cs="Arial"/>
                          <w:sz w:val="22"/>
                          <w:szCs w:val="22"/>
                        </w:rPr>
                        <w:t xml:space="preserve"> pacientů </w:t>
                      </w:r>
                      <w:r w:rsidR="0086751C">
                        <w:rPr>
                          <w:rFonts w:ascii="Arial" w:hAnsi="Arial" w:cs="Arial"/>
                          <w:sz w:val="22"/>
                          <w:szCs w:val="22"/>
                        </w:rPr>
                        <w:t>denně, tj. 10 950 ročně</w:t>
                      </w:r>
                      <w:r w:rsidRPr="001F7E76">
                        <w:rPr>
                          <w:rFonts w:ascii="Arial" w:hAnsi="Arial" w:cs="Arial"/>
                          <w:sz w:val="22"/>
                          <w:szCs w:val="22"/>
                        </w:rPr>
                        <w:t xml:space="preserve">. Díky projektu se plánuje rozšíření obslužnosti o </w:t>
                      </w:r>
                      <w:r w:rsidR="0086751C">
                        <w:rPr>
                          <w:rFonts w:ascii="Arial" w:hAnsi="Arial" w:cs="Arial"/>
                          <w:sz w:val="22"/>
                          <w:szCs w:val="22"/>
                        </w:rPr>
                        <w:t>10 denně</w:t>
                      </w:r>
                      <w:r w:rsidRPr="001F7E76">
                        <w:rPr>
                          <w:rFonts w:ascii="Arial" w:hAnsi="Arial" w:cs="Arial"/>
                          <w:sz w:val="22"/>
                          <w:szCs w:val="22"/>
                        </w:rPr>
                        <w:t xml:space="preserve">. Výchozí hodnota bude činit </w:t>
                      </w:r>
                      <w:r w:rsidR="0086751C">
                        <w:rPr>
                          <w:rFonts w:ascii="Arial" w:hAnsi="Arial" w:cs="Arial"/>
                          <w:sz w:val="22"/>
                          <w:szCs w:val="22"/>
                        </w:rPr>
                        <w:t>10 950</w:t>
                      </w:r>
                      <w:r w:rsidRPr="001F7E76">
                        <w:rPr>
                          <w:rFonts w:ascii="Arial" w:hAnsi="Arial" w:cs="Arial"/>
                          <w:sz w:val="22"/>
                          <w:szCs w:val="22"/>
                        </w:rPr>
                        <w:t xml:space="preserve">. Cílová hodnota bude činit </w:t>
                      </w:r>
                      <w:r w:rsidR="0086751C">
                        <w:rPr>
                          <w:rFonts w:ascii="Arial" w:hAnsi="Arial" w:cs="Arial"/>
                          <w:sz w:val="22"/>
                          <w:szCs w:val="22"/>
                        </w:rPr>
                        <w:t>10 950</w:t>
                      </w:r>
                      <w:r w:rsidRPr="001F7E76">
                        <w:rPr>
                          <w:rFonts w:ascii="Arial" w:hAnsi="Arial" w:cs="Arial"/>
                          <w:sz w:val="22"/>
                          <w:szCs w:val="22"/>
                        </w:rPr>
                        <w:t xml:space="preserve"> + </w:t>
                      </w:r>
                      <w:r w:rsidR="0086751C">
                        <w:rPr>
                          <w:rFonts w:ascii="Arial" w:hAnsi="Arial" w:cs="Arial"/>
                          <w:sz w:val="22"/>
                          <w:szCs w:val="22"/>
                        </w:rPr>
                        <w:t>3 650</w:t>
                      </w:r>
                      <w:r w:rsidRPr="001F7E76">
                        <w:rPr>
                          <w:rFonts w:ascii="Arial" w:hAnsi="Arial" w:cs="Arial"/>
                          <w:sz w:val="22"/>
                          <w:szCs w:val="22"/>
                        </w:rPr>
                        <w:t xml:space="preserve"> = </w:t>
                      </w:r>
                      <w:r w:rsidR="0086751C">
                        <w:rPr>
                          <w:rFonts w:ascii="Arial" w:hAnsi="Arial" w:cs="Arial"/>
                          <w:sz w:val="22"/>
                          <w:szCs w:val="22"/>
                        </w:rPr>
                        <w:t>14 600</w:t>
                      </w:r>
                      <w:r w:rsidRPr="001F7E76">
                        <w:rPr>
                          <w:rFonts w:ascii="Arial" w:hAnsi="Arial" w:cs="Arial"/>
                          <w:sz w:val="22"/>
                          <w:szCs w:val="22"/>
                        </w:rPr>
                        <w:t>.</w:t>
                      </w:r>
                      <w:r w:rsidR="0086751C">
                        <w:rPr>
                          <w:rFonts w:ascii="Arial" w:hAnsi="Arial" w:cs="Arial"/>
                          <w:sz w:val="22"/>
                          <w:szCs w:val="22"/>
                        </w:rPr>
                        <w:t xml:space="preserve"> Nejedná se o unikátní pacienty, ale o jednotlivé ošetřené pacienty na urgentním příjmu</w:t>
                      </w:r>
                      <w:r w:rsidR="00FF78C5">
                        <w:rPr>
                          <w:rFonts w:ascii="Arial" w:hAnsi="Arial" w:cs="Arial"/>
                          <w:sz w:val="22"/>
                          <w:szCs w:val="22"/>
                        </w:rPr>
                        <w:t>,</w:t>
                      </w:r>
                      <w:r w:rsidR="0086751C">
                        <w:rPr>
                          <w:rFonts w:ascii="Arial" w:hAnsi="Arial" w:cs="Arial"/>
                          <w:sz w:val="22"/>
                          <w:szCs w:val="22"/>
                        </w:rPr>
                        <w:t xml:space="preserve"> tj. jednotlivé návštěvy. </w:t>
                      </w:r>
                    </w:p>
                    <w:p w14:paraId="448FEE74" w14:textId="2CEA8C61" w:rsidR="001F7E76" w:rsidRDefault="001F7E76" w:rsidP="00E57576">
                      <w:pPr>
                        <w:spacing w:before="240"/>
                        <w:jc w:val="both"/>
                        <w:rPr>
                          <w:rFonts w:ascii="Arial" w:hAnsi="Arial" w:cs="Arial"/>
                          <w:sz w:val="22"/>
                          <w:szCs w:val="22"/>
                        </w:rPr>
                      </w:pPr>
                      <w:r w:rsidRPr="001F7E76">
                        <w:rPr>
                          <w:rFonts w:ascii="Arial" w:hAnsi="Arial" w:cs="Arial"/>
                          <w:sz w:val="22"/>
                          <w:szCs w:val="22"/>
                        </w:rPr>
                        <w:t>Cílová hodnota indikátoru bude vždy nižší nebo rovna než hodnota kapacitního indikátoru „560 201 - Kapacita nových nebo modernizovaných zdravotnických zařízení, jelikož odráží skutečný počet obsloužených pacientů“.</w:t>
                      </w:r>
                    </w:p>
                    <w:p w14:paraId="50B95EB2" w14:textId="77777777" w:rsidR="00093C8E" w:rsidRPr="00E57576" w:rsidRDefault="00093C8E" w:rsidP="00E57576">
                      <w:pPr>
                        <w:spacing w:before="240"/>
                        <w:jc w:val="both"/>
                        <w:rPr>
                          <w:rFonts w:ascii="Arial" w:hAnsi="Arial" w:cs="Arial"/>
                        </w:rPr>
                      </w:pPr>
                    </w:p>
                  </w:txbxContent>
                </v:textbox>
                <w10:anchorlock/>
              </v:shape>
            </w:pict>
          </mc:Fallback>
        </mc:AlternateContent>
      </w:r>
    </w:p>
    <w:p w14:paraId="12C33E6D" w14:textId="018EBAEC"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6"/>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w:t>
      </w:r>
      <w:r w:rsidRPr="008E4F0B">
        <w:rPr>
          <w:rFonts w:ascii="Arial" w:hAnsi="Arial" w:cs="Arial"/>
          <w:sz w:val="22"/>
          <w:szCs w:val="22"/>
        </w:rPr>
        <w:lastRenderedPageBreak/>
        <w:t xml:space="preserve">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223D3CAB"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w:t>
      </w:r>
      <w:proofErr w:type="gramStart"/>
      <w:r w:rsidRPr="00513550">
        <w:rPr>
          <w:rFonts w:ascii="Arial" w:hAnsi="Arial" w:cs="Arial"/>
          <w:sz w:val="22"/>
          <w:szCs w:val="22"/>
        </w:rPr>
        <w:t>zařízení  obsloužilo</w:t>
      </w:r>
      <w:proofErr w:type="gramEnd"/>
      <w:r w:rsidRPr="00513550">
        <w:rPr>
          <w:rFonts w:ascii="Arial" w:hAnsi="Arial" w:cs="Arial"/>
          <w:sz w:val="22"/>
          <w:szCs w:val="22"/>
        </w:rPr>
        <w:t xml:space="preserve">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024A5233" w14:textId="2483CCC4" w:rsidR="001F7E76" w:rsidRDefault="000A2FD1" w:rsidP="00E57576">
      <w:pPr>
        <w:spacing w:after="200" w:line="276" w:lineRule="auto"/>
        <w:jc w:val="both"/>
        <w:rPr>
          <w:rStyle w:val="Zdraznnintenzivn"/>
          <w:rFonts w:eastAsiaTheme="minorHAnsi"/>
          <w:b/>
          <w:bCs/>
          <w:caps/>
          <w:color w:val="31849B" w:themeColor="accent5" w:themeShade="BF"/>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2227B35D" w14:textId="77777777" w:rsidR="00946A35" w:rsidRDefault="00946A35" w:rsidP="000A2FD1">
      <w:pPr>
        <w:spacing w:line="276" w:lineRule="auto"/>
        <w:jc w:val="both"/>
        <w:rPr>
          <w:rStyle w:val="Zdraznnintenzivn"/>
          <w:rFonts w:eastAsiaTheme="minorHAnsi"/>
          <w:b/>
          <w:bCs/>
          <w:caps/>
          <w:color w:val="31849B" w:themeColor="accent5" w:themeShade="BF"/>
        </w:rPr>
      </w:pP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111F89">
        <w:trPr>
          <w:trHeight w:val="785"/>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F3D4B76" w:rsidR="000A2FD1" w:rsidRPr="00513550" w:rsidRDefault="000A2FD1" w:rsidP="00581AFF">
            <w:pPr>
              <w:pStyle w:val="Odstavecseseznamem"/>
              <w:numPr>
                <w:ilvl w:val="0"/>
                <w:numId w:val="36"/>
              </w:numPr>
              <w:spacing w:before="120" w:after="120" w:line="271" w:lineRule="auto"/>
              <w:rPr>
                <w:rFonts w:ascii="Arial" w:hAnsi="Arial" w:cs="Arial"/>
                <w:b/>
                <w:bCs/>
                <w:sz w:val="22"/>
                <w:szCs w:val="22"/>
              </w:rPr>
            </w:pP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7"/>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w:t>
      </w:r>
      <w:r w:rsidRPr="00513550">
        <w:rPr>
          <w:rFonts w:ascii="Arial" w:hAnsi="Arial" w:cs="Arial"/>
          <w:color w:val="000000" w:themeColor="text1"/>
          <w:sz w:val="22"/>
          <w:szCs w:val="22"/>
        </w:rPr>
        <w:lastRenderedPageBreak/>
        <w:t>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8"/>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6F53339F" w:rsidR="00A95A10" w:rsidRPr="00EA4FB9" w:rsidRDefault="001F7E76" w:rsidP="00111F89">
            <w:pPr>
              <w:jc w:val="center"/>
              <w:rPr>
                <w:rFonts w:ascii="Arial" w:hAnsi="Arial" w:cs="Arial"/>
                <w:b/>
                <w:bCs/>
                <w:color w:val="000000"/>
                <w:sz w:val="22"/>
                <w:szCs w:val="22"/>
              </w:rPr>
            </w:pPr>
            <w:r>
              <w:rPr>
                <w:rFonts w:ascii="Arial" w:hAnsi="Arial" w:cs="Arial"/>
                <w:b/>
                <w:bCs/>
                <w:color w:val="000000"/>
                <w:sz w:val="22"/>
                <w:szCs w:val="22"/>
              </w:rPr>
              <w:t>Urgentní příjmy</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5634A" w14:textId="77777777" w:rsidR="009212C1" w:rsidRDefault="009212C1" w:rsidP="00634381">
      <w:r>
        <w:separator/>
      </w:r>
    </w:p>
    <w:p w14:paraId="20AEDBF6" w14:textId="77777777" w:rsidR="009212C1" w:rsidRDefault="009212C1"/>
  </w:endnote>
  <w:endnote w:type="continuationSeparator" w:id="0">
    <w:p w14:paraId="7F14214A" w14:textId="77777777" w:rsidR="009212C1" w:rsidRDefault="009212C1" w:rsidP="00634381">
      <w:r>
        <w:continuationSeparator/>
      </w:r>
    </w:p>
    <w:p w14:paraId="424E1A61" w14:textId="77777777" w:rsidR="009212C1" w:rsidRDefault="009212C1"/>
  </w:endnote>
  <w:endnote w:type="continuationNotice" w:id="1">
    <w:p w14:paraId="237E2ED6" w14:textId="77777777" w:rsidR="009212C1" w:rsidRDefault="009212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546FA" w14:textId="77777777" w:rsidR="009212C1" w:rsidRDefault="009212C1">
      <w:r>
        <w:separator/>
      </w:r>
    </w:p>
  </w:footnote>
  <w:footnote w:type="continuationSeparator" w:id="0">
    <w:p w14:paraId="50C4FB5C" w14:textId="77777777" w:rsidR="009212C1" w:rsidRDefault="009212C1" w:rsidP="00634381">
      <w:r>
        <w:continuationSeparator/>
      </w:r>
    </w:p>
    <w:p w14:paraId="2FEBE658" w14:textId="77777777" w:rsidR="009212C1" w:rsidRDefault="009212C1"/>
  </w:footnote>
  <w:footnote w:type="continuationNotice" w:id="1">
    <w:p w14:paraId="30EBF52E" w14:textId="77777777" w:rsidR="009212C1" w:rsidRDefault="009212C1"/>
  </w:footnote>
  <w:footnote w:id="2">
    <w:p w14:paraId="7816EA80" w14:textId="63ED545D" w:rsidR="0069025B" w:rsidRPr="0093113E" w:rsidRDefault="0069025B">
      <w:pPr>
        <w:pStyle w:val="Textpoznpodarou"/>
        <w:rPr>
          <w:rFonts w:ascii="Arial" w:hAnsi="Arial" w:cs="Arial"/>
          <w:sz w:val="18"/>
          <w:szCs w:val="18"/>
        </w:rPr>
      </w:pPr>
      <w:r>
        <w:rPr>
          <w:rStyle w:val="Znakapoznpodarou"/>
        </w:rPr>
        <w:footnoteRef/>
      </w:r>
      <w:r>
        <w:t xml:space="preserve"> </w:t>
      </w:r>
      <w:r w:rsidRPr="0093113E">
        <w:rPr>
          <w:rFonts w:ascii="Arial" w:hAnsi="Arial" w:cs="Arial"/>
          <w:sz w:val="18"/>
          <w:szCs w:val="18"/>
        </w:rPr>
        <w:t>Případně péče definované na základě podporovaných vykazovaných kódů ošetřovacích dnů.</w:t>
      </w:r>
      <w:r w:rsidR="007F6918">
        <w:rPr>
          <w:rFonts w:ascii="Arial" w:hAnsi="Arial" w:cs="Arial"/>
          <w:sz w:val="18"/>
          <w:szCs w:val="18"/>
        </w:rPr>
        <w:t xml:space="preserve"> V</w:t>
      </w:r>
      <w:r w:rsidR="007F6918" w:rsidRPr="007F6918">
        <w:rPr>
          <w:rFonts w:ascii="Arial" w:hAnsi="Arial" w:cs="Arial"/>
          <w:sz w:val="18"/>
          <w:szCs w:val="18"/>
        </w:rPr>
        <w:t xml:space="preserve"> tomto případě urgentní příjem</w:t>
      </w:r>
      <w:r w:rsidR="007F6918">
        <w:rPr>
          <w:rFonts w:ascii="Arial" w:hAnsi="Arial" w:cs="Arial"/>
          <w:sz w:val="18"/>
          <w:szCs w:val="18"/>
        </w:rPr>
        <w:t>.</w:t>
      </w:r>
    </w:p>
  </w:footnote>
  <w:footnote w:id="3">
    <w:p w14:paraId="1B266F62" w14:textId="5EAB8770" w:rsidR="0069025B" w:rsidRPr="0093113E" w:rsidRDefault="0069025B">
      <w:pPr>
        <w:pStyle w:val="Textpoznpodarou"/>
        <w:rPr>
          <w:rFonts w:ascii="Arial" w:hAnsi="Arial" w:cs="Arial"/>
          <w:sz w:val="18"/>
          <w:szCs w:val="18"/>
        </w:rPr>
      </w:pPr>
      <w:r w:rsidRPr="0093113E">
        <w:rPr>
          <w:rStyle w:val="Znakapoznpodarou"/>
          <w:rFonts w:ascii="Arial" w:hAnsi="Arial" w:cs="Arial"/>
          <w:sz w:val="18"/>
          <w:szCs w:val="18"/>
        </w:rPr>
        <w:footnoteRef/>
      </w:r>
      <w:r w:rsidRPr="0093113E">
        <w:rPr>
          <w:rFonts w:ascii="Arial" w:hAnsi="Arial" w:cs="Arial"/>
          <w:sz w:val="18"/>
          <w:szCs w:val="18"/>
        </w:rPr>
        <w:t xml:space="preserve"> Případně péče definované na základě podporovaných vykazovaných kódů ošetřovacích dnů.</w:t>
      </w:r>
      <w:r w:rsidR="007F6918">
        <w:rPr>
          <w:rFonts w:ascii="Arial" w:hAnsi="Arial" w:cs="Arial"/>
          <w:sz w:val="18"/>
          <w:szCs w:val="18"/>
        </w:rPr>
        <w:t xml:space="preserve"> V</w:t>
      </w:r>
      <w:r w:rsidR="007F6918" w:rsidRPr="007F6918">
        <w:rPr>
          <w:rFonts w:ascii="Arial" w:hAnsi="Arial" w:cs="Arial"/>
          <w:sz w:val="18"/>
          <w:szCs w:val="18"/>
        </w:rPr>
        <w:t xml:space="preserve"> tomto případě tedy urgentní příjem</w:t>
      </w:r>
      <w:r w:rsidR="007F6918">
        <w:rPr>
          <w:rFonts w:ascii="Arial" w:hAnsi="Arial" w:cs="Arial"/>
          <w:sz w:val="18"/>
          <w:szCs w:val="18"/>
        </w:rPr>
        <w:t>.</w:t>
      </w:r>
    </w:p>
  </w:footnote>
  <w:footnote w:id="4">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5">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6">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7">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8">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66487"/>
    <w:multiLevelType w:val="hybridMultilevel"/>
    <w:tmpl w:val="1ADCB504"/>
    <w:lvl w:ilvl="0" w:tplc="3EB2A4AE">
      <w:numFmt w:val="bullet"/>
      <w:lvlText w:val="-"/>
      <w:lvlJc w:val="left"/>
      <w:pPr>
        <w:ind w:left="720" w:hanging="360"/>
      </w:pPr>
      <w:rPr>
        <w:rFonts w:ascii="Arial" w:eastAsiaTheme="minorEastAsia"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F51DA6"/>
    <w:multiLevelType w:val="hybridMultilevel"/>
    <w:tmpl w:val="B67EA1D4"/>
    <w:lvl w:ilvl="0" w:tplc="B74428E8">
      <w:start w:val="6"/>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8"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3476851">
    <w:abstractNumId w:val="15"/>
  </w:num>
  <w:num w:numId="2" w16cid:durableId="1848790211">
    <w:abstractNumId w:val="16"/>
  </w:num>
  <w:num w:numId="3" w16cid:durableId="1556963553">
    <w:abstractNumId w:val="20"/>
  </w:num>
  <w:num w:numId="4" w16cid:durableId="1924103529">
    <w:abstractNumId w:val="36"/>
  </w:num>
  <w:num w:numId="5" w16cid:durableId="992640374">
    <w:abstractNumId w:val="8"/>
  </w:num>
  <w:num w:numId="6" w16cid:durableId="324096332">
    <w:abstractNumId w:val="31"/>
  </w:num>
  <w:num w:numId="7" w16cid:durableId="1739672418">
    <w:abstractNumId w:val="10"/>
  </w:num>
  <w:num w:numId="8" w16cid:durableId="1011294440">
    <w:abstractNumId w:val="11"/>
  </w:num>
  <w:num w:numId="9" w16cid:durableId="303513931">
    <w:abstractNumId w:val="23"/>
  </w:num>
  <w:num w:numId="10" w16cid:durableId="1510753151">
    <w:abstractNumId w:val="5"/>
  </w:num>
  <w:num w:numId="11" w16cid:durableId="983319742">
    <w:abstractNumId w:val="37"/>
  </w:num>
  <w:num w:numId="12" w16cid:durableId="317808674">
    <w:abstractNumId w:val="28"/>
  </w:num>
  <w:num w:numId="13" w16cid:durableId="1102992685">
    <w:abstractNumId w:val="10"/>
    <w:lvlOverride w:ilvl="0">
      <w:startOverride w:val="1"/>
    </w:lvlOverride>
  </w:num>
  <w:num w:numId="14" w16cid:durableId="1857965696">
    <w:abstractNumId w:val="32"/>
  </w:num>
  <w:num w:numId="15" w16cid:durableId="2028286190">
    <w:abstractNumId w:val="2"/>
  </w:num>
  <w:num w:numId="16" w16cid:durableId="298416994">
    <w:abstractNumId w:val="18"/>
  </w:num>
  <w:num w:numId="17" w16cid:durableId="1366641803">
    <w:abstractNumId w:val="17"/>
  </w:num>
  <w:num w:numId="18" w16cid:durableId="12851438">
    <w:abstractNumId w:val="38"/>
  </w:num>
  <w:num w:numId="19" w16cid:durableId="1728188792">
    <w:abstractNumId w:val="9"/>
  </w:num>
  <w:num w:numId="20" w16cid:durableId="453521384">
    <w:abstractNumId w:val="35"/>
  </w:num>
  <w:num w:numId="21" w16cid:durableId="552153103">
    <w:abstractNumId w:val="34"/>
  </w:num>
  <w:num w:numId="22" w16cid:durableId="271280877">
    <w:abstractNumId w:val="7"/>
  </w:num>
  <w:num w:numId="23" w16cid:durableId="661082267">
    <w:abstractNumId w:val="27"/>
  </w:num>
  <w:num w:numId="24" w16cid:durableId="215241004">
    <w:abstractNumId w:val="30"/>
  </w:num>
  <w:num w:numId="25" w16cid:durableId="1152600781">
    <w:abstractNumId w:val="0"/>
  </w:num>
  <w:num w:numId="26" w16cid:durableId="565838907">
    <w:abstractNumId w:val="19"/>
  </w:num>
  <w:num w:numId="27" w16cid:durableId="429475073">
    <w:abstractNumId w:val="29"/>
  </w:num>
  <w:num w:numId="28" w16cid:durableId="915046252">
    <w:abstractNumId w:val="33"/>
  </w:num>
  <w:num w:numId="29" w16cid:durableId="1155026777">
    <w:abstractNumId w:val="12"/>
  </w:num>
  <w:num w:numId="30" w16cid:durableId="1047147062">
    <w:abstractNumId w:val="22"/>
  </w:num>
  <w:num w:numId="31" w16cid:durableId="1379234253">
    <w:abstractNumId w:val="25"/>
  </w:num>
  <w:num w:numId="32" w16cid:durableId="2114398532">
    <w:abstractNumId w:val="1"/>
  </w:num>
  <w:num w:numId="33" w16cid:durableId="68814201">
    <w:abstractNumId w:val="39"/>
  </w:num>
  <w:num w:numId="34" w16cid:durableId="1800878070">
    <w:abstractNumId w:val="26"/>
  </w:num>
  <w:num w:numId="35" w16cid:durableId="1948849525">
    <w:abstractNumId w:val="4"/>
  </w:num>
  <w:num w:numId="36" w16cid:durableId="1126852775">
    <w:abstractNumId w:val="21"/>
  </w:num>
  <w:num w:numId="37" w16cid:durableId="1584336384">
    <w:abstractNumId w:val="24"/>
  </w:num>
  <w:num w:numId="38" w16cid:durableId="938485110">
    <w:abstractNumId w:val="3"/>
  </w:num>
  <w:num w:numId="39" w16cid:durableId="1285771280">
    <w:abstractNumId w:val="13"/>
  </w:num>
  <w:num w:numId="40" w16cid:durableId="1518082120">
    <w:abstractNumId w:val="6"/>
  </w:num>
  <w:num w:numId="41" w16cid:durableId="9277342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E19"/>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83569"/>
    <w:rsid w:val="00093BFD"/>
    <w:rsid w:val="00093C8E"/>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1F7E76"/>
    <w:rsid w:val="00202E72"/>
    <w:rsid w:val="002041BE"/>
    <w:rsid w:val="00204362"/>
    <w:rsid w:val="00204D9A"/>
    <w:rsid w:val="00204E05"/>
    <w:rsid w:val="00213558"/>
    <w:rsid w:val="0021750B"/>
    <w:rsid w:val="00221B02"/>
    <w:rsid w:val="002265AB"/>
    <w:rsid w:val="00230395"/>
    <w:rsid w:val="00231569"/>
    <w:rsid w:val="00231F50"/>
    <w:rsid w:val="002374BC"/>
    <w:rsid w:val="0024211E"/>
    <w:rsid w:val="002479EC"/>
    <w:rsid w:val="0025243F"/>
    <w:rsid w:val="00255525"/>
    <w:rsid w:val="00264907"/>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2E35F2"/>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04B55"/>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B38D3"/>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5F61"/>
    <w:rsid w:val="0064640D"/>
    <w:rsid w:val="006476E3"/>
    <w:rsid w:val="006477F0"/>
    <w:rsid w:val="006532D6"/>
    <w:rsid w:val="006571ED"/>
    <w:rsid w:val="006626CA"/>
    <w:rsid w:val="00663903"/>
    <w:rsid w:val="006762E0"/>
    <w:rsid w:val="0067736D"/>
    <w:rsid w:val="006803CD"/>
    <w:rsid w:val="00683D51"/>
    <w:rsid w:val="0069025B"/>
    <w:rsid w:val="00690293"/>
    <w:rsid w:val="0069066C"/>
    <w:rsid w:val="0069719B"/>
    <w:rsid w:val="006A2ECB"/>
    <w:rsid w:val="006A4A02"/>
    <w:rsid w:val="006C56A6"/>
    <w:rsid w:val="006D19D9"/>
    <w:rsid w:val="006D69C4"/>
    <w:rsid w:val="006E5C82"/>
    <w:rsid w:val="006E72F1"/>
    <w:rsid w:val="006F6BC2"/>
    <w:rsid w:val="00702E52"/>
    <w:rsid w:val="00703A0E"/>
    <w:rsid w:val="00705451"/>
    <w:rsid w:val="00714EBA"/>
    <w:rsid w:val="00722201"/>
    <w:rsid w:val="00723481"/>
    <w:rsid w:val="00724B5B"/>
    <w:rsid w:val="0073208B"/>
    <w:rsid w:val="00733BEF"/>
    <w:rsid w:val="0074098A"/>
    <w:rsid w:val="00760009"/>
    <w:rsid w:val="0076431E"/>
    <w:rsid w:val="00776F70"/>
    <w:rsid w:val="0077797D"/>
    <w:rsid w:val="00782A37"/>
    <w:rsid w:val="007852CE"/>
    <w:rsid w:val="0078659D"/>
    <w:rsid w:val="007876C3"/>
    <w:rsid w:val="007944C7"/>
    <w:rsid w:val="007A2776"/>
    <w:rsid w:val="007A3276"/>
    <w:rsid w:val="007A77B8"/>
    <w:rsid w:val="007A7B31"/>
    <w:rsid w:val="007A7F44"/>
    <w:rsid w:val="007C0AB0"/>
    <w:rsid w:val="007C0ABF"/>
    <w:rsid w:val="007C72DD"/>
    <w:rsid w:val="007D5110"/>
    <w:rsid w:val="007D6374"/>
    <w:rsid w:val="007E0B08"/>
    <w:rsid w:val="007E1D4B"/>
    <w:rsid w:val="007E55BB"/>
    <w:rsid w:val="007E7AA6"/>
    <w:rsid w:val="007F0494"/>
    <w:rsid w:val="007F4BB9"/>
    <w:rsid w:val="007F6918"/>
    <w:rsid w:val="0080289A"/>
    <w:rsid w:val="0080523B"/>
    <w:rsid w:val="008071B5"/>
    <w:rsid w:val="00815064"/>
    <w:rsid w:val="0081583C"/>
    <w:rsid w:val="00820E4A"/>
    <w:rsid w:val="00822000"/>
    <w:rsid w:val="00824E66"/>
    <w:rsid w:val="00826EB7"/>
    <w:rsid w:val="008279E5"/>
    <w:rsid w:val="00833BB4"/>
    <w:rsid w:val="0083531C"/>
    <w:rsid w:val="00844F3C"/>
    <w:rsid w:val="0084772A"/>
    <w:rsid w:val="008479AA"/>
    <w:rsid w:val="00855284"/>
    <w:rsid w:val="008619E4"/>
    <w:rsid w:val="00863444"/>
    <w:rsid w:val="0086751C"/>
    <w:rsid w:val="00874C5E"/>
    <w:rsid w:val="00876E20"/>
    <w:rsid w:val="00884724"/>
    <w:rsid w:val="00885C85"/>
    <w:rsid w:val="00886357"/>
    <w:rsid w:val="008904D1"/>
    <w:rsid w:val="00891FE3"/>
    <w:rsid w:val="00895CD7"/>
    <w:rsid w:val="008A1C45"/>
    <w:rsid w:val="008A2193"/>
    <w:rsid w:val="008A5F96"/>
    <w:rsid w:val="008A6A9C"/>
    <w:rsid w:val="008B0299"/>
    <w:rsid w:val="008B10C8"/>
    <w:rsid w:val="008B278F"/>
    <w:rsid w:val="008C28F3"/>
    <w:rsid w:val="008C7931"/>
    <w:rsid w:val="008C7F76"/>
    <w:rsid w:val="008D3410"/>
    <w:rsid w:val="008D3E30"/>
    <w:rsid w:val="008E0493"/>
    <w:rsid w:val="008E260A"/>
    <w:rsid w:val="008E4F0B"/>
    <w:rsid w:val="008F041B"/>
    <w:rsid w:val="008F2960"/>
    <w:rsid w:val="00900F86"/>
    <w:rsid w:val="009212C1"/>
    <w:rsid w:val="00923370"/>
    <w:rsid w:val="0093113E"/>
    <w:rsid w:val="00932786"/>
    <w:rsid w:val="00932BDA"/>
    <w:rsid w:val="009343D5"/>
    <w:rsid w:val="00934A6E"/>
    <w:rsid w:val="00937D06"/>
    <w:rsid w:val="00941BE4"/>
    <w:rsid w:val="0094544E"/>
    <w:rsid w:val="00946A35"/>
    <w:rsid w:val="00952FC0"/>
    <w:rsid w:val="0096105A"/>
    <w:rsid w:val="009640E8"/>
    <w:rsid w:val="0097586B"/>
    <w:rsid w:val="00981251"/>
    <w:rsid w:val="00991CCA"/>
    <w:rsid w:val="009931A3"/>
    <w:rsid w:val="009954D4"/>
    <w:rsid w:val="009A08B2"/>
    <w:rsid w:val="009A4CBD"/>
    <w:rsid w:val="009A761A"/>
    <w:rsid w:val="009B083D"/>
    <w:rsid w:val="009B3D56"/>
    <w:rsid w:val="009B6364"/>
    <w:rsid w:val="009C51B5"/>
    <w:rsid w:val="009D5E0D"/>
    <w:rsid w:val="009D6486"/>
    <w:rsid w:val="009E0B15"/>
    <w:rsid w:val="009E41E7"/>
    <w:rsid w:val="009E4F57"/>
    <w:rsid w:val="009F2FB6"/>
    <w:rsid w:val="00A05961"/>
    <w:rsid w:val="00A06D8D"/>
    <w:rsid w:val="00A13752"/>
    <w:rsid w:val="00A16700"/>
    <w:rsid w:val="00A24831"/>
    <w:rsid w:val="00A2610E"/>
    <w:rsid w:val="00A3111B"/>
    <w:rsid w:val="00A44845"/>
    <w:rsid w:val="00A57400"/>
    <w:rsid w:val="00A63715"/>
    <w:rsid w:val="00A646A0"/>
    <w:rsid w:val="00A66A09"/>
    <w:rsid w:val="00A67C37"/>
    <w:rsid w:val="00A67D7B"/>
    <w:rsid w:val="00A7026A"/>
    <w:rsid w:val="00A709ED"/>
    <w:rsid w:val="00A77548"/>
    <w:rsid w:val="00A80746"/>
    <w:rsid w:val="00A810F1"/>
    <w:rsid w:val="00A81312"/>
    <w:rsid w:val="00A83A55"/>
    <w:rsid w:val="00A869F4"/>
    <w:rsid w:val="00A87D82"/>
    <w:rsid w:val="00A930DE"/>
    <w:rsid w:val="00A93401"/>
    <w:rsid w:val="00A95A10"/>
    <w:rsid w:val="00AA148C"/>
    <w:rsid w:val="00AA6E68"/>
    <w:rsid w:val="00AB0932"/>
    <w:rsid w:val="00AB1542"/>
    <w:rsid w:val="00AB623E"/>
    <w:rsid w:val="00AC0129"/>
    <w:rsid w:val="00AC1136"/>
    <w:rsid w:val="00AC4029"/>
    <w:rsid w:val="00AE6B72"/>
    <w:rsid w:val="00AF26C9"/>
    <w:rsid w:val="00AF3D0A"/>
    <w:rsid w:val="00AF3E9B"/>
    <w:rsid w:val="00AF410A"/>
    <w:rsid w:val="00AF61AF"/>
    <w:rsid w:val="00B0285F"/>
    <w:rsid w:val="00B02B39"/>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BF5BB7"/>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653"/>
    <w:rsid w:val="00CA4957"/>
    <w:rsid w:val="00CA57CB"/>
    <w:rsid w:val="00CB045A"/>
    <w:rsid w:val="00CB3027"/>
    <w:rsid w:val="00CB33A4"/>
    <w:rsid w:val="00CB4462"/>
    <w:rsid w:val="00CC196E"/>
    <w:rsid w:val="00CC21DF"/>
    <w:rsid w:val="00CC3446"/>
    <w:rsid w:val="00CC6DF8"/>
    <w:rsid w:val="00CD40BC"/>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572F"/>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46A4"/>
    <w:rsid w:val="00DD6C08"/>
    <w:rsid w:val="00DD760C"/>
    <w:rsid w:val="00DE2268"/>
    <w:rsid w:val="00DF0CF6"/>
    <w:rsid w:val="00DF162F"/>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0CE"/>
    <w:rsid w:val="00E37230"/>
    <w:rsid w:val="00E3798F"/>
    <w:rsid w:val="00E42C6C"/>
    <w:rsid w:val="00E44161"/>
    <w:rsid w:val="00E478A4"/>
    <w:rsid w:val="00E57576"/>
    <w:rsid w:val="00E60B8D"/>
    <w:rsid w:val="00E616B5"/>
    <w:rsid w:val="00E639BF"/>
    <w:rsid w:val="00E65C9F"/>
    <w:rsid w:val="00E71619"/>
    <w:rsid w:val="00E76AB2"/>
    <w:rsid w:val="00E80D3E"/>
    <w:rsid w:val="00E86085"/>
    <w:rsid w:val="00E918E3"/>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3713"/>
    <w:rsid w:val="00F66A88"/>
    <w:rsid w:val="00F7004E"/>
    <w:rsid w:val="00F70BB4"/>
    <w:rsid w:val="00F826D7"/>
    <w:rsid w:val="00F84553"/>
    <w:rsid w:val="00F94EDF"/>
    <w:rsid w:val="00FA3EE6"/>
    <w:rsid w:val="00FA54FC"/>
    <w:rsid w:val="00FA7EFA"/>
    <w:rsid w:val="00FB0D2C"/>
    <w:rsid w:val="00FB1F69"/>
    <w:rsid w:val="00FD16AF"/>
    <w:rsid w:val="00FD3F9E"/>
    <w:rsid w:val="00FD5DF8"/>
    <w:rsid w:val="00FE118B"/>
    <w:rsid w:val="00FE3BDE"/>
    <w:rsid w:val="00FF1B6E"/>
    <w:rsid w:val="00FF75E8"/>
    <w:rsid w:val="00FF78C5"/>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636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17997903">
      <w:bodyDiv w:val="1"/>
      <w:marLeft w:val="0"/>
      <w:marRight w:val="0"/>
      <w:marTop w:val="0"/>
      <w:marBottom w:val="0"/>
      <w:divBdr>
        <w:top w:val="none" w:sz="0" w:space="0" w:color="auto"/>
        <w:left w:val="none" w:sz="0" w:space="0" w:color="auto"/>
        <w:bottom w:val="none" w:sz="0" w:space="0" w:color="auto"/>
        <w:right w:val="none" w:sz="0" w:space="0" w:color="auto"/>
      </w:divBdr>
    </w:div>
    <w:div w:id="618880726">
      <w:bodyDiv w:val="1"/>
      <w:marLeft w:val="0"/>
      <w:marRight w:val="0"/>
      <w:marTop w:val="0"/>
      <w:marBottom w:val="0"/>
      <w:divBdr>
        <w:top w:val="none" w:sz="0" w:space="0" w:color="auto"/>
        <w:left w:val="none" w:sz="0" w:space="0" w:color="auto"/>
        <w:bottom w:val="none" w:sz="0" w:space="0" w:color="auto"/>
        <w:right w:val="none" w:sz="0" w:space="0" w:color="auto"/>
      </w:divBdr>
    </w:div>
    <w:div w:id="629243019">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3350404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27555079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060446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4026275">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071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3725</Words>
  <Characters>21983</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6</cp:revision>
  <cp:lastPrinted>2022-10-11T06:15:00Z</cp:lastPrinted>
  <dcterms:created xsi:type="dcterms:W3CDTF">2024-12-11T15:36:00Z</dcterms:created>
  <dcterms:modified xsi:type="dcterms:W3CDTF">2024-12-16T08:17:00Z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