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3C50B354"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PŘÍLOHA</w:t>
      </w:r>
      <w:r w:rsidR="00410422">
        <w:rPr>
          <w:rFonts w:ascii="Arial" w:hAnsi="Arial" w:cs="Arial"/>
          <w:b/>
          <w:bCs/>
          <w:color w:val="2F5496" w:themeColor="accent1" w:themeShade="BF"/>
          <w:sz w:val="44"/>
          <w:szCs w:val="44"/>
        </w:rPr>
        <w:t xml:space="preserve"> 6</w:t>
      </w:r>
      <w:r w:rsidRPr="00FF6D54">
        <w:rPr>
          <w:rFonts w:ascii="Arial" w:hAnsi="Arial" w:cs="Arial"/>
          <w:b/>
          <w:bCs/>
          <w:color w:val="2F5496" w:themeColor="accent1" w:themeShade="BF"/>
          <w:sz w:val="44"/>
          <w:szCs w:val="44"/>
        </w:rPr>
        <w:t xml:space="preserve"> </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112D505C" w14:textId="77777777" w:rsidR="00410422" w:rsidRPr="00410422" w:rsidRDefault="00410422" w:rsidP="00410422">
      <w:pPr>
        <w:widowControl w:val="0"/>
        <w:spacing w:before="360" w:after="0" w:line="288" w:lineRule="auto"/>
        <w:jc w:val="center"/>
        <w:textAlignment w:val="center"/>
        <w:rPr>
          <w:rFonts w:ascii="Arial" w:eastAsia="SimSun" w:hAnsi="Arial" w:cs="Arial"/>
          <w:caps/>
          <w:sz w:val="36"/>
          <w:szCs w:val="36"/>
        </w:rPr>
      </w:pPr>
      <w:r w:rsidRPr="00410422">
        <w:rPr>
          <w:rFonts w:ascii="Arial" w:eastAsia="SimSun" w:hAnsi="Arial" w:cs="Arial"/>
          <w:caps/>
          <w:sz w:val="36"/>
          <w:szCs w:val="36"/>
        </w:rPr>
        <w:t xml:space="preserve">38. výzva IROP </w:t>
      </w:r>
      <w:r w:rsidRPr="00410422">
        <w:rPr>
          <w:rFonts w:ascii="Arial" w:eastAsia="SimSun" w:hAnsi="Arial" w:cs="Arial"/>
          <w:color w:val="000000"/>
          <w:sz w:val="36"/>
          <w:szCs w:val="36"/>
        </w:rPr>
        <w:t>– SOCIÁLNÍ BYDLENÍ – SC 4.2 (ITI)</w:t>
      </w:r>
    </w:p>
    <w:p w14:paraId="2512F0D6" w14:textId="77777777" w:rsidR="00410422" w:rsidRPr="00410422" w:rsidRDefault="00410422" w:rsidP="00410422">
      <w:pPr>
        <w:widowControl w:val="0"/>
        <w:spacing w:before="360" w:after="240" w:line="288" w:lineRule="auto"/>
        <w:jc w:val="center"/>
        <w:textAlignment w:val="center"/>
        <w:rPr>
          <w:rFonts w:ascii="Arial" w:eastAsia="SimSun" w:hAnsi="Arial" w:cs="Arial"/>
          <w:caps/>
          <w:color w:val="A6A6A6"/>
          <w:sz w:val="32"/>
          <w:szCs w:val="40"/>
        </w:rPr>
      </w:pPr>
      <w:r w:rsidRPr="00410422">
        <w:rPr>
          <w:rFonts w:ascii="Arial" w:eastAsia="SimSun" w:hAnsi="Arial" w:cs="Arial"/>
          <w:caps/>
          <w:color w:val="A6A6A6"/>
          <w:sz w:val="32"/>
          <w:szCs w:val="40"/>
        </w:rPr>
        <w:t>verze 3</w:t>
      </w:r>
    </w:p>
    <w:p w14:paraId="1D04D82C" w14:textId="7480094A" w:rsidR="00982DA7" w:rsidRPr="00363C8A" w:rsidRDefault="00982DA7" w:rsidP="00982DA7">
      <w:pPr>
        <w:pStyle w:val="Zkladnodstavec"/>
        <w:jc w:val="center"/>
        <w:rPr>
          <w:rFonts w:ascii="Arial" w:hAnsi="Arial" w:cs="Arial"/>
          <w:caps/>
          <w:color w:val="auto"/>
          <w:sz w:val="28"/>
          <w:szCs w:val="28"/>
          <w:highlight w:val="yellow"/>
        </w:rPr>
      </w:pP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6541161F" w14:textId="2D2B41E9" w:rsidR="0088417B"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8664" w:history="1">
            <w:r w:rsidR="0088417B" w:rsidRPr="009B6A75">
              <w:rPr>
                <w:rStyle w:val="Hypertextovodkaz"/>
              </w:rPr>
              <w:t>1.</w:t>
            </w:r>
            <w:r w:rsidR="0088417B">
              <w:rPr>
                <w:rFonts w:eastAsiaTheme="minorEastAsia"/>
                <w:b w:val="0"/>
                <w:bCs w:val="0"/>
                <w:kern w:val="2"/>
                <w:sz w:val="24"/>
                <w:szCs w:val="24"/>
                <w:lang w:eastAsia="cs-CZ"/>
                <w14:ligatures w14:val="standardContextual"/>
              </w:rPr>
              <w:tab/>
            </w:r>
            <w:r w:rsidR="0088417B" w:rsidRPr="009B6A75">
              <w:rPr>
                <w:rStyle w:val="Hypertextovodkaz"/>
              </w:rPr>
              <w:t>Úvod - Ověřování žadatele o podporu z pohledu podniku v obtížích</w:t>
            </w:r>
            <w:r w:rsidR="0088417B">
              <w:rPr>
                <w:webHidden/>
              </w:rPr>
              <w:tab/>
            </w:r>
            <w:r w:rsidR="0088417B">
              <w:rPr>
                <w:webHidden/>
              </w:rPr>
              <w:fldChar w:fldCharType="begin"/>
            </w:r>
            <w:r w:rsidR="0088417B">
              <w:rPr>
                <w:webHidden/>
              </w:rPr>
              <w:instrText xml:space="preserve"> PAGEREF _Toc203568664 \h </w:instrText>
            </w:r>
            <w:r w:rsidR="0088417B">
              <w:rPr>
                <w:webHidden/>
              </w:rPr>
            </w:r>
            <w:r w:rsidR="0088417B">
              <w:rPr>
                <w:webHidden/>
              </w:rPr>
              <w:fldChar w:fldCharType="separate"/>
            </w:r>
            <w:r w:rsidR="0088417B">
              <w:rPr>
                <w:webHidden/>
              </w:rPr>
              <w:t>4</w:t>
            </w:r>
            <w:r w:rsidR="0088417B">
              <w:rPr>
                <w:webHidden/>
              </w:rPr>
              <w:fldChar w:fldCharType="end"/>
            </w:r>
          </w:hyperlink>
        </w:p>
        <w:p w14:paraId="0CFA9CCD" w14:textId="7381A542" w:rsidR="0088417B" w:rsidRDefault="0065384D">
          <w:pPr>
            <w:pStyle w:val="Obsah1"/>
            <w:rPr>
              <w:rFonts w:eastAsiaTheme="minorEastAsia"/>
              <w:b w:val="0"/>
              <w:bCs w:val="0"/>
              <w:kern w:val="2"/>
              <w:sz w:val="24"/>
              <w:szCs w:val="24"/>
              <w:lang w:eastAsia="cs-CZ"/>
              <w14:ligatures w14:val="standardContextual"/>
            </w:rPr>
          </w:pPr>
          <w:hyperlink w:anchor="_Toc203568665" w:history="1">
            <w:r w:rsidR="0088417B" w:rsidRPr="009B6A75">
              <w:rPr>
                <w:rStyle w:val="Hypertextovodkaz"/>
              </w:rPr>
              <w:t>2.</w:t>
            </w:r>
            <w:r w:rsidR="0088417B">
              <w:rPr>
                <w:rFonts w:eastAsiaTheme="minorEastAsia"/>
                <w:b w:val="0"/>
                <w:bCs w:val="0"/>
                <w:kern w:val="2"/>
                <w:sz w:val="24"/>
                <w:szCs w:val="24"/>
                <w:lang w:eastAsia="cs-CZ"/>
                <w14:ligatures w14:val="standardContextual"/>
              </w:rPr>
              <w:tab/>
            </w:r>
            <w:r w:rsidR="0088417B" w:rsidRPr="009B6A75">
              <w:rPr>
                <w:rStyle w:val="Hypertextovodkaz"/>
              </w:rPr>
              <w:t>Dokládání podkladů pro vyhodnocení žadatele z pohledu podniku v obtížích</w:t>
            </w:r>
            <w:r w:rsidR="0088417B">
              <w:rPr>
                <w:webHidden/>
              </w:rPr>
              <w:tab/>
            </w:r>
            <w:r w:rsidR="0088417B">
              <w:rPr>
                <w:webHidden/>
              </w:rPr>
              <w:fldChar w:fldCharType="begin"/>
            </w:r>
            <w:r w:rsidR="0088417B">
              <w:rPr>
                <w:webHidden/>
              </w:rPr>
              <w:instrText xml:space="preserve"> PAGEREF _Toc203568665 \h </w:instrText>
            </w:r>
            <w:r w:rsidR="0088417B">
              <w:rPr>
                <w:webHidden/>
              </w:rPr>
            </w:r>
            <w:r w:rsidR="0088417B">
              <w:rPr>
                <w:webHidden/>
              </w:rPr>
              <w:fldChar w:fldCharType="separate"/>
            </w:r>
            <w:r w:rsidR="0088417B">
              <w:rPr>
                <w:webHidden/>
              </w:rPr>
              <w:t>5</w:t>
            </w:r>
            <w:r w:rsidR="0088417B">
              <w:rPr>
                <w:webHidden/>
              </w:rPr>
              <w:fldChar w:fldCharType="end"/>
            </w:r>
          </w:hyperlink>
        </w:p>
        <w:p w14:paraId="055E206B" w14:textId="2D9E543A" w:rsidR="0088417B" w:rsidRDefault="0065384D">
          <w:pPr>
            <w:pStyle w:val="Obsah2"/>
            <w:rPr>
              <w:rFonts w:eastAsiaTheme="minorEastAsia"/>
              <w:b w:val="0"/>
              <w:bCs w:val="0"/>
              <w:kern w:val="2"/>
              <w:sz w:val="24"/>
              <w:szCs w:val="24"/>
              <w14:ligatures w14:val="standardContextual"/>
            </w:rPr>
          </w:pPr>
          <w:hyperlink w:anchor="_Toc203568666" w:history="1">
            <w:r w:rsidR="0088417B" w:rsidRPr="009B6A75">
              <w:rPr>
                <w:rStyle w:val="Hypertextovodkaz"/>
              </w:rPr>
              <w:t>2.1 Podklady z účetnictví a daňové evidence</w:t>
            </w:r>
            <w:r w:rsidR="0088417B">
              <w:rPr>
                <w:webHidden/>
              </w:rPr>
              <w:tab/>
            </w:r>
            <w:r w:rsidR="0088417B">
              <w:rPr>
                <w:webHidden/>
              </w:rPr>
              <w:fldChar w:fldCharType="begin"/>
            </w:r>
            <w:r w:rsidR="0088417B">
              <w:rPr>
                <w:webHidden/>
              </w:rPr>
              <w:instrText xml:space="preserve"> PAGEREF _Toc203568666 \h </w:instrText>
            </w:r>
            <w:r w:rsidR="0088417B">
              <w:rPr>
                <w:webHidden/>
              </w:rPr>
            </w:r>
            <w:r w:rsidR="0088417B">
              <w:rPr>
                <w:webHidden/>
              </w:rPr>
              <w:fldChar w:fldCharType="separate"/>
            </w:r>
            <w:r w:rsidR="0088417B">
              <w:rPr>
                <w:webHidden/>
              </w:rPr>
              <w:t>5</w:t>
            </w:r>
            <w:r w:rsidR="0088417B">
              <w:rPr>
                <w:webHidden/>
              </w:rPr>
              <w:fldChar w:fldCharType="end"/>
            </w:r>
          </w:hyperlink>
        </w:p>
        <w:p w14:paraId="070E6857" w14:textId="2D7F93A8" w:rsidR="0088417B" w:rsidRDefault="0065384D">
          <w:pPr>
            <w:pStyle w:val="Obsah2"/>
            <w:rPr>
              <w:rFonts w:eastAsiaTheme="minorEastAsia"/>
              <w:b w:val="0"/>
              <w:bCs w:val="0"/>
              <w:kern w:val="2"/>
              <w:sz w:val="24"/>
              <w:szCs w:val="24"/>
              <w14:ligatures w14:val="standardContextual"/>
            </w:rPr>
          </w:pPr>
          <w:hyperlink w:anchor="_Toc203568667" w:history="1">
            <w:r w:rsidR="0088417B" w:rsidRPr="009B6A75">
              <w:rPr>
                <w:rStyle w:val="Hypertextovodkaz"/>
              </w:rPr>
              <w:t>2.2 Formulář pro vyhodnocení žadatele o podporu z pohledu podniku v obtížích</w:t>
            </w:r>
            <w:r w:rsidR="0088417B">
              <w:rPr>
                <w:webHidden/>
              </w:rPr>
              <w:tab/>
            </w:r>
            <w:r w:rsidR="0088417B">
              <w:rPr>
                <w:webHidden/>
              </w:rPr>
              <w:fldChar w:fldCharType="begin"/>
            </w:r>
            <w:r w:rsidR="0088417B">
              <w:rPr>
                <w:webHidden/>
              </w:rPr>
              <w:instrText xml:space="preserve"> PAGEREF _Toc203568667 \h </w:instrText>
            </w:r>
            <w:r w:rsidR="0088417B">
              <w:rPr>
                <w:webHidden/>
              </w:rPr>
            </w:r>
            <w:r w:rsidR="0088417B">
              <w:rPr>
                <w:webHidden/>
              </w:rPr>
              <w:fldChar w:fldCharType="separate"/>
            </w:r>
            <w:r w:rsidR="0088417B">
              <w:rPr>
                <w:webHidden/>
              </w:rPr>
              <w:t>6</w:t>
            </w:r>
            <w:r w:rsidR="0088417B">
              <w:rPr>
                <w:webHidden/>
              </w:rPr>
              <w:fldChar w:fldCharType="end"/>
            </w:r>
          </w:hyperlink>
        </w:p>
        <w:p w14:paraId="4EC57F50" w14:textId="04E09F20" w:rsidR="0088417B" w:rsidRDefault="0065384D">
          <w:pPr>
            <w:pStyle w:val="Obsah2"/>
            <w:rPr>
              <w:rFonts w:eastAsiaTheme="minorEastAsia"/>
              <w:b w:val="0"/>
              <w:bCs w:val="0"/>
              <w:kern w:val="2"/>
              <w:sz w:val="24"/>
              <w:szCs w:val="24"/>
              <w14:ligatures w14:val="standardContextual"/>
            </w:rPr>
          </w:pPr>
          <w:hyperlink w:anchor="_Toc203568668" w:history="1">
            <w:r w:rsidR="0088417B" w:rsidRPr="009B6A75">
              <w:rPr>
                <w:rStyle w:val="Hypertextovodkaz"/>
              </w:rPr>
              <w:t>2.3 Struktura vlastnických vztahů</w:t>
            </w:r>
            <w:r w:rsidR="0088417B">
              <w:rPr>
                <w:webHidden/>
              </w:rPr>
              <w:tab/>
            </w:r>
            <w:r w:rsidR="0088417B">
              <w:rPr>
                <w:webHidden/>
              </w:rPr>
              <w:fldChar w:fldCharType="begin"/>
            </w:r>
            <w:r w:rsidR="0088417B">
              <w:rPr>
                <w:webHidden/>
              </w:rPr>
              <w:instrText xml:space="preserve"> PAGEREF _Toc203568668 \h </w:instrText>
            </w:r>
            <w:r w:rsidR="0088417B">
              <w:rPr>
                <w:webHidden/>
              </w:rPr>
            </w:r>
            <w:r w:rsidR="0088417B">
              <w:rPr>
                <w:webHidden/>
              </w:rPr>
              <w:fldChar w:fldCharType="separate"/>
            </w:r>
            <w:r w:rsidR="0088417B">
              <w:rPr>
                <w:webHidden/>
              </w:rPr>
              <w:t>6</w:t>
            </w:r>
            <w:r w:rsidR="0088417B">
              <w:rPr>
                <w:webHidden/>
              </w:rPr>
              <w:fldChar w:fldCharType="end"/>
            </w:r>
          </w:hyperlink>
        </w:p>
        <w:p w14:paraId="09B1F243" w14:textId="62198018" w:rsidR="0088417B" w:rsidRDefault="0065384D">
          <w:pPr>
            <w:pStyle w:val="Obsah2"/>
            <w:rPr>
              <w:rFonts w:eastAsiaTheme="minorEastAsia"/>
              <w:b w:val="0"/>
              <w:bCs w:val="0"/>
              <w:kern w:val="2"/>
              <w:sz w:val="24"/>
              <w:szCs w:val="24"/>
              <w14:ligatures w14:val="standardContextual"/>
            </w:rPr>
          </w:pPr>
          <w:hyperlink w:anchor="_Toc203568669" w:history="1">
            <w:r w:rsidR="0088417B" w:rsidRPr="009B6A75">
              <w:rPr>
                <w:rStyle w:val="Hypertextovodkaz"/>
              </w:rPr>
              <w:t>2.4 Kategorie podniku</w:t>
            </w:r>
            <w:r w:rsidR="0088417B">
              <w:rPr>
                <w:webHidden/>
              </w:rPr>
              <w:tab/>
            </w:r>
            <w:r w:rsidR="0088417B">
              <w:rPr>
                <w:webHidden/>
              </w:rPr>
              <w:fldChar w:fldCharType="begin"/>
            </w:r>
            <w:r w:rsidR="0088417B">
              <w:rPr>
                <w:webHidden/>
              </w:rPr>
              <w:instrText xml:space="preserve"> PAGEREF _Toc203568669 \h </w:instrText>
            </w:r>
            <w:r w:rsidR="0088417B">
              <w:rPr>
                <w:webHidden/>
              </w:rPr>
            </w:r>
            <w:r w:rsidR="0088417B">
              <w:rPr>
                <w:webHidden/>
              </w:rPr>
              <w:fldChar w:fldCharType="separate"/>
            </w:r>
            <w:r w:rsidR="0088417B">
              <w:rPr>
                <w:webHidden/>
              </w:rPr>
              <w:t>7</w:t>
            </w:r>
            <w:r w:rsidR="0088417B">
              <w:rPr>
                <w:webHidden/>
              </w:rPr>
              <w:fldChar w:fldCharType="end"/>
            </w:r>
          </w:hyperlink>
        </w:p>
        <w:p w14:paraId="0AA7B1C9" w14:textId="34FC4B2B" w:rsidR="0088417B" w:rsidRDefault="0065384D">
          <w:pPr>
            <w:pStyle w:val="Obsah2"/>
            <w:rPr>
              <w:rFonts w:eastAsiaTheme="minorEastAsia"/>
              <w:b w:val="0"/>
              <w:bCs w:val="0"/>
              <w:kern w:val="2"/>
              <w:sz w:val="24"/>
              <w:szCs w:val="24"/>
              <w14:ligatures w14:val="standardContextual"/>
            </w:rPr>
          </w:pPr>
          <w:hyperlink w:anchor="_Toc203568670" w:history="1">
            <w:r w:rsidR="0088417B" w:rsidRPr="009B6A75">
              <w:rPr>
                <w:rStyle w:val="Hypertextovodkaz"/>
              </w:rPr>
              <w:t>2.5 Skupina podniků</w:t>
            </w:r>
            <w:r w:rsidR="0088417B">
              <w:rPr>
                <w:webHidden/>
              </w:rPr>
              <w:tab/>
            </w:r>
            <w:r w:rsidR="0088417B">
              <w:rPr>
                <w:webHidden/>
              </w:rPr>
              <w:fldChar w:fldCharType="begin"/>
            </w:r>
            <w:r w:rsidR="0088417B">
              <w:rPr>
                <w:webHidden/>
              </w:rPr>
              <w:instrText xml:space="preserve"> PAGEREF _Toc203568670 \h </w:instrText>
            </w:r>
            <w:r w:rsidR="0088417B">
              <w:rPr>
                <w:webHidden/>
              </w:rPr>
            </w:r>
            <w:r w:rsidR="0088417B">
              <w:rPr>
                <w:webHidden/>
              </w:rPr>
              <w:fldChar w:fldCharType="separate"/>
            </w:r>
            <w:r w:rsidR="0088417B">
              <w:rPr>
                <w:webHidden/>
              </w:rPr>
              <w:t>9</w:t>
            </w:r>
            <w:r w:rsidR="0088417B">
              <w:rPr>
                <w:webHidden/>
              </w:rPr>
              <w:fldChar w:fldCharType="end"/>
            </w:r>
          </w:hyperlink>
        </w:p>
        <w:p w14:paraId="5E5C1D65" w14:textId="03FEE18E" w:rsidR="0088417B" w:rsidRDefault="0065384D">
          <w:pPr>
            <w:pStyle w:val="Obsah1"/>
            <w:rPr>
              <w:rFonts w:eastAsiaTheme="minorEastAsia"/>
              <w:b w:val="0"/>
              <w:bCs w:val="0"/>
              <w:kern w:val="2"/>
              <w:sz w:val="24"/>
              <w:szCs w:val="24"/>
              <w:lang w:eastAsia="cs-CZ"/>
              <w14:ligatures w14:val="standardContextual"/>
            </w:rPr>
          </w:pPr>
          <w:hyperlink w:anchor="_Toc203568671" w:history="1">
            <w:r w:rsidR="0088417B" w:rsidRPr="009B6A75">
              <w:rPr>
                <w:rStyle w:val="Hypertextovodkaz"/>
              </w:rPr>
              <w:t>3.</w:t>
            </w:r>
            <w:r w:rsidR="0088417B">
              <w:rPr>
                <w:rFonts w:eastAsiaTheme="minorEastAsia"/>
                <w:b w:val="0"/>
                <w:bCs w:val="0"/>
                <w:kern w:val="2"/>
                <w:sz w:val="24"/>
                <w:szCs w:val="24"/>
                <w:lang w:eastAsia="cs-CZ"/>
                <w14:ligatures w14:val="standardContextual"/>
              </w:rPr>
              <w:tab/>
            </w:r>
            <w:r w:rsidR="0088417B" w:rsidRPr="009B6A75">
              <w:rPr>
                <w:rStyle w:val="Hypertextovodkaz"/>
              </w:rPr>
              <w:t>Předpoklady pro poskytnutí či neposkytnutí podpory</w:t>
            </w:r>
            <w:r w:rsidR="0088417B">
              <w:rPr>
                <w:webHidden/>
              </w:rPr>
              <w:tab/>
            </w:r>
            <w:r w:rsidR="0088417B">
              <w:rPr>
                <w:webHidden/>
              </w:rPr>
              <w:fldChar w:fldCharType="begin"/>
            </w:r>
            <w:r w:rsidR="0088417B">
              <w:rPr>
                <w:webHidden/>
              </w:rPr>
              <w:instrText xml:space="preserve"> PAGEREF _Toc203568671 \h </w:instrText>
            </w:r>
            <w:r w:rsidR="0088417B">
              <w:rPr>
                <w:webHidden/>
              </w:rPr>
            </w:r>
            <w:r w:rsidR="0088417B">
              <w:rPr>
                <w:webHidden/>
              </w:rPr>
              <w:fldChar w:fldCharType="separate"/>
            </w:r>
            <w:r w:rsidR="0088417B">
              <w:rPr>
                <w:webHidden/>
              </w:rPr>
              <w:t>10</w:t>
            </w:r>
            <w:r w:rsidR="0088417B">
              <w:rPr>
                <w:webHidden/>
              </w:rPr>
              <w:fldChar w:fldCharType="end"/>
            </w:r>
          </w:hyperlink>
        </w:p>
        <w:p w14:paraId="0EE0A06F" w14:textId="5E7A0C89" w:rsidR="0088417B" w:rsidRDefault="0065384D">
          <w:pPr>
            <w:pStyle w:val="Obsah1"/>
            <w:rPr>
              <w:rFonts w:eastAsiaTheme="minorEastAsia"/>
              <w:b w:val="0"/>
              <w:bCs w:val="0"/>
              <w:kern w:val="2"/>
              <w:sz w:val="24"/>
              <w:szCs w:val="24"/>
              <w:lang w:eastAsia="cs-CZ"/>
              <w14:ligatures w14:val="standardContextual"/>
            </w:rPr>
          </w:pPr>
          <w:hyperlink w:anchor="_Toc203568672" w:history="1">
            <w:r w:rsidR="0088417B" w:rsidRPr="009B6A75">
              <w:rPr>
                <w:rStyle w:val="Hypertextovodkaz"/>
              </w:rPr>
              <w:t>4.</w:t>
            </w:r>
            <w:r w:rsidR="0088417B">
              <w:rPr>
                <w:rFonts w:eastAsiaTheme="minorEastAsia"/>
                <w:b w:val="0"/>
                <w:bCs w:val="0"/>
                <w:kern w:val="2"/>
                <w:sz w:val="24"/>
                <w:szCs w:val="24"/>
                <w:lang w:eastAsia="cs-CZ"/>
                <w14:ligatures w14:val="standardContextual"/>
              </w:rPr>
              <w:tab/>
            </w:r>
            <w:r w:rsidR="0088417B" w:rsidRPr="009B6A75">
              <w:rPr>
                <w:rStyle w:val="Hypertextovodkaz"/>
              </w:rPr>
              <w:t>Přehled kritérií hodnocení podniku v obtížích ve vztahu ke kategoriím podniků dle přílohy I GBER</w:t>
            </w:r>
            <w:r w:rsidR="0088417B">
              <w:rPr>
                <w:webHidden/>
              </w:rPr>
              <w:tab/>
            </w:r>
            <w:r w:rsidR="0088417B">
              <w:rPr>
                <w:webHidden/>
              </w:rPr>
              <w:fldChar w:fldCharType="begin"/>
            </w:r>
            <w:r w:rsidR="0088417B">
              <w:rPr>
                <w:webHidden/>
              </w:rPr>
              <w:instrText xml:space="preserve"> PAGEREF _Toc203568672 \h </w:instrText>
            </w:r>
            <w:r w:rsidR="0088417B">
              <w:rPr>
                <w:webHidden/>
              </w:rPr>
            </w:r>
            <w:r w:rsidR="0088417B">
              <w:rPr>
                <w:webHidden/>
              </w:rPr>
              <w:fldChar w:fldCharType="separate"/>
            </w:r>
            <w:r w:rsidR="0088417B">
              <w:rPr>
                <w:webHidden/>
              </w:rPr>
              <w:t>12</w:t>
            </w:r>
            <w:r w:rsidR="0088417B">
              <w:rPr>
                <w:webHidden/>
              </w:rPr>
              <w:fldChar w:fldCharType="end"/>
            </w:r>
          </w:hyperlink>
        </w:p>
        <w:p w14:paraId="5A7775A6" w14:textId="6FACAADF" w:rsidR="0088417B" w:rsidRDefault="0065384D">
          <w:pPr>
            <w:pStyle w:val="Obsah2"/>
            <w:rPr>
              <w:rFonts w:eastAsiaTheme="minorEastAsia"/>
              <w:b w:val="0"/>
              <w:bCs w:val="0"/>
              <w:kern w:val="2"/>
              <w:sz w:val="24"/>
              <w:szCs w:val="24"/>
              <w14:ligatures w14:val="standardContextual"/>
            </w:rPr>
          </w:pPr>
          <w:hyperlink w:anchor="_Toc203568673" w:history="1">
            <w:r w:rsidR="0088417B" w:rsidRPr="009B6A75">
              <w:rPr>
                <w:rStyle w:val="Hypertextovodkaz"/>
              </w:rPr>
              <w:t>Kritérium A – vztah vlastního kapitálu k polovině základního kapitálu podniku</w:t>
            </w:r>
            <w:r w:rsidR="0088417B">
              <w:rPr>
                <w:webHidden/>
              </w:rPr>
              <w:tab/>
            </w:r>
            <w:r w:rsidR="0088417B">
              <w:rPr>
                <w:webHidden/>
              </w:rPr>
              <w:fldChar w:fldCharType="begin"/>
            </w:r>
            <w:r w:rsidR="0088417B">
              <w:rPr>
                <w:webHidden/>
              </w:rPr>
              <w:instrText xml:space="preserve"> PAGEREF _Toc203568673 \h </w:instrText>
            </w:r>
            <w:r w:rsidR="0088417B">
              <w:rPr>
                <w:webHidden/>
              </w:rPr>
            </w:r>
            <w:r w:rsidR="0088417B">
              <w:rPr>
                <w:webHidden/>
              </w:rPr>
              <w:fldChar w:fldCharType="separate"/>
            </w:r>
            <w:r w:rsidR="0088417B">
              <w:rPr>
                <w:webHidden/>
              </w:rPr>
              <w:t>12</w:t>
            </w:r>
            <w:r w:rsidR="0088417B">
              <w:rPr>
                <w:webHidden/>
              </w:rPr>
              <w:fldChar w:fldCharType="end"/>
            </w:r>
          </w:hyperlink>
        </w:p>
        <w:p w14:paraId="33E94B67" w14:textId="38D1C782" w:rsidR="0088417B" w:rsidRDefault="0065384D">
          <w:pPr>
            <w:pStyle w:val="Obsah2"/>
            <w:rPr>
              <w:rFonts w:eastAsiaTheme="minorEastAsia"/>
              <w:b w:val="0"/>
              <w:bCs w:val="0"/>
              <w:kern w:val="2"/>
              <w:sz w:val="24"/>
              <w:szCs w:val="24"/>
              <w14:ligatures w14:val="standardContextual"/>
            </w:rPr>
          </w:pPr>
          <w:hyperlink w:anchor="_Toc203568674" w:history="1">
            <w:r w:rsidR="0088417B" w:rsidRPr="009B6A75">
              <w:rPr>
                <w:rStyle w:val="Hypertextovodkaz"/>
              </w:rPr>
              <w:t>Kritérium B - vztah kumulovaného záporného výsledku hospodaření k polovině vlastního kapitálu podniku</w:t>
            </w:r>
            <w:r w:rsidR="0088417B">
              <w:rPr>
                <w:webHidden/>
              </w:rPr>
              <w:tab/>
            </w:r>
            <w:r w:rsidR="0088417B">
              <w:rPr>
                <w:webHidden/>
              </w:rPr>
              <w:fldChar w:fldCharType="begin"/>
            </w:r>
            <w:r w:rsidR="0088417B">
              <w:rPr>
                <w:webHidden/>
              </w:rPr>
              <w:instrText xml:space="preserve"> PAGEREF _Toc203568674 \h </w:instrText>
            </w:r>
            <w:r w:rsidR="0088417B">
              <w:rPr>
                <w:webHidden/>
              </w:rPr>
            </w:r>
            <w:r w:rsidR="0088417B">
              <w:rPr>
                <w:webHidden/>
              </w:rPr>
              <w:fldChar w:fldCharType="separate"/>
            </w:r>
            <w:r w:rsidR="0088417B">
              <w:rPr>
                <w:webHidden/>
              </w:rPr>
              <w:t>13</w:t>
            </w:r>
            <w:r w:rsidR="0088417B">
              <w:rPr>
                <w:webHidden/>
              </w:rPr>
              <w:fldChar w:fldCharType="end"/>
            </w:r>
          </w:hyperlink>
        </w:p>
        <w:p w14:paraId="17FE900D" w14:textId="2F4E0F6F" w:rsidR="0088417B" w:rsidRDefault="0065384D">
          <w:pPr>
            <w:pStyle w:val="Obsah2"/>
            <w:rPr>
              <w:rFonts w:eastAsiaTheme="minorEastAsia"/>
              <w:b w:val="0"/>
              <w:bCs w:val="0"/>
              <w:kern w:val="2"/>
              <w:sz w:val="24"/>
              <w:szCs w:val="24"/>
              <w14:ligatures w14:val="standardContextual"/>
            </w:rPr>
          </w:pPr>
          <w:hyperlink w:anchor="_Toc203568675" w:history="1">
            <w:r w:rsidR="0088417B" w:rsidRPr="009B6A75">
              <w:rPr>
                <w:rStyle w:val="Hypertextovodkaz"/>
              </w:rPr>
              <w:t>Kritérium C - úpadkové (insolvenční) řízení</w:t>
            </w:r>
            <w:r w:rsidR="0088417B">
              <w:rPr>
                <w:webHidden/>
              </w:rPr>
              <w:tab/>
            </w:r>
            <w:r w:rsidR="0088417B">
              <w:rPr>
                <w:webHidden/>
              </w:rPr>
              <w:fldChar w:fldCharType="begin"/>
            </w:r>
            <w:r w:rsidR="0088417B">
              <w:rPr>
                <w:webHidden/>
              </w:rPr>
              <w:instrText xml:space="preserve"> PAGEREF _Toc203568675 \h </w:instrText>
            </w:r>
            <w:r w:rsidR="0088417B">
              <w:rPr>
                <w:webHidden/>
              </w:rPr>
            </w:r>
            <w:r w:rsidR="0088417B">
              <w:rPr>
                <w:webHidden/>
              </w:rPr>
              <w:fldChar w:fldCharType="separate"/>
            </w:r>
            <w:r w:rsidR="0088417B">
              <w:rPr>
                <w:webHidden/>
              </w:rPr>
              <w:t>13</w:t>
            </w:r>
            <w:r w:rsidR="0088417B">
              <w:rPr>
                <w:webHidden/>
              </w:rPr>
              <w:fldChar w:fldCharType="end"/>
            </w:r>
          </w:hyperlink>
        </w:p>
        <w:p w14:paraId="1BE91033" w14:textId="456E32E2" w:rsidR="0088417B" w:rsidRDefault="0065384D">
          <w:pPr>
            <w:pStyle w:val="Obsah2"/>
            <w:rPr>
              <w:rFonts w:eastAsiaTheme="minorEastAsia"/>
              <w:b w:val="0"/>
              <w:bCs w:val="0"/>
              <w:kern w:val="2"/>
              <w:sz w:val="24"/>
              <w:szCs w:val="24"/>
              <w14:ligatures w14:val="standardContextual"/>
            </w:rPr>
          </w:pPr>
          <w:hyperlink w:anchor="_Toc203568676" w:history="1">
            <w:r w:rsidR="0088417B" w:rsidRPr="009B6A75">
              <w:rPr>
                <w:rStyle w:val="Hypertextovodkaz"/>
              </w:rPr>
              <w:t>Kritérium D - podnik s podporou na záchranu nebo restrukturalizaci</w:t>
            </w:r>
            <w:r w:rsidR="0088417B">
              <w:rPr>
                <w:webHidden/>
              </w:rPr>
              <w:tab/>
            </w:r>
            <w:r w:rsidR="0088417B">
              <w:rPr>
                <w:webHidden/>
              </w:rPr>
              <w:fldChar w:fldCharType="begin"/>
            </w:r>
            <w:r w:rsidR="0088417B">
              <w:rPr>
                <w:webHidden/>
              </w:rPr>
              <w:instrText xml:space="preserve"> PAGEREF _Toc203568676 \h </w:instrText>
            </w:r>
            <w:r w:rsidR="0088417B">
              <w:rPr>
                <w:webHidden/>
              </w:rPr>
            </w:r>
            <w:r w:rsidR="0088417B">
              <w:rPr>
                <w:webHidden/>
              </w:rPr>
              <w:fldChar w:fldCharType="separate"/>
            </w:r>
            <w:r w:rsidR="0088417B">
              <w:rPr>
                <w:webHidden/>
              </w:rPr>
              <w:t>13</w:t>
            </w:r>
            <w:r w:rsidR="0088417B">
              <w:rPr>
                <w:webHidden/>
              </w:rPr>
              <w:fldChar w:fldCharType="end"/>
            </w:r>
          </w:hyperlink>
        </w:p>
        <w:p w14:paraId="571F4752" w14:textId="73062F46" w:rsidR="0088417B" w:rsidRDefault="0065384D">
          <w:pPr>
            <w:pStyle w:val="Obsah2"/>
            <w:rPr>
              <w:rFonts w:eastAsiaTheme="minorEastAsia"/>
              <w:b w:val="0"/>
              <w:bCs w:val="0"/>
              <w:kern w:val="2"/>
              <w:sz w:val="24"/>
              <w:szCs w:val="24"/>
              <w14:ligatures w14:val="standardContextual"/>
            </w:rPr>
          </w:pPr>
          <w:hyperlink w:anchor="_Toc203568677" w:history="1">
            <w:r w:rsidR="0088417B" w:rsidRPr="009B6A75">
              <w:rPr>
                <w:rStyle w:val="Hypertextovodkaz"/>
              </w:rPr>
              <w:t>Kritérium E – zkoumání míry zadluženosti a ukazatele úrokového krytí u velkých podniků</w:t>
            </w:r>
            <w:r w:rsidR="0088417B">
              <w:rPr>
                <w:webHidden/>
              </w:rPr>
              <w:tab/>
            </w:r>
            <w:r w:rsidR="0088417B">
              <w:rPr>
                <w:webHidden/>
              </w:rPr>
              <w:fldChar w:fldCharType="begin"/>
            </w:r>
            <w:r w:rsidR="0088417B">
              <w:rPr>
                <w:webHidden/>
              </w:rPr>
              <w:instrText xml:space="preserve"> PAGEREF _Toc203568677 \h </w:instrText>
            </w:r>
            <w:r w:rsidR="0088417B">
              <w:rPr>
                <w:webHidden/>
              </w:rPr>
            </w:r>
            <w:r w:rsidR="0088417B">
              <w:rPr>
                <w:webHidden/>
              </w:rPr>
              <w:fldChar w:fldCharType="separate"/>
            </w:r>
            <w:r w:rsidR="0088417B">
              <w:rPr>
                <w:webHidden/>
              </w:rPr>
              <w:t>14</w:t>
            </w:r>
            <w:r w:rsidR="0088417B">
              <w:rPr>
                <w:webHidden/>
              </w:rPr>
              <w:fldChar w:fldCharType="end"/>
            </w:r>
          </w:hyperlink>
        </w:p>
        <w:p w14:paraId="660009FA" w14:textId="6332B4F3" w:rsidR="0088417B" w:rsidRDefault="0065384D">
          <w:pPr>
            <w:pStyle w:val="Obsah1"/>
            <w:rPr>
              <w:rFonts w:eastAsiaTheme="minorEastAsia"/>
              <w:b w:val="0"/>
              <w:bCs w:val="0"/>
              <w:kern w:val="2"/>
              <w:sz w:val="24"/>
              <w:szCs w:val="24"/>
              <w:lang w:eastAsia="cs-CZ"/>
              <w14:ligatures w14:val="standardContextual"/>
            </w:rPr>
          </w:pPr>
          <w:hyperlink w:anchor="_Toc203568678" w:history="1">
            <w:r w:rsidR="0088417B" w:rsidRPr="009B6A75">
              <w:rPr>
                <w:rStyle w:val="Hypertextovodkaz"/>
              </w:rPr>
              <w:t>5.</w:t>
            </w:r>
            <w:r w:rsidR="0088417B">
              <w:rPr>
                <w:rFonts w:eastAsiaTheme="minorEastAsia"/>
                <w:b w:val="0"/>
                <w:bCs w:val="0"/>
                <w:kern w:val="2"/>
                <w:sz w:val="24"/>
                <w:szCs w:val="24"/>
                <w:lang w:eastAsia="cs-CZ"/>
                <w14:ligatures w14:val="standardContextual"/>
              </w:rPr>
              <w:tab/>
            </w:r>
            <w:r w:rsidR="0088417B" w:rsidRPr="009B6A75">
              <w:rPr>
                <w:rStyle w:val="Hypertextovodkaz"/>
              </w:rPr>
              <w:t>Postup pro vyplnění Formuláře pro vyhodnocení žadatele z pohledu podniku v obtížích</w:t>
            </w:r>
            <w:r w:rsidR="0088417B">
              <w:rPr>
                <w:webHidden/>
              </w:rPr>
              <w:tab/>
            </w:r>
            <w:r w:rsidR="0088417B">
              <w:rPr>
                <w:webHidden/>
              </w:rPr>
              <w:fldChar w:fldCharType="begin"/>
            </w:r>
            <w:r w:rsidR="0088417B">
              <w:rPr>
                <w:webHidden/>
              </w:rPr>
              <w:instrText xml:space="preserve"> PAGEREF _Toc203568678 \h </w:instrText>
            </w:r>
            <w:r w:rsidR="0088417B">
              <w:rPr>
                <w:webHidden/>
              </w:rPr>
            </w:r>
            <w:r w:rsidR="0088417B">
              <w:rPr>
                <w:webHidden/>
              </w:rPr>
              <w:fldChar w:fldCharType="separate"/>
            </w:r>
            <w:r w:rsidR="0088417B">
              <w:rPr>
                <w:webHidden/>
              </w:rPr>
              <w:t>14</w:t>
            </w:r>
            <w:r w:rsidR="0088417B">
              <w:rPr>
                <w:webHidden/>
              </w:rPr>
              <w:fldChar w:fldCharType="end"/>
            </w:r>
          </w:hyperlink>
        </w:p>
        <w:p w14:paraId="2A8B98F5" w14:textId="60F8E7D9" w:rsidR="0088417B" w:rsidRDefault="0065384D">
          <w:pPr>
            <w:pStyle w:val="Obsah1"/>
            <w:rPr>
              <w:rFonts w:eastAsiaTheme="minorEastAsia"/>
              <w:b w:val="0"/>
              <w:bCs w:val="0"/>
              <w:kern w:val="2"/>
              <w:sz w:val="24"/>
              <w:szCs w:val="24"/>
              <w:lang w:eastAsia="cs-CZ"/>
              <w14:ligatures w14:val="standardContextual"/>
            </w:rPr>
          </w:pPr>
          <w:hyperlink w:anchor="_Toc203568679" w:history="1">
            <w:r w:rsidR="0088417B" w:rsidRPr="009B6A75">
              <w:rPr>
                <w:rStyle w:val="Hypertextovodkaz"/>
              </w:rPr>
              <w:t>6.</w:t>
            </w:r>
            <w:r w:rsidR="0088417B">
              <w:rPr>
                <w:rFonts w:eastAsiaTheme="minorEastAsia"/>
                <w:b w:val="0"/>
                <w:bCs w:val="0"/>
                <w:kern w:val="2"/>
                <w:sz w:val="24"/>
                <w:szCs w:val="24"/>
                <w:lang w:eastAsia="cs-CZ"/>
                <w14:ligatures w14:val="standardContextual"/>
              </w:rPr>
              <w:tab/>
            </w:r>
            <w:r w:rsidR="0088417B" w:rsidRPr="009B6A75">
              <w:rPr>
                <w:rStyle w:val="Hypertextovodkaz"/>
              </w:rPr>
              <w:t>Dokládání Čestného prohlášení o posouzení kritérií podniku          v obtížích za skupinu podniků</w:t>
            </w:r>
            <w:r w:rsidR="0088417B">
              <w:rPr>
                <w:webHidden/>
              </w:rPr>
              <w:tab/>
            </w:r>
            <w:r w:rsidR="0088417B">
              <w:rPr>
                <w:webHidden/>
              </w:rPr>
              <w:fldChar w:fldCharType="begin"/>
            </w:r>
            <w:r w:rsidR="0088417B">
              <w:rPr>
                <w:webHidden/>
              </w:rPr>
              <w:instrText xml:space="preserve"> PAGEREF _Toc203568679 \h </w:instrText>
            </w:r>
            <w:r w:rsidR="0088417B">
              <w:rPr>
                <w:webHidden/>
              </w:rPr>
            </w:r>
            <w:r w:rsidR="0088417B">
              <w:rPr>
                <w:webHidden/>
              </w:rPr>
              <w:fldChar w:fldCharType="separate"/>
            </w:r>
            <w:r w:rsidR="0088417B">
              <w:rPr>
                <w:webHidden/>
              </w:rPr>
              <w:t>15</w:t>
            </w:r>
            <w:r w:rsidR="0088417B">
              <w:rPr>
                <w:webHidden/>
              </w:rPr>
              <w:fldChar w:fldCharType="end"/>
            </w:r>
          </w:hyperlink>
        </w:p>
        <w:p w14:paraId="4877C060" w14:textId="710760CF" w:rsidR="0088417B" w:rsidRDefault="0065384D">
          <w:pPr>
            <w:pStyle w:val="Obsah1"/>
            <w:rPr>
              <w:rFonts w:eastAsiaTheme="minorEastAsia"/>
              <w:b w:val="0"/>
              <w:bCs w:val="0"/>
              <w:kern w:val="2"/>
              <w:sz w:val="24"/>
              <w:szCs w:val="24"/>
              <w:lang w:eastAsia="cs-CZ"/>
              <w14:ligatures w14:val="standardContextual"/>
            </w:rPr>
          </w:pPr>
          <w:hyperlink w:anchor="_Toc203568680" w:history="1">
            <w:r w:rsidR="0088417B" w:rsidRPr="009B6A75">
              <w:rPr>
                <w:rStyle w:val="Hypertextovodkaz"/>
              </w:rPr>
              <w:t>7.</w:t>
            </w:r>
            <w:r w:rsidR="0088417B">
              <w:rPr>
                <w:rFonts w:eastAsiaTheme="minorEastAsia"/>
                <w:b w:val="0"/>
                <w:bCs w:val="0"/>
                <w:kern w:val="2"/>
                <w:sz w:val="24"/>
                <w:szCs w:val="24"/>
                <w:lang w:eastAsia="cs-CZ"/>
                <w14:ligatures w14:val="standardContextual"/>
              </w:rPr>
              <w:tab/>
            </w:r>
            <w:r w:rsidR="0088417B" w:rsidRPr="009B6A75">
              <w:rPr>
                <w:rStyle w:val="Hypertextovodkaz"/>
              </w:rPr>
              <w:t>Rámcové postupy pro žadatele o podporu v IROP pro dokládání dokumentace a vyplnění Formuláře pro vyhodnocení žadatele o podporu z pohledu podniku v obtížích – přehled podle jednotlivých typů žadatelů</w:t>
            </w:r>
            <w:r w:rsidR="0088417B">
              <w:rPr>
                <w:webHidden/>
              </w:rPr>
              <w:tab/>
            </w:r>
            <w:r w:rsidR="0088417B">
              <w:rPr>
                <w:webHidden/>
              </w:rPr>
              <w:fldChar w:fldCharType="begin"/>
            </w:r>
            <w:r w:rsidR="0088417B">
              <w:rPr>
                <w:webHidden/>
              </w:rPr>
              <w:instrText xml:space="preserve"> PAGEREF _Toc203568680 \h </w:instrText>
            </w:r>
            <w:r w:rsidR="0088417B">
              <w:rPr>
                <w:webHidden/>
              </w:rPr>
            </w:r>
            <w:r w:rsidR="0088417B">
              <w:rPr>
                <w:webHidden/>
              </w:rPr>
              <w:fldChar w:fldCharType="separate"/>
            </w:r>
            <w:r w:rsidR="0088417B">
              <w:rPr>
                <w:webHidden/>
              </w:rPr>
              <w:t>16</w:t>
            </w:r>
            <w:r w:rsidR="0088417B">
              <w:rPr>
                <w:webHidden/>
              </w:rPr>
              <w:fldChar w:fldCharType="end"/>
            </w:r>
          </w:hyperlink>
        </w:p>
        <w:p w14:paraId="351C06C1" w14:textId="71D5C1D5" w:rsidR="0088417B" w:rsidRDefault="0065384D">
          <w:pPr>
            <w:pStyle w:val="Obsah2"/>
            <w:rPr>
              <w:rFonts w:eastAsiaTheme="minorEastAsia"/>
              <w:b w:val="0"/>
              <w:bCs w:val="0"/>
              <w:kern w:val="2"/>
              <w:sz w:val="24"/>
              <w:szCs w:val="24"/>
              <w14:ligatures w14:val="standardContextual"/>
            </w:rPr>
          </w:pPr>
          <w:hyperlink w:anchor="_Toc203568681" w:history="1">
            <w:r w:rsidR="0088417B" w:rsidRPr="009B6A75">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sidR="0088417B">
              <w:rPr>
                <w:webHidden/>
              </w:rPr>
              <w:tab/>
            </w:r>
            <w:r w:rsidR="0088417B">
              <w:rPr>
                <w:webHidden/>
              </w:rPr>
              <w:fldChar w:fldCharType="begin"/>
            </w:r>
            <w:r w:rsidR="0088417B">
              <w:rPr>
                <w:webHidden/>
              </w:rPr>
              <w:instrText xml:space="preserve"> PAGEREF _Toc203568681 \h </w:instrText>
            </w:r>
            <w:r w:rsidR="0088417B">
              <w:rPr>
                <w:webHidden/>
              </w:rPr>
            </w:r>
            <w:r w:rsidR="0088417B">
              <w:rPr>
                <w:webHidden/>
              </w:rPr>
              <w:fldChar w:fldCharType="separate"/>
            </w:r>
            <w:r w:rsidR="0088417B">
              <w:rPr>
                <w:webHidden/>
              </w:rPr>
              <w:t>16</w:t>
            </w:r>
            <w:r w:rsidR="0088417B">
              <w:rPr>
                <w:webHidden/>
              </w:rPr>
              <w:fldChar w:fldCharType="end"/>
            </w:r>
          </w:hyperlink>
        </w:p>
        <w:p w14:paraId="0F3BF8D3" w14:textId="09A62ACA"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2" w:history="1">
            <w:r w:rsidR="0088417B" w:rsidRPr="009B6A75">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sidR="0088417B">
              <w:rPr>
                <w:noProof/>
                <w:webHidden/>
              </w:rPr>
              <w:tab/>
            </w:r>
            <w:r w:rsidR="0088417B">
              <w:rPr>
                <w:noProof/>
                <w:webHidden/>
              </w:rPr>
              <w:fldChar w:fldCharType="begin"/>
            </w:r>
            <w:r w:rsidR="0088417B">
              <w:rPr>
                <w:noProof/>
                <w:webHidden/>
              </w:rPr>
              <w:instrText xml:space="preserve"> PAGEREF _Toc203568682 \h </w:instrText>
            </w:r>
            <w:r w:rsidR="0088417B">
              <w:rPr>
                <w:noProof/>
                <w:webHidden/>
              </w:rPr>
            </w:r>
            <w:r w:rsidR="0088417B">
              <w:rPr>
                <w:noProof/>
                <w:webHidden/>
              </w:rPr>
              <w:fldChar w:fldCharType="separate"/>
            </w:r>
            <w:r w:rsidR="0088417B">
              <w:rPr>
                <w:noProof/>
                <w:webHidden/>
              </w:rPr>
              <w:t>16</w:t>
            </w:r>
            <w:r w:rsidR="0088417B">
              <w:rPr>
                <w:noProof/>
                <w:webHidden/>
              </w:rPr>
              <w:fldChar w:fldCharType="end"/>
            </w:r>
          </w:hyperlink>
        </w:p>
        <w:p w14:paraId="0AC580E9" w14:textId="55A8AAE6"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3" w:history="1">
            <w:r w:rsidR="0088417B" w:rsidRPr="009B6A75">
              <w:rPr>
                <w:rStyle w:val="Hypertextovodkaz"/>
                <w:rFonts w:asciiTheme="majorHAnsi" w:hAnsiTheme="majorHAnsi" w:cstheme="majorHAnsi"/>
                <w:noProof/>
              </w:rPr>
              <w:t>2. Žadatelem o podporu jsou organizace založené ÚSC – vyjma případu holdingu jako žadatele (viz bod 3)</w:t>
            </w:r>
            <w:r w:rsidR="0088417B">
              <w:rPr>
                <w:noProof/>
                <w:webHidden/>
              </w:rPr>
              <w:tab/>
            </w:r>
            <w:r w:rsidR="0088417B">
              <w:rPr>
                <w:noProof/>
                <w:webHidden/>
              </w:rPr>
              <w:fldChar w:fldCharType="begin"/>
            </w:r>
            <w:r w:rsidR="0088417B">
              <w:rPr>
                <w:noProof/>
                <w:webHidden/>
              </w:rPr>
              <w:instrText xml:space="preserve"> PAGEREF _Toc203568683 \h </w:instrText>
            </w:r>
            <w:r w:rsidR="0088417B">
              <w:rPr>
                <w:noProof/>
                <w:webHidden/>
              </w:rPr>
            </w:r>
            <w:r w:rsidR="0088417B">
              <w:rPr>
                <w:noProof/>
                <w:webHidden/>
              </w:rPr>
              <w:fldChar w:fldCharType="separate"/>
            </w:r>
            <w:r w:rsidR="0088417B">
              <w:rPr>
                <w:noProof/>
                <w:webHidden/>
              </w:rPr>
              <w:t>17</w:t>
            </w:r>
            <w:r w:rsidR="0088417B">
              <w:rPr>
                <w:noProof/>
                <w:webHidden/>
              </w:rPr>
              <w:fldChar w:fldCharType="end"/>
            </w:r>
          </w:hyperlink>
        </w:p>
        <w:p w14:paraId="55EF1E58" w14:textId="32557D6D"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4" w:history="1">
            <w:r w:rsidR="0088417B" w:rsidRPr="009B6A75">
              <w:rPr>
                <w:rStyle w:val="Hypertextovodkaz"/>
                <w:rFonts w:cstheme="minorHAnsi"/>
                <w:noProof/>
              </w:rPr>
              <w:t>3. Žadatelem o podporu jsou organizace založené ÚSC (holding, viz obrázek č. 3)</w:t>
            </w:r>
            <w:r w:rsidR="0088417B">
              <w:rPr>
                <w:noProof/>
                <w:webHidden/>
              </w:rPr>
              <w:tab/>
            </w:r>
            <w:r w:rsidR="0088417B">
              <w:rPr>
                <w:noProof/>
                <w:webHidden/>
              </w:rPr>
              <w:fldChar w:fldCharType="begin"/>
            </w:r>
            <w:r w:rsidR="0088417B">
              <w:rPr>
                <w:noProof/>
                <w:webHidden/>
              </w:rPr>
              <w:instrText xml:space="preserve"> PAGEREF _Toc203568684 \h </w:instrText>
            </w:r>
            <w:r w:rsidR="0088417B">
              <w:rPr>
                <w:noProof/>
                <w:webHidden/>
              </w:rPr>
            </w:r>
            <w:r w:rsidR="0088417B">
              <w:rPr>
                <w:noProof/>
                <w:webHidden/>
              </w:rPr>
              <w:fldChar w:fldCharType="separate"/>
            </w:r>
            <w:r w:rsidR="0088417B">
              <w:rPr>
                <w:noProof/>
                <w:webHidden/>
              </w:rPr>
              <w:t>19</w:t>
            </w:r>
            <w:r w:rsidR="0088417B">
              <w:rPr>
                <w:noProof/>
                <w:webHidden/>
              </w:rPr>
              <w:fldChar w:fldCharType="end"/>
            </w:r>
          </w:hyperlink>
        </w:p>
        <w:p w14:paraId="516BFC8B" w14:textId="660289FF"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5" w:history="1">
            <w:r w:rsidR="0088417B" w:rsidRPr="009B6A75">
              <w:rPr>
                <w:rStyle w:val="Hypertextovodkaz"/>
                <w:rFonts w:cstheme="minorHAnsi"/>
                <w:noProof/>
              </w:rPr>
              <w:t>4. Žadatelem o podporu je člen holdingu (viz obrázek č. 4)</w:t>
            </w:r>
            <w:r w:rsidR="0088417B">
              <w:rPr>
                <w:noProof/>
                <w:webHidden/>
              </w:rPr>
              <w:tab/>
            </w:r>
            <w:r w:rsidR="0088417B">
              <w:rPr>
                <w:noProof/>
                <w:webHidden/>
              </w:rPr>
              <w:fldChar w:fldCharType="begin"/>
            </w:r>
            <w:r w:rsidR="0088417B">
              <w:rPr>
                <w:noProof/>
                <w:webHidden/>
              </w:rPr>
              <w:instrText xml:space="preserve"> PAGEREF _Toc203568685 \h </w:instrText>
            </w:r>
            <w:r w:rsidR="0088417B">
              <w:rPr>
                <w:noProof/>
                <w:webHidden/>
              </w:rPr>
            </w:r>
            <w:r w:rsidR="0088417B">
              <w:rPr>
                <w:noProof/>
                <w:webHidden/>
              </w:rPr>
              <w:fldChar w:fldCharType="separate"/>
            </w:r>
            <w:r w:rsidR="0088417B">
              <w:rPr>
                <w:noProof/>
                <w:webHidden/>
              </w:rPr>
              <w:t>20</w:t>
            </w:r>
            <w:r w:rsidR="0088417B">
              <w:rPr>
                <w:noProof/>
                <w:webHidden/>
              </w:rPr>
              <w:fldChar w:fldCharType="end"/>
            </w:r>
          </w:hyperlink>
        </w:p>
        <w:p w14:paraId="36C453E3" w14:textId="2F7718A6"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6" w:history="1">
            <w:r w:rsidR="0088417B" w:rsidRPr="009B6A75">
              <w:rPr>
                <w:rStyle w:val="Hypertextovodkaz"/>
                <w:rFonts w:cstheme="minorHAnsi"/>
                <w:noProof/>
              </w:rPr>
              <w:t>5. Žadatelem o podporu je nezávislý podnik (např. obec, která nemá žádné zřízené ani založené organizace)</w:t>
            </w:r>
            <w:r w:rsidR="0088417B">
              <w:rPr>
                <w:noProof/>
                <w:webHidden/>
              </w:rPr>
              <w:tab/>
            </w:r>
            <w:r w:rsidR="0088417B">
              <w:rPr>
                <w:noProof/>
                <w:webHidden/>
              </w:rPr>
              <w:fldChar w:fldCharType="begin"/>
            </w:r>
            <w:r w:rsidR="0088417B">
              <w:rPr>
                <w:noProof/>
                <w:webHidden/>
              </w:rPr>
              <w:instrText xml:space="preserve"> PAGEREF _Toc203568686 \h </w:instrText>
            </w:r>
            <w:r w:rsidR="0088417B">
              <w:rPr>
                <w:noProof/>
                <w:webHidden/>
              </w:rPr>
            </w:r>
            <w:r w:rsidR="0088417B">
              <w:rPr>
                <w:noProof/>
                <w:webHidden/>
              </w:rPr>
              <w:fldChar w:fldCharType="separate"/>
            </w:r>
            <w:r w:rsidR="0088417B">
              <w:rPr>
                <w:noProof/>
                <w:webHidden/>
              </w:rPr>
              <w:t>21</w:t>
            </w:r>
            <w:r w:rsidR="0088417B">
              <w:rPr>
                <w:noProof/>
                <w:webHidden/>
              </w:rPr>
              <w:fldChar w:fldCharType="end"/>
            </w:r>
          </w:hyperlink>
        </w:p>
        <w:p w14:paraId="24D2FAD1" w14:textId="06FB90B9"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7" w:history="1">
            <w:r w:rsidR="0088417B" w:rsidRPr="009B6A75">
              <w:rPr>
                <w:rStyle w:val="Hypertextovodkaz"/>
                <w:rFonts w:cstheme="minorHAnsi"/>
                <w:noProof/>
              </w:rPr>
              <w:t>6. Žadatelem o podporu je nově založený subjekt (žadatel o podporu bez historie, ve smyslu závislý na ÚSC, který nemá žádné své podřízené organizace, viz obrázek č. 6)</w:t>
            </w:r>
            <w:r w:rsidR="0088417B">
              <w:rPr>
                <w:noProof/>
                <w:webHidden/>
              </w:rPr>
              <w:tab/>
            </w:r>
            <w:r w:rsidR="0088417B">
              <w:rPr>
                <w:noProof/>
                <w:webHidden/>
              </w:rPr>
              <w:fldChar w:fldCharType="begin"/>
            </w:r>
            <w:r w:rsidR="0088417B">
              <w:rPr>
                <w:noProof/>
                <w:webHidden/>
              </w:rPr>
              <w:instrText xml:space="preserve"> PAGEREF _Toc203568687 \h </w:instrText>
            </w:r>
            <w:r w:rsidR="0088417B">
              <w:rPr>
                <w:noProof/>
                <w:webHidden/>
              </w:rPr>
            </w:r>
            <w:r w:rsidR="0088417B">
              <w:rPr>
                <w:noProof/>
                <w:webHidden/>
              </w:rPr>
              <w:fldChar w:fldCharType="separate"/>
            </w:r>
            <w:r w:rsidR="0088417B">
              <w:rPr>
                <w:noProof/>
                <w:webHidden/>
              </w:rPr>
              <w:t>22</w:t>
            </w:r>
            <w:r w:rsidR="0088417B">
              <w:rPr>
                <w:noProof/>
                <w:webHidden/>
              </w:rPr>
              <w:fldChar w:fldCharType="end"/>
            </w:r>
          </w:hyperlink>
        </w:p>
        <w:p w14:paraId="4CECE51D" w14:textId="7F17F35D" w:rsidR="0088417B" w:rsidRDefault="0065384D">
          <w:pPr>
            <w:pStyle w:val="Obsah2"/>
            <w:rPr>
              <w:rFonts w:eastAsiaTheme="minorEastAsia"/>
              <w:b w:val="0"/>
              <w:bCs w:val="0"/>
              <w:kern w:val="2"/>
              <w:sz w:val="24"/>
              <w:szCs w:val="24"/>
              <w14:ligatures w14:val="standardContextual"/>
            </w:rPr>
          </w:pPr>
          <w:hyperlink w:anchor="_Toc203568688" w:history="1">
            <w:r w:rsidR="0088417B" w:rsidRPr="009B6A75">
              <w:rPr>
                <w:rStyle w:val="Hypertextovodkaz"/>
              </w:rPr>
              <w:t>7.2 Vyhodnocení ostatních typů žadatele o podporu z pohledu podniku v obtížích (bez zapojení ÚSC)</w:t>
            </w:r>
            <w:r w:rsidR="0088417B">
              <w:rPr>
                <w:webHidden/>
              </w:rPr>
              <w:tab/>
            </w:r>
            <w:r w:rsidR="0088417B">
              <w:rPr>
                <w:webHidden/>
              </w:rPr>
              <w:fldChar w:fldCharType="begin"/>
            </w:r>
            <w:r w:rsidR="0088417B">
              <w:rPr>
                <w:webHidden/>
              </w:rPr>
              <w:instrText xml:space="preserve"> PAGEREF _Toc203568688 \h </w:instrText>
            </w:r>
            <w:r w:rsidR="0088417B">
              <w:rPr>
                <w:webHidden/>
              </w:rPr>
            </w:r>
            <w:r w:rsidR="0088417B">
              <w:rPr>
                <w:webHidden/>
              </w:rPr>
              <w:fldChar w:fldCharType="separate"/>
            </w:r>
            <w:r w:rsidR="0088417B">
              <w:rPr>
                <w:webHidden/>
              </w:rPr>
              <w:t>23</w:t>
            </w:r>
            <w:r w:rsidR="0088417B">
              <w:rPr>
                <w:webHidden/>
              </w:rPr>
              <w:fldChar w:fldCharType="end"/>
            </w:r>
          </w:hyperlink>
        </w:p>
        <w:p w14:paraId="371E646D" w14:textId="6E7A928E"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89" w:history="1">
            <w:r w:rsidR="0088417B" w:rsidRPr="009B6A75">
              <w:rPr>
                <w:rStyle w:val="Hypertextovodkaz"/>
                <w:rFonts w:cstheme="minorHAnsi"/>
                <w:noProof/>
              </w:rPr>
              <w:t>1. Církve, církevní organizace</w:t>
            </w:r>
            <w:r w:rsidR="0088417B">
              <w:rPr>
                <w:noProof/>
                <w:webHidden/>
              </w:rPr>
              <w:tab/>
            </w:r>
            <w:r w:rsidR="0088417B">
              <w:rPr>
                <w:noProof/>
                <w:webHidden/>
              </w:rPr>
              <w:fldChar w:fldCharType="begin"/>
            </w:r>
            <w:r w:rsidR="0088417B">
              <w:rPr>
                <w:noProof/>
                <w:webHidden/>
              </w:rPr>
              <w:instrText xml:space="preserve"> PAGEREF _Toc203568689 \h </w:instrText>
            </w:r>
            <w:r w:rsidR="0088417B">
              <w:rPr>
                <w:noProof/>
                <w:webHidden/>
              </w:rPr>
            </w:r>
            <w:r w:rsidR="0088417B">
              <w:rPr>
                <w:noProof/>
                <w:webHidden/>
              </w:rPr>
              <w:fldChar w:fldCharType="separate"/>
            </w:r>
            <w:r w:rsidR="0088417B">
              <w:rPr>
                <w:noProof/>
                <w:webHidden/>
              </w:rPr>
              <w:t>23</w:t>
            </w:r>
            <w:r w:rsidR="0088417B">
              <w:rPr>
                <w:noProof/>
                <w:webHidden/>
              </w:rPr>
              <w:fldChar w:fldCharType="end"/>
            </w:r>
          </w:hyperlink>
        </w:p>
        <w:p w14:paraId="23FF69BD" w14:textId="5327BAE0"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90" w:history="1">
            <w:r w:rsidR="0088417B" w:rsidRPr="009B6A75">
              <w:rPr>
                <w:rStyle w:val="Hypertextovodkaz"/>
                <w:rFonts w:ascii="Calibri" w:hAnsi="Calibri" w:cs="Calibri"/>
                <w:noProof/>
              </w:rPr>
              <w:t>2. Nezávislý podnik</w:t>
            </w:r>
            <w:r w:rsidR="0088417B">
              <w:rPr>
                <w:noProof/>
                <w:webHidden/>
              </w:rPr>
              <w:tab/>
            </w:r>
            <w:r w:rsidR="0088417B">
              <w:rPr>
                <w:noProof/>
                <w:webHidden/>
              </w:rPr>
              <w:fldChar w:fldCharType="begin"/>
            </w:r>
            <w:r w:rsidR="0088417B">
              <w:rPr>
                <w:noProof/>
                <w:webHidden/>
              </w:rPr>
              <w:instrText xml:space="preserve"> PAGEREF _Toc203568690 \h </w:instrText>
            </w:r>
            <w:r w:rsidR="0088417B">
              <w:rPr>
                <w:noProof/>
                <w:webHidden/>
              </w:rPr>
            </w:r>
            <w:r w:rsidR="0088417B">
              <w:rPr>
                <w:noProof/>
                <w:webHidden/>
              </w:rPr>
              <w:fldChar w:fldCharType="separate"/>
            </w:r>
            <w:r w:rsidR="0088417B">
              <w:rPr>
                <w:noProof/>
                <w:webHidden/>
              </w:rPr>
              <w:t>25</w:t>
            </w:r>
            <w:r w:rsidR="0088417B">
              <w:rPr>
                <w:noProof/>
                <w:webHidden/>
              </w:rPr>
              <w:fldChar w:fldCharType="end"/>
            </w:r>
          </w:hyperlink>
        </w:p>
        <w:p w14:paraId="18883DB9" w14:textId="5ED57933"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91" w:history="1">
            <w:r w:rsidR="0088417B" w:rsidRPr="009B6A75">
              <w:rPr>
                <w:rStyle w:val="Hypertextovodkaz"/>
                <w:rFonts w:cstheme="minorHAnsi"/>
                <w:noProof/>
              </w:rPr>
              <w:t>3. Nově založený subjekt (žadatel o podporu bez historie, ve smyslu nezávislý na ÚSC či jiných subjektech, který nemá žádné své partnerské a propojené podniky)</w:t>
            </w:r>
            <w:r w:rsidR="0088417B">
              <w:rPr>
                <w:noProof/>
                <w:webHidden/>
              </w:rPr>
              <w:tab/>
            </w:r>
            <w:r w:rsidR="0088417B">
              <w:rPr>
                <w:noProof/>
                <w:webHidden/>
              </w:rPr>
              <w:fldChar w:fldCharType="begin"/>
            </w:r>
            <w:r w:rsidR="0088417B">
              <w:rPr>
                <w:noProof/>
                <w:webHidden/>
              </w:rPr>
              <w:instrText xml:space="preserve"> PAGEREF _Toc203568691 \h </w:instrText>
            </w:r>
            <w:r w:rsidR="0088417B">
              <w:rPr>
                <w:noProof/>
                <w:webHidden/>
              </w:rPr>
            </w:r>
            <w:r w:rsidR="0088417B">
              <w:rPr>
                <w:noProof/>
                <w:webHidden/>
              </w:rPr>
              <w:fldChar w:fldCharType="separate"/>
            </w:r>
            <w:r w:rsidR="0088417B">
              <w:rPr>
                <w:noProof/>
                <w:webHidden/>
              </w:rPr>
              <w:t>25</w:t>
            </w:r>
            <w:r w:rsidR="0088417B">
              <w:rPr>
                <w:noProof/>
                <w:webHidden/>
              </w:rPr>
              <w:fldChar w:fldCharType="end"/>
            </w:r>
          </w:hyperlink>
        </w:p>
        <w:p w14:paraId="3DB48F50" w14:textId="64CFF058"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92" w:history="1">
            <w:r w:rsidR="0088417B" w:rsidRPr="009B6A75">
              <w:rPr>
                <w:rStyle w:val="Hypertextovodkaz"/>
                <w:noProof/>
              </w:rPr>
              <w:t>4. Obchodní společnost (s.r.o.), bez vazby na ÚSC, která je propojená s dalšími subjekty</w:t>
            </w:r>
            <w:r w:rsidR="0088417B">
              <w:rPr>
                <w:noProof/>
                <w:webHidden/>
              </w:rPr>
              <w:tab/>
            </w:r>
            <w:r w:rsidR="0088417B">
              <w:rPr>
                <w:noProof/>
                <w:webHidden/>
              </w:rPr>
              <w:fldChar w:fldCharType="begin"/>
            </w:r>
            <w:r w:rsidR="0088417B">
              <w:rPr>
                <w:noProof/>
                <w:webHidden/>
              </w:rPr>
              <w:instrText xml:space="preserve"> PAGEREF _Toc203568692 \h </w:instrText>
            </w:r>
            <w:r w:rsidR="0088417B">
              <w:rPr>
                <w:noProof/>
                <w:webHidden/>
              </w:rPr>
            </w:r>
            <w:r w:rsidR="0088417B">
              <w:rPr>
                <w:noProof/>
                <w:webHidden/>
              </w:rPr>
              <w:fldChar w:fldCharType="separate"/>
            </w:r>
            <w:r w:rsidR="0088417B">
              <w:rPr>
                <w:noProof/>
                <w:webHidden/>
              </w:rPr>
              <w:t>26</w:t>
            </w:r>
            <w:r w:rsidR="0088417B">
              <w:rPr>
                <w:noProof/>
                <w:webHidden/>
              </w:rPr>
              <w:fldChar w:fldCharType="end"/>
            </w:r>
          </w:hyperlink>
        </w:p>
        <w:p w14:paraId="52EAD73D" w14:textId="040C21A4"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93" w:history="1">
            <w:r w:rsidR="0088417B" w:rsidRPr="009B6A75">
              <w:rPr>
                <w:rStyle w:val="Hypertextovodkaz"/>
                <w:rFonts w:ascii="Calibri" w:hAnsi="Calibri" w:cs="Calibri"/>
                <w:noProof/>
              </w:rPr>
              <w:t xml:space="preserve">5. Subjekt s krátkou historií (s existencí kratší než tři roky), </w:t>
            </w:r>
            <w:r w:rsidR="0088417B" w:rsidRPr="009B6A75">
              <w:rPr>
                <w:rStyle w:val="Hypertextovodkaz"/>
                <w:noProof/>
              </w:rPr>
              <w:t>který je propojený s dalšími subjekty</w:t>
            </w:r>
            <w:r w:rsidR="0088417B">
              <w:rPr>
                <w:noProof/>
                <w:webHidden/>
              </w:rPr>
              <w:tab/>
            </w:r>
            <w:r w:rsidR="0088417B">
              <w:rPr>
                <w:noProof/>
                <w:webHidden/>
              </w:rPr>
              <w:fldChar w:fldCharType="begin"/>
            </w:r>
            <w:r w:rsidR="0088417B">
              <w:rPr>
                <w:noProof/>
                <w:webHidden/>
              </w:rPr>
              <w:instrText xml:space="preserve"> PAGEREF _Toc203568693 \h </w:instrText>
            </w:r>
            <w:r w:rsidR="0088417B">
              <w:rPr>
                <w:noProof/>
                <w:webHidden/>
              </w:rPr>
            </w:r>
            <w:r w:rsidR="0088417B">
              <w:rPr>
                <w:noProof/>
                <w:webHidden/>
              </w:rPr>
              <w:fldChar w:fldCharType="separate"/>
            </w:r>
            <w:r w:rsidR="0088417B">
              <w:rPr>
                <w:noProof/>
                <w:webHidden/>
              </w:rPr>
              <w:t>26</w:t>
            </w:r>
            <w:r w:rsidR="0088417B">
              <w:rPr>
                <w:noProof/>
                <w:webHidden/>
              </w:rPr>
              <w:fldChar w:fldCharType="end"/>
            </w:r>
          </w:hyperlink>
        </w:p>
        <w:p w14:paraId="16501D93" w14:textId="5D080BFF" w:rsidR="0088417B" w:rsidRDefault="0065384D">
          <w:pPr>
            <w:pStyle w:val="Obsah3"/>
            <w:tabs>
              <w:tab w:val="right" w:leader="dot" w:pos="9062"/>
            </w:tabs>
            <w:rPr>
              <w:rFonts w:eastAsiaTheme="minorEastAsia"/>
              <w:noProof/>
              <w:kern w:val="2"/>
              <w:sz w:val="24"/>
              <w:szCs w:val="24"/>
              <w:lang w:eastAsia="cs-CZ"/>
              <w14:ligatures w14:val="standardContextual"/>
            </w:rPr>
          </w:pPr>
          <w:hyperlink w:anchor="_Toc203568694" w:history="1">
            <w:r w:rsidR="0088417B" w:rsidRPr="009B6A75">
              <w:rPr>
                <w:rStyle w:val="Hypertextovodkaz"/>
                <w:rFonts w:ascii="Calibri" w:hAnsi="Calibri" w:cs="Calibri"/>
                <w:noProof/>
              </w:rPr>
              <w:t>6. Fyzická osoba podnikající</w:t>
            </w:r>
            <w:r w:rsidR="0088417B">
              <w:rPr>
                <w:noProof/>
                <w:webHidden/>
              </w:rPr>
              <w:tab/>
            </w:r>
            <w:r w:rsidR="0088417B">
              <w:rPr>
                <w:noProof/>
                <w:webHidden/>
              </w:rPr>
              <w:fldChar w:fldCharType="begin"/>
            </w:r>
            <w:r w:rsidR="0088417B">
              <w:rPr>
                <w:noProof/>
                <w:webHidden/>
              </w:rPr>
              <w:instrText xml:space="preserve"> PAGEREF _Toc203568694 \h </w:instrText>
            </w:r>
            <w:r w:rsidR="0088417B">
              <w:rPr>
                <w:noProof/>
                <w:webHidden/>
              </w:rPr>
            </w:r>
            <w:r w:rsidR="0088417B">
              <w:rPr>
                <w:noProof/>
                <w:webHidden/>
              </w:rPr>
              <w:fldChar w:fldCharType="separate"/>
            </w:r>
            <w:r w:rsidR="0088417B">
              <w:rPr>
                <w:noProof/>
                <w:webHidden/>
              </w:rPr>
              <w:t>27</w:t>
            </w:r>
            <w:r w:rsidR="0088417B">
              <w:rPr>
                <w:noProof/>
                <w:webHidden/>
              </w:rPr>
              <w:fldChar w:fldCharType="end"/>
            </w:r>
          </w:hyperlink>
        </w:p>
        <w:p w14:paraId="33005F17" w14:textId="1A8B3EC9"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8664"/>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8665"/>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8666"/>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 xml:space="preserve">Pokud žadatel </w:t>
      </w:r>
      <w:proofErr w:type="gramStart"/>
      <w:r w:rsidRPr="002841E5">
        <w:t>patří</w:t>
      </w:r>
      <w:proofErr w:type="gramEnd"/>
      <w:r w:rsidRPr="002841E5">
        <w:t xml:space="preserve">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8667"/>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8668"/>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8669"/>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proofErr w:type="gramStart"/>
      <w:r w:rsidR="00C75A30" w:rsidRPr="002841E5">
        <w:rPr>
          <w:rFonts w:cstheme="minorHAnsi"/>
        </w:rPr>
        <w:t>nepatří</w:t>
      </w:r>
      <w:proofErr w:type="gramEnd"/>
      <w:r w:rsidR="00C75A30" w:rsidRPr="002841E5">
        <w:rPr>
          <w:rFonts w:cstheme="minorHAnsi"/>
        </w:rPr>
        <w:t xml:space="preserve">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8670"/>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w:t>
      </w:r>
      <w:proofErr w:type="gramStart"/>
      <w:r w:rsidRPr="002841E5">
        <w:rPr>
          <w:rFonts w:cstheme="minorHAnsi"/>
        </w:rPr>
        <w:t>slouží</w:t>
      </w:r>
      <w:proofErr w:type="gramEnd"/>
      <w:r w:rsidRPr="002841E5">
        <w:rPr>
          <w:rFonts w:cstheme="minorHAnsi"/>
        </w:rPr>
        <w:t xml:space="preserve">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w:t>
      </w:r>
      <w:proofErr w:type="gramStart"/>
      <w:r w:rsidR="0055013B" w:rsidRPr="00745899">
        <w:t>patří</w:t>
      </w:r>
      <w:proofErr w:type="gramEnd"/>
      <w:r w:rsidR="0055013B" w:rsidRPr="00745899">
        <w:t xml:space="preserve">,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w:t>
      </w:r>
      <w:proofErr w:type="gramStart"/>
      <w:r w:rsidRPr="002841E5">
        <w:t>tvoří</w:t>
      </w:r>
      <w:proofErr w:type="gramEnd"/>
      <w:r w:rsidRPr="002841E5">
        <w:t xml:space="preserve">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 xml:space="preserve">že může nastat situace, kdy žadatel, jehož společníci mají všichni méně než 25% podíl, a formálně tak splňuje kritéria nezávislosti, není považován za nezávislý podnik, pokud de facto </w:t>
      </w:r>
      <w:proofErr w:type="gramStart"/>
      <w:r w:rsidRPr="002841E5">
        <w:t>patří</w:t>
      </w:r>
      <w:proofErr w:type="gramEnd"/>
      <w:r w:rsidRPr="002841E5">
        <w:t xml:space="preserve">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8671"/>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proofErr w:type="gramStart"/>
      <w:r w:rsidRPr="002841E5">
        <w:rPr>
          <w:rFonts w:cstheme="minorHAnsi"/>
        </w:rPr>
        <w:t>doloží</w:t>
      </w:r>
      <w:proofErr w:type="gramEnd"/>
      <w:r w:rsidRPr="002841E5">
        <w:rPr>
          <w:rFonts w:cstheme="minorHAnsi"/>
        </w:rPr>
        <w:t xml:space="preserve">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8672"/>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8673"/>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 xml:space="preserve">podnik </w:t>
      </w:r>
      <w:proofErr w:type="gramStart"/>
      <w:r w:rsidRPr="002841E5">
        <w:rPr>
          <w:rFonts w:cstheme="minorHAnsi"/>
          <w:u w:val="single"/>
        </w:rPr>
        <w:t>vytváří</w:t>
      </w:r>
      <w:proofErr w:type="gramEnd"/>
      <w:r w:rsidRPr="002841E5">
        <w:rPr>
          <w:rFonts w:cstheme="minorHAnsi"/>
          <w:u w:val="single"/>
        </w:rPr>
        <w:t xml:space="preserve">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 xml:space="preserve">Pokud podnik </w:t>
      </w:r>
      <w:proofErr w:type="gramStart"/>
      <w:r w:rsidRPr="002841E5">
        <w:rPr>
          <w:rFonts w:cstheme="minorHAnsi"/>
        </w:rPr>
        <w:t>tvoří</w:t>
      </w:r>
      <w:proofErr w:type="gramEnd"/>
      <w:r w:rsidRPr="002841E5">
        <w:rPr>
          <w:rFonts w:cstheme="minorHAnsi"/>
        </w:rPr>
        <w:t xml:space="preserve">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 xml:space="preserve">že </w:t>
      </w:r>
      <w:proofErr w:type="gramStart"/>
      <w:r w:rsidRPr="002841E5">
        <w:rPr>
          <w:rFonts w:cstheme="minorHAnsi"/>
        </w:rPr>
        <w:t>tvoří</w:t>
      </w:r>
      <w:proofErr w:type="gramEnd"/>
      <w:r w:rsidRPr="002841E5">
        <w:rPr>
          <w:rFonts w:cstheme="minorHAnsi"/>
        </w:rPr>
        <w:t xml:space="preserve">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8674"/>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proofErr w:type="gramStart"/>
      <w:r w:rsidR="00233F5C" w:rsidRPr="002841E5">
        <w:rPr>
          <w:rFonts w:cstheme="minorHAnsi"/>
          <w:u w:val="single"/>
        </w:rPr>
        <w:t>netvoří</w:t>
      </w:r>
      <w:proofErr w:type="gramEnd"/>
      <w:r w:rsidR="00233F5C" w:rsidRPr="002841E5">
        <w:rPr>
          <w:rFonts w:cstheme="minorHAnsi"/>
          <w:u w:val="single"/>
        </w:rPr>
        <w:t xml:space="preserve">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xml:space="preserve">, pokud </w:t>
      </w:r>
      <w:proofErr w:type="gramStart"/>
      <w:r w:rsidR="00CF6B3C" w:rsidRPr="002841E5">
        <w:rPr>
          <w:rFonts w:cstheme="minorHAnsi"/>
        </w:rPr>
        <w:t>nevytváří</w:t>
      </w:r>
      <w:proofErr w:type="gramEnd"/>
      <w:r w:rsidR="00CF6B3C" w:rsidRPr="002841E5">
        <w:rPr>
          <w:rFonts w:cstheme="minorHAnsi"/>
        </w:rPr>
        <w:t xml:space="preserve">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 xml:space="preserve">Kritérium B) se použije u těch právních forem podniků, kde společníci/zřizovatelé plně </w:t>
      </w:r>
      <w:proofErr w:type="gramStart"/>
      <w:r w:rsidRPr="002841E5">
        <w:rPr>
          <w:rFonts w:cstheme="minorHAnsi"/>
        </w:rPr>
        <w:t>ručí</w:t>
      </w:r>
      <w:proofErr w:type="gramEnd"/>
      <w:r w:rsidRPr="002841E5">
        <w:rPr>
          <w:rFonts w:cstheme="minorHAnsi"/>
        </w:rPr>
        <w:t>,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8675"/>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8676"/>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8677"/>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8678"/>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8679"/>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 xml:space="preserve">celou skupinu, či nedisponují veškerými informacemi za všechny členy skupiny, </w:t>
      </w:r>
      <w:proofErr w:type="gramStart"/>
      <w:r w:rsidRPr="00B56DA8">
        <w:rPr>
          <w:rFonts w:cstheme="minorHAnsi"/>
          <w:b/>
          <w:bCs/>
        </w:rPr>
        <w:t>doloží</w:t>
      </w:r>
      <w:proofErr w:type="gramEnd"/>
      <w:r w:rsidRPr="00B56DA8">
        <w:rPr>
          <w:rFonts w:cstheme="minorHAnsi"/>
          <w:b/>
          <w:bCs/>
        </w:rPr>
        <w:t xml:space="preserve">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8680"/>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8681"/>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8682"/>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8683"/>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8684"/>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8685"/>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8686"/>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8687"/>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8688"/>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8689"/>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 xml:space="preserve">Žadatel o podporu </w:t>
      </w:r>
      <w:proofErr w:type="gramStart"/>
      <w:r w:rsidRPr="0043350E">
        <w:rPr>
          <w:rFonts w:cstheme="minorHAnsi"/>
          <w:color w:val="000000"/>
          <w:lang w:eastAsia="cs-CZ"/>
        </w:rPr>
        <w:t>doloží</w:t>
      </w:r>
      <w:proofErr w:type="gramEnd"/>
      <w:r w:rsidRPr="0043350E">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8690"/>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8691"/>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8692"/>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8693"/>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8694"/>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 xml:space="preserve">Žadatele (OSVČ) </w:t>
      </w:r>
      <w:proofErr w:type="gramStart"/>
      <w:r w:rsidRPr="00764E3B">
        <w:rPr>
          <w:rFonts w:cstheme="minorHAnsi"/>
          <w:color w:val="000000"/>
          <w:lang w:eastAsia="cs-CZ"/>
        </w:rPr>
        <w:t>netvoří</w:t>
      </w:r>
      <w:proofErr w:type="gramEnd"/>
      <w:r w:rsidRPr="00764E3B">
        <w:rPr>
          <w:rFonts w:cstheme="minorHAnsi"/>
          <w:color w:val="000000"/>
          <w:lang w:eastAsia="cs-CZ"/>
        </w:rPr>
        <w:t xml:space="preserve">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 xml:space="preserve">Žadatele (OSVČ) </w:t>
      </w:r>
      <w:proofErr w:type="gramStart"/>
      <w:r w:rsidRPr="00DD3751">
        <w:rPr>
          <w:rFonts w:cstheme="minorHAnsi"/>
          <w:color w:val="000000"/>
          <w:lang w:eastAsia="cs-CZ"/>
        </w:rPr>
        <w:t>netvoří</w:t>
      </w:r>
      <w:proofErr w:type="gramEnd"/>
      <w:r w:rsidRPr="00DD3751">
        <w:rPr>
          <w:rFonts w:cstheme="minorHAnsi"/>
          <w:color w:val="000000"/>
          <w:lang w:eastAsia="cs-CZ"/>
        </w:rPr>
        <w:t xml:space="preserve">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F92EC" w14:textId="4B43CF68" w:rsidR="00C05D5F" w:rsidRPr="00540751" w:rsidRDefault="00410422" w:rsidP="00410422">
    <w:pPr>
      <w:pStyle w:val="Zpat"/>
      <w:tabs>
        <w:tab w:val="clear" w:pos="4536"/>
        <w:tab w:val="clear" w:pos="9072"/>
        <w:tab w:val="left" w:pos="2010"/>
      </w:tabs>
      <w:rPr>
        <w:sz w:val="20"/>
        <w:szCs w:val="20"/>
      </w:rPr>
    </w:pPr>
    <w:r>
      <w:rPr>
        <w:sz w:val="20"/>
        <w:szCs w:val="20"/>
      </w:rPr>
      <w:tab/>
    </w:r>
    <w:r w:rsidRPr="00410422">
      <w:rPr>
        <w:rFonts w:ascii="Arial" w:eastAsia="SimSun" w:hAnsi="Arial" w:cs="Arial"/>
        <w:noProof/>
        <w:szCs w:val="20"/>
        <w:lang w:eastAsia="cs-CZ"/>
      </w:rPr>
      <w:drawing>
        <wp:inline distT="0" distB="0" distL="0" distR="0" wp14:anchorId="0378B821" wp14:editId="169ADA97">
          <wp:extent cx="5759450" cy="699616"/>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61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404BB39" w:rsidR="002D2410" w:rsidRDefault="002D2410" w:rsidP="001868F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5308"/>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65578"/>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0A30"/>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0941"/>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63A1"/>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0422"/>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1C14"/>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384D"/>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417B"/>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989"/>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04DD"/>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BDE"/>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0DA1"/>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9270</Words>
  <Characters>54696</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63839</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4</cp:revision>
  <cp:lastPrinted>2025-07-04T13:05:00Z</cp:lastPrinted>
  <dcterms:created xsi:type="dcterms:W3CDTF">2025-08-05T09:07:00Z</dcterms:created>
  <dcterms:modified xsi:type="dcterms:W3CDTF">2025-08-06T08:45:00Z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