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81B4D4" w:rsidR="00F23FC9" w:rsidRPr="000F6082" w:rsidRDefault="00F23FC9" w:rsidP="00F23FC9">
      <w:pPr>
        <w:spacing w:before="240"/>
        <w:jc w:val="center"/>
        <w:rPr>
          <w:rFonts w:ascii="Arial" w:hAnsi="Arial" w:cs="Arial"/>
          <w:b/>
          <w:bCs/>
          <w:caps/>
          <w:color w:val="214F87"/>
          <w:sz w:val="44"/>
          <w:szCs w:val="44"/>
        </w:rPr>
      </w:pPr>
      <w:r w:rsidRPr="00E16E24">
        <w:rPr>
          <w:rFonts w:ascii="Arial" w:hAnsi="Arial" w:cs="Arial"/>
          <w:b/>
          <w:bCs/>
          <w:caps/>
          <w:color w:val="214F87"/>
          <w:sz w:val="44"/>
          <w:szCs w:val="44"/>
        </w:rPr>
        <w:t xml:space="preserve">PŘÍLOHA </w:t>
      </w:r>
      <w:r w:rsidR="000F6082" w:rsidRPr="00E16E24">
        <w:rPr>
          <w:rFonts w:ascii="Arial" w:hAnsi="Arial" w:cs="Arial"/>
          <w:b/>
          <w:bCs/>
          <w:caps/>
          <w:color w:val="214F87"/>
          <w:sz w:val="44"/>
          <w:szCs w:val="44"/>
        </w:rPr>
        <w:t>3</w:t>
      </w:r>
      <w:r w:rsidR="009560F1">
        <w:rPr>
          <w:rFonts w:ascii="Arial" w:hAnsi="Arial" w:cs="Arial"/>
          <w:b/>
          <w:bCs/>
          <w:caps/>
          <w:color w:val="214F87"/>
          <w:sz w:val="44"/>
          <w:szCs w:val="44"/>
        </w:rPr>
        <w:t>G</w:t>
      </w:r>
    </w:p>
    <w:p w14:paraId="748DDB57" w14:textId="2C259415" w:rsidR="00A752A6" w:rsidRPr="00E16E24" w:rsidRDefault="00F23FC9" w:rsidP="00E16E24">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3339241" w14:textId="35147899" w:rsidR="00A26EFF" w:rsidRDefault="00A26EFF" w:rsidP="00E16E24">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p>
    <w:p w14:paraId="6C7E7AC9" w14:textId="6D63541B" w:rsidR="00A26EFF" w:rsidRDefault="00A26EFF" w:rsidP="00E16E24">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B39738C" w14:textId="169E7770" w:rsidR="00A26EFF" w:rsidRDefault="00A26EFF" w:rsidP="00E16E24">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5ED304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111E28">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05E598A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D8657D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AF7AE3" w14:paraId="51C60AEA" w14:textId="77777777" w:rsidTr="00755826">
        <w:trPr>
          <w:trHeight w:val="424"/>
        </w:trPr>
        <w:tc>
          <w:tcPr>
            <w:tcW w:w="9067" w:type="dxa"/>
            <w:gridSpan w:val="2"/>
            <w:shd w:val="clear" w:color="auto" w:fill="D9D9D9" w:themeFill="background1" w:themeFillShade="D9"/>
          </w:tcPr>
          <w:p w14:paraId="6FB6C590"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indikátorů</w:t>
            </w:r>
          </w:p>
        </w:tc>
      </w:tr>
      <w:tr w:rsidR="009132E6" w:rsidRPr="00AF7AE3" w14:paraId="50E37ED5" w14:textId="77777777" w:rsidTr="00755826">
        <w:trPr>
          <w:trHeight w:val="1266"/>
        </w:trPr>
        <w:tc>
          <w:tcPr>
            <w:tcW w:w="4533" w:type="dxa"/>
          </w:tcPr>
          <w:p w14:paraId="359D9889" w14:textId="3345271F"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nejpozději </w:t>
            </w:r>
            <w:bookmarkStart w:id="8" w:name="_Hlk97024462"/>
            <w:r w:rsidRPr="00AF7AE3">
              <w:rPr>
                <w:rFonts w:ascii="Arial" w:hAnsi="Arial" w:cs="Arial"/>
                <w:snapToGrid w:val="0"/>
                <w:sz w:val="22"/>
                <w:szCs w:val="22"/>
              </w:rPr>
              <w:t xml:space="preserve">při podání závěrečné zprávy o realizaci projektu </w:t>
            </w:r>
            <w:bookmarkEnd w:id="8"/>
            <w:r w:rsidRPr="00AF7AE3">
              <w:rPr>
                <w:rFonts w:ascii="Arial" w:hAnsi="Arial" w:cs="Arial"/>
                <w:snapToGrid w:val="0"/>
                <w:sz w:val="22"/>
                <w:szCs w:val="22"/>
              </w:rPr>
              <w:t>prokázat</w:t>
            </w:r>
            <w:r w:rsidR="00F50A11" w:rsidRPr="00AF7AE3">
              <w:rPr>
                <w:rFonts w:ascii="Arial" w:hAnsi="Arial" w:cs="Arial"/>
                <w:snapToGrid w:val="0"/>
                <w:sz w:val="22"/>
                <w:szCs w:val="22"/>
              </w:rPr>
              <w:t>,</w:t>
            </w:r>
            <w:r w:rsidRPr="00AF7AE3">
              <w:rPr>
                <w:rFonts w:ascii="Arial" w:hAnsi="Arial" w:cs="Arial"/>
                <w:snapToGrid w:val="0"/>
                <w:sz w:val="22"/>
                <w:szCs w:val="22"/>
              </w:rPr>
              <w:t xml:space="preserve"> že indikátory </w:t>
            </w:r>
            <w:r w:rsidR="00A67B07" w:rsidRPr="00AF7AE3">
              <w:rPr>
                <w:rFonts w:ascii="Arial" w:hAnsi="Arial" w:cs="Arial"/>
                <w:i/>
                <w:iCs/>
                <w:snapToGrid w:val="0"/>
                <w:sz w:val="22"/>
                <w:szCs w:val="22"/>
              </w:rPr>
              <w:t>I. – II.</w:t>
            </w:r>
            <w:r w:rsidR="00A67B07" w:rsidRPr="00AF7AE3">
              <w:rPr>
                <w:rFonts w:ascii="Arial" w:hAnsi="Arial" w:cs="Arial"/>
                <w:snapToGrid w:val="0"/>
                <w:sz w:val="22"/>
                <w:szCs w:val="22"/>
              </w:rPr>
              <w:t xml:space="preserve"> </w:t>
            </w:r>
            <w:r w:rsidRPr="00AF7AE3">
              <w:rPr>
                <w:rFonts w:ascii="Arial" w:hAnsi="Arial" w:cs="Arial"/>
                <w:snapToGrid w:val="0"/>
                <w:sz w:val="22"/>
                <w:szCs w:val="22"/>
              </w:rPr>
              <w:t>byly naplněny v termínu</w:t>
            </w:r>
            <w:r w:rsidR="00502AD2" w:rsidRPr="00AF7AE3">
              <w:rPr>
                <w:rStyle w:val="Znakapoznpodarou"/>
                <w:rFonts w:ascii="Arial" w:hAnsi="Arial" w:cs="Arial"/>
                <w:snapToGrid w:val="0"/>
                <w:sz w:val="22"/>
                <w:szCs w:val="22"/>
              </w:rPr>
              <w:footnoteReference w:id="14"/>
            </w:r>
            <w:r w:rsidRPr="00AF7AE3">
              <w:rPr>
                <w:rFonts w:ascii="Arial" w:hAnsi="Arial" w:cs="Arial"/>
                <w:snapToGrid w:val="0"/>
                <w:sz w:val="22"/>
                <w:szCs w:val="22"/>
              </w:rPr>
              <w:t xml:space="preserve"> a cílové hodnotě uvedené na Rozhodnutí / v MS2021+</w:t>
            </w:r>
            <w:r w:rsidRPr="00AF7AE3">
              <w:rPr>
                <w:rStyle w:val="Znakapoznpodarou"/>
                <w:rFonts w:ascii="Arial" w:hAnsi="Arial" w:cs="Arial"/>
                <w:snapToGrid w:val="0"/>
                <w:sz w:val="22"/>
                <w:szCs w:val="22"/>
              </w:rPr>
              <w:footnoteReference w:id="15"/>
            </w:r>
            <w:r w:rsidRPr="00AF7AE3">
              <w:rPr>
                <w:rFonts w:ascii="Arial" w:hAnsi="Arial" w:cs="Arial"/>
                <w:snapToGrid w:val="0"/>
                <w:sz w:val="22"/>
                <w:szCs w:val="22"/>
              </w:rPr>
              <w:t xml:space="preserve">. </w:t>
            </w:r>
          </w:p>
          <w:p w14:paraId="79F19E53" w14:textId="618B642B"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Naplnění </w:t>
            </w:r>
            <w:r w:rsidR="00F50A11" w:rsidRPr="00AF7AE3">
              <w:rPr>
                <w:rFonts w:ascii="Arial" w:hAnsi="Arial" w:cs="Arial"/>
                <w:snapToGrid w:val="0"/>
                <w:sz w:val="22"/>
                <w:szCs w:val="22"/>
              </w:rPr>
              <w:t xml:space="preserve">cílové hodnoty </w:t>
            </w:r>
            <w:r w:rsidRPr="00AF7AE3">
              <w:rPr>
                <w:rFonts w:ascii="Arial" w:hAnsi="Arial" w:cs="Arial"/>
                <w:snapToGrid w:val="0"/>
                <w:sz w:val="22"/>
                <w:szCs w:val="22"/>
              </w:rPr>
              <w:t xml:space="preserve">indikátoru </w:t>
            </w:r>
            <w:r w:rsidR="00A67B07" w:rsidRPr="00AF7AE3">
              <w:rPr>
                <w:rFonts w:ascii="Arial" w:hAnsi="Arial" w:cs="Arial"/>
                <w:i/>
                <w:iCs/>
                <w:snapToGrid w:val="0"/>
                <w:sz w:val="22"/>
                <w:szCs w:val="22"/>
              </w:rPr>
              <w:t>I</w:t>
            </w:r>
            <w:r w:rsidR="003724EE" w:rsidRPr="00AF7AE3">
              <w:rPr>
                <w:rFonts w:ascii="Arial" w:hAnsi="Arial" w:cs="Arial"/>
                <w:i/>
                <w:iCs/>
                <w:snapToGrid w:val="0"/>
                <w:sz w:val="22"/>
                <w:szCs w:val="22"/>
              </w:rPr>
              <w:t>II a IV</w:t>
            </w:r>
            <w:r w:rsidRPr="00AF7AE3">
              <w:rPr>
                <w:rFonts w:ascii="Arial" w:hAnsi="Arial" w:cs="Arial"/>
                <w:i/>
                <w:iCs/>
                <w:snapToGrid w:val="0"/>
                <w:sz w:val="22"/>
                <w:szCs w:val="22"/>
              </w:rPr>
              <w:t>.</w:t>
            </w:r>
            <w:r w:rsidRPr="00AF7AE3">
              <w:rPr>
                <w:rFonts w:ascii="Arial" w:hAnsi="Arial" w:cs="Arial"/>
                <w:snapToGrid w:val="0"/>
                <w:sz w:val="22"/>
                <w:szCs w:val="22"/>
              </w:rPr>
              <w:t xml:space="preserve"> uvedené v MS2021+ je příjemce povinen vykázat při podání první Zprávy o</w:t>
            </w:r>
            <w:r w:rsidR="00803BAC" w:rsidRPr="00AF7AE3">
              <w:rPr>
                <w:rFonts w:ascii="Arial" w:hAnsi="Arial" w:cs="Arial"/>
                <w:snapToGrid w:val="0"/>
                <w:sz w:val="22"/>
                <w:szCs w:val="22"/>
              </w:rPr>
              <w:t> </w:t>
            </w:r>
            <w:r w:rsidRPr="00AF7AE3">
              <w:rPr>
                <w:rFonts w:ascii="Arial" w:hAnsi="Arial" w:cs="Arial"/>
                <w:snapToGrid w:val="0"/>
                <w:sz w:val="22"/>
                <w:szCs w:val="22"/>
              </w:rPr>
              <w:t xml:space="preserve">udržitelnosti projektu. </w:t>
            </w:r>
          </w:p>
          <w:p w14:paraId="4553DF32"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2CB6DCE9"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01F90778"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6125FC7D"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0F14F9BA" w14:textId="77777777" w:rsidR="003724EE" w:rsidRPr="00AF7AE3" w:rsidRDefault="003724EE" w:rsidP="003724EE">
            <w:pPr>
              <w:pStyle w:val="Odstavecseseznamem"/>
              <w:numPr>
                <w:ilvl w:val="0"/>
                <w:numId w:val="32"/>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5001E994" w14:textId="4739CA5C" w:rsidR="009132E6" w:rsidRPr="00AF7AE3" w:rsidRDefault="009132E6" w:rsidP="003724EE">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p w14:paraId="746ABC43" w14:textId="77777777" w:rsidR="009132E6" w:rsidRPr="00AF7AE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AF7AE3" w:rsidRDefault="00477071"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nenaplnění cílové hodnoty indikátorů</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0C678D"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9948B08" w14:textId="13720068"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0C678D" w:rsidRPr="00AF7AE3">
              <w:rPr>
                <w:rFonts w:ascii="Arial" w:hAnsi="Arial" w:cs="Arial"/>
                <w:snapToGrid w:val="0"/>
                <w:sz w:val="22"/>
                <w:szCs w:val="22"/>
                <w:lang w:eastAsia="zh-CN" w:bidi="ar"/>
              </w:rPr>
              <w:t xml:space="preserve"> </w:t>
            </w:r>
            <w:r w:rsidR="00866C89" w:rsidRPr="00AF7AE3">
              <w:rPr>
                <w:rFonts w:ascii="Arial" w:hAnsi="Arial" w:cs="Arial"/>
                <w:snapToGrid w:val="0"/>
                <w:sz w:val="22"/>
                <w:szCs w:val="22"/>
                <w:lang w:eastAsia="zh-CN" w:bidi="ar"/>
              </w:rPr>
              <w:t>indikátorů</w:t>
            </w:r>
            <w:r w:rsidRPr="00AF7AE3">
              <w:rPr>
                <w:rFonts w:ascii="Arial" w:hAnsi="Arial" w:cs="Arial"/>
                <w:snapToGrid w:val="0"/>
                <w:sz w:val="22"/>
                <w:szCs w:val="22"/>
                <w:lang w:eastAsia="zh-CN" w:bidi="ar"/>
              </w:rPr>
              <w:t xml:space="preserve"> bez stanoveného tolerančního pásma (indikátor</w:t>
            </w:r>
            <w:r w:rsidR="00866C89" w:rsidRPr="00AF7AE3">
              <w:rPr>
                <w:rFonts w:ascii="Arial" w:hAnsi="Arial" w:cs="Arial"/>
                <w:snapToGrid w:val="0"/>
                <w:sz w:val="22"/>
                <w:szCs w:val="22"/>
                <w:lang w:eastAsia="zh-CN" w:bidi="ar"/>
              </w:rPr>
              <w:t xml:space="preserve"> </w:t>
            </w:r>
            <w:r w:rsidR="009132E6"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xml:space="preserve">) bude stanovena finanční oprava </w:t>
            </w:r>
            <w:r w:rsidR="009132E6" w:rsidRPr="00AF7AE3">
              <w:rPr>
                <w:rFonts w:ascii="Arial" w:hAnsi="Arial" w:cs="Arial"/>
                <w:snapToGrid w:val="0"/>
                <w:sz w:val="22"/>
                <w:szCs w:val="22"/>
                <w:lang w:eastAsia="zh-CN" w:bidi="ar"/>
              </w:rPr>
              <w:t xml:space="preserve">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cílovou hodnotu indikátoru</w:t>
            </w:r>
            <w:r w:rsidRPr="00AF7AE3">
              <w:rPr>
                <w:rFonts w:ascii="Arial" w:hAnsi="Arial" w:cs="Arial"/>
                <w:snapToGrid w:val="0"/>
                <w:sz w:val="22"/>
                <w:szCs w:val="22"/>
                <w:lang w:eastAsia="zh-CN" w:bidi="ar"/>
              </w:rPr>
              <w:t>.</w:t>
            </w:r>
          </w:p>
          <w:p w14:paraId="02A69AF6" w14:textId="5B5E862D"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t>V ostatních případech bude finanční oprava stanovena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minimální hranici tolerančního pásma</w:t>
            </w:r>
            <w:r w:rsidRPr="00AF7AE3">
              <w:rPr>
                <w:rFonts w:ascii="Arial" w:hAnsi="Arial" w:cs="Arial"/>
                <w:snapToGrid w:val="0"/>
                <w:sz w:val="22"/>
                <w:szCs w:val="22"/>
                <w:lang w:eastAsia="zh-CN" w:bidi="ar"/>
              </w:rPr>
              <w:t xml:space="preserve"> indikátoru</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v případě, kdy nedojde k naplnění cílové hodnoty u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rPr>
              <w:t xml:space="preserve"> </w:t>
            </w:r>
          </w:p>
          <w:p w14:paraId="270C76AE" w14:textId="059DB608" w:rsidR="00AF7AE3" w:rsidRPr="00AF7AE3" w:rsidRDefault="00AF7AE3" w:rsidP="00AF7AE3">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3166E6">
              <w:rPr>
                <w:rFonts w:ascii="Arial" w:hAnsi="Arial" w:cs="Arial"/>
                <w:snapToGrid w:val="0"/>
                <w:sz w:val="22"/>
                <w:szCs w:val="22"/>
                <w:lang w:eastAsia="zh-CN" w:bidi="ar"/>
              </w:rPr>
              <w:t xml:space="preserve">. V případě, kdy </w:t>
            </w:r>
            <w:r w:rsidR="003166E6" w:rsidRPr="00706E98">
              <w:rPr>
                <w:rFonts w:ascii="Arial" w:hAnsi="Arial" w:cs="Arial"/>
                <w:sz w:val="22"/>
                <w:szCs w:val="22"/>
              </w:rPr>
              <w:t>je navýšení (rozdíl mezi cílovou a výchozí hodnotou) v</w:t>
            </w:r>
            <w:r w:rsidR="003166E6">
              <w:rPr>
                <w:rFonts w:ascii="Arial" w:hAnsi="Arial" w:cs="Arial"/>
                <w:sz w:val="22"/>
                <w:szCs w:val="22"/>
              </w:rPr>
              <w:t>yšší</w:t>
            </w:r>
            <w:r w:rsidR="003166E6" w:rsidRPr="00706E98">
              <w:rPr>
                <w:rFonts w:ascii="Arial" w:hAnsi="Arial" w:cs="Arial"/>
                <w:sz w:val="22"/>
                <w:szCs w:val="22"/>
              </w:rPr>
              <w:t xml:space="preserve"> než minimální povinn</w:t>
            </w:r>
            <w:r w:rsidR="003166E6">
              <w:rPr>
                <w:rFonts w:ascii="Arial" w:hAnsi="Arial" w:cs="Arial"/>
                <w:sz w:val="22"/>
                <w:szCs w:val="22"/>
              </w:rPr>
              <w:t xml:space="preserve">é navýšení, je povolená </w:t>
            </w:r>
            <w:r w:rsidR="003166E6" w:rsidRPr="00706E98">
              <w:rPr>
                <w:rFonts w:ascii="Arial" w:hAnsi="Arial" w:cs="Arial"/>
                <w:sz w:val="22"/>
                <w:szCs w:val="22"/>
              </w:rPr>
              <w:t xml:space="preserve">odchylka nenaplnění cílové hodnoty </w:t>
            </w:r>
            <w:r w:rsidR="003166E6">
              <w:rPr>
                <w:rFonts w:ascii="Arial" w:hAnsi="Arial" w:cs="Arial"/>
                <w:sz w:val="22"/>
                <w:szCs w:val="22"/>
              </w:rPr>
              <w:t xml:space="preserve">minus </w:t>
            </w:r>
            <w:r w:rsidR="003166E6" w:rsidRPr="00706E98">
              <w:rPr>
                <w:rFonts w:ascii="Arial" w:hAnsi="Arial" w:cs="Arial"/>
                <w:sz w:val="22"/>
                <w:szCs w:val="22"/>
              </w:rPr>
              <w:t>1 (funkcionalita)</w:t>
            </w:r>
            <w:r w:rsidR="003166E6">
              <w:rPr>
                <w:rFonts w:ascii="Arial" w:hAnsi="Arial" w:cs="Arial"/>
                <w:sz w:val="22"/>
                <w:szCs w:val="22"/>
              </w:rPr>
              <w:t>.</w:t>
            </w:r>
          </w:p>
          <w:p w14:paraId="2431BE8A" w14:textId="4F65139B" w:rsidR="00AF7AE3" w:rsidRPr="00AF7AE3" w:rsidRDefault="00AF7AE3"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2452DA92" w14:textId="29A69F16" w:rsidR="00AF7AE3" w:rsidRPr="00AF7AE3" w:rsidRDefault="00AF7AE3"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eastAsiaTheme="minorEastAsia" w:hAnsi="Arial" w:cs="Arial"/>
                <w:i/>
                <w:iCs/>
                <w:snapToGrid w:val="0"/>
                <w:sz w:val="22"/>
                <w:szCs w:val="22"/>
                <w:lang w:eastAsia="zh-CN" w:bidi="ar"/>
              </w:rPr>
              <w:t>.</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60 % a více.</w:t>
            </w:r>
          </w:p>
          <w:p w14:paraId="408BDE7F" w14:textId="15E96EF2" w:rsidR="009132E6" w:rsidRPr="00AF7AE3" w:rsidRDefault="009132E6" w:rsidP="00F50A11">
            <w:pPr>
              <w:spacing w:before="120" w:after="120" w:line="271" w:lineRule="auto"/>
              <w:jc w:val="both"/>
              <w:rPr>
                <w:rFonts w:ascii="Arial" w:hAnsi="Arial" w:cs="Arial"/>
                <w:sz w:val="22"/>
                <w:szCs w:val="22"/>
              </w:rPr>
            </w:pPr>
            <w:r w:rsidRPr="00AF7AE3">
              <w:rPr>
                <w:rFonts w:ascii="Arial" w:hAnsi="Arial" w:cs="Arial"/>
                <w:snapToGrid w:val="0"/>
                <w:sz w:val="22"/>
                <w:szCs w:val="22"/>
              </w:rPr>
              <w:t>Překročení</w:t>
            </w:r>
            <w:r w:rsidR="00502AD2" w:rsidRPr="00AF7AE3">
              <w:rPr>
                <w:rStyle w:val="Znakapoznpodarou"/>
                <w:rFonts w:ascii="Arial" w:hAnsi="Arial" w:cs="Arial"/>
                <w:snapToGrid w:val="0"/>
                <w:sz w:val="22"/>
                <w:szCs w:val="22"/>
              </w:rPr>
              <w:footnoteReference w:id="16"/>
            </w:r>
            <w:r w:rsidRPr="00AF7AE3">
              <w:rPr>
                <w:rFonts w:ascii="Arial" w:hAnsi="Arial" w:cs="Arial"/>
                <w:snapToGrid w:val="0"/>
                <w:sz w:val="22"/>
                <w:szCs w:val="22"/>
              </w:rPr>
              <w:t xml:space="preserve"> cílové hodnoty indikátorů nepodléhá finanční opravě</w:t>
            </w:r>
            <w:r w:rsidR="00171053" w:rsidRPr="00AF7AE3">
              <w:rPr>
                <w:rFonts w:ascii="Arial" w:hAnsi="Arial" w:cs="Arial"/>
                <w:snapToGrid w:val="0"/>
                <w:sz w:val="22"/>
                <w:szCs w:val="22"/>
              </w:rPr>
              <w:t>.</w:t>
            </w:r>
          </w:p>
        </w:tc>
      </w:tr>
      <w:tr w:rsidR="009132E6" w:rsidRPr="00AF7AE3" w14:paraId="1BD56B81" w14:textId="77777777" w:rsidTr="00755826">
        <w:trPr>
          <w:trHeight w:val="516"/>
        </w:trPr>
        <w:tc>
          <w:tcPr>
            <w:tcW w:w="9067" w:type="dxa"/>
            <w:gridSpan w:val="2"/>
            <w:shd w:val="clear" w:color="auto" w:fill="D9D9D9" w:themeFill="background1" w:themeFillShade="D9"/>
          </w:tcPr>
          <w:p w14:paraId="4285A345" w14:textId="77777777" w:rsidR="009132E6" w:rsidRPr="00AF7AE3"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podmínek udržitelnosti</w:t>
            </w:r>
          </w:p>
        </w:tc>
      </w:tr>
      <w:tr w:rsidR="009132E6" w:rsidRPr="00AF7AE3" w14:paraId="4802D37F" w14:textId="77777777" w:rsidTr="00755826">
        <w:trPr>
          <w:trHeight w:val="425"/>
        </w:trPr>
        <w:tc>
          <w:tcPr>
            <w:tcW w:w="4533" w:type="dxa"/>
          </w:tcPr>
          <w:p w14:paraId="6589FABE"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účel, </w:t>
            </w:r>
            <w:r w:rsidRPr="00AF7AE3">
              <w:rPr>
                <w:rFonts w:ascii="Arial" w:hAnsi="Arial" w:cs="Arial"/>
                <w:sz w:val="22"/>
                <w:szCs w:val="22"/>
              </w:rPr>
              <w:t>na který mu byla dotace poskytnuta.</w:t>
            </w:r>
          </w:p>
        </w:tc>
        <w:tc>
          <w:tcPr>
            <w:tcW w:w="4534" w:type="dxa"/>
            <w:shd w:val="clear" w:color="auto" w:fill="auto"/>
          </w:tcPr>
          <w:p w14:paraId="796544C7" w14:textId="77777777" w:rsidR="009132E6" w:rsidRPr="00AF7AE3" w:rsidRDefault="009132E6" w:rsidP="0042247B">
            <w:pPr>
              <w:spacing w:before="120" w:after="120" w:line="271" w:lineRule="auto"/>
              <w:jc w:val="both"/>
              <w:rPr>
                <w:rFonts w:ascii="Arial" w:hAnsi="Arial" w:cs="Arial"/>
                <w:sz w:val="22"/>
                <w:szCs w:val="22"/>
                <w:lang w:eastAsia="zh-CN" w:bidi="ar"/>
              </w:rPr>
            </w:pPr>
            <w:r w:rsidRPr="00AF7AE3">
              <w:rPr>
                <w:rFonts w:ascii="Arial" w:hAnsi="Arial" w:cs="Arial"/>
                <w:sz w:val="22"/>
                <w:szCs w:val="22"/>
                <w:lang w:eastAsia="zh-CN" w:bidi="ar"/>
              </w:rPr>
              <w:t>Finanční oprava bude vyčíslena s ohledem na dobu, po kterou nebyl účel projektu zachován podle vzorce: x=(b/</w:t>
            </w:r>
            <w:proofErr w:type="gramStart"/>
            <w:r w:rsidRPr="00AF7AE3">
              <w:rPr>
                <w:rFonts w:ascii="Arial" w:hAnsi="Arial" w:cs="Arial"/>
                <w:sz w:val="22"/>
                <w:szCs w:val="22"/>
                <w:lang w:eastAsia="zh-CN" w:bidi="ar"/>
              </w:rPr>
              <w:t>a)*</w:t>
            </w:r>
            <w:proofErr w:type="gramEnd"/>
            <w:r w:rsidRPr="00AF7AE3">
              <w:rPr>
                <w:rFonts w:ascii="Arial" w:hAnsi="Arial" w:cs="Arial"/>
                <w:sz w:val="22"/>
                <w:szCs w:val="22"/>
                <w:lang w:eastAsia="zh-CN" w:bidi="ar"/>
              </w:rPr>
              <w:t>c, kdy:</w:t>
            </w:r>
          </w:p>
          <w:p w14:paraId="3D0C8CDD"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x = výše finanční opravy,</w:t>
            </w:r>
          </w:p>
          <w:p w14:paraId="2584DCD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a = doba od ukončení </w:t>
            </w:r>
            <w:r w:rsidRPr="00AF7AE3">
              <w:rPr>
                <w:rFonts w:ascii="Arial" w:hAnsi="Arial" w:cs="Arial"/>
                <w:sz w:val="22"/>
                <w:szCs w:val="22"/>
              </w:rPr>
              <w:t>realizace projektu do ukončení udržitelnosti</w:t>
            </w:r>
            <w:r w:rsidRPr="00AF7AE3">
              <w:rPr>
                <w:rFonts w:ascii="Arial" w:hAnsi="Arial" w:cs="Arial"/>
                <w:sz w:val="22"/>
                <w:szCs w:val="22"/>
                <w:lang w:eastAsia="zh-CN" w:bidi="ar"/>
              </w:rPr>
              <w:t xml:space="preserve">, </w:t>
            </w:r>
          </w:p>
          <w:p w14:paraId="7518124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b = skutečná doba neplnění podmínky, </w:t>
            </w:r>
          </w:p>
          <w:p w14:paraId="3782B55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c = částka proplacené dotace.</w:t>
            </w:r>
          </w:p>
          <w:p w14:paraId="2C72B7D3" w14:textId="77777777"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Doba trvání podmínky a neplnění podmínky je počítána ve dnech.</w:t>
            </w:r>
          </w:p>
        </w:tc>
      </w:tr>
      <w:tr w:rsidR="009132E6" w:rsidRPr="00AF7AE3" w14:paraId="7B38AABB" w14:textId="77777777" w:rsidTr="00755826">
        <w:trPr>
          <w:trHeight w:val="983"/>
        </w:trPr>
        <w:tc>
          <w:tcPr>
            <w:tcW w:w="4533" w:type="dxa"/>
          </w:tcPr>
          <w:p w14:paraId="2F7891AB"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cíle, </w:t>
            </w:r>
            <w:r w:rsidRPr="00AF7AE3">
              <w:rPr>
                <w:rFonts w:ascii="Arial" w:hAnsi="Arial" w:cs="Arial"/>
                <w:sz w:val="22"/>
                <w:szCs w:val="22"/>
              </w:rPr>
              <w:t>na které mu byla dotace poskytnuta</w:t>
            </w:r>
            <w:r w:rsidRPr="00AF7AE3">
              <w:rPr>
                <w:rFonts w:ascii="Arial" w:hAnsi="Arial" w:cs="Arial"/>
                <w:b/>
                <w:bCs/>
                <w:sz w:val="22"/>
                <w:szCs w:val="22"/>
              </w:rPr>
              <w:t>.</w:t>
            </w:r>
          </w:p>
        </w:tc>
        <w:tc>
          <w:tcPr>
            <w:tcW w:w="4534" w:type="dxa"/>
            <w:shd w:val="clear" w:color="auto" w:fill="auto"/>
          </w:tcPr>
          <w:p w14:paraId="3F79217E" w14:textId="77777777"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Finanční oprava bude stanovena ve výši výdajů připadajících na </w:t>
            </w:r>
            <w:r w:rsidRPr="00AF7AE3">
              <w:rPr>
                <w:rFonts w:ascii="Arial" w:hAnsi="Arial" w:cs="Arial"/>
                <w:snapToGrid w:val="0"/>
                <w:sz w:val="22"/>
                <w:szCs w:val="22"/>
              </w:rPr>
              <w:t xml:space="preserve">předmětný cíl projektu, který nebyl </w:t>
            </w:r>
            <w:r w:rsidRPr="00AF7AE3">
              <w:rPr>
                <w:rFonts w:ascii="Arial" w:hAnsi="Arial" w:cs="Arial"/>
                <w:sz w:val="22"/>
                <w:szCs w:val="22"/>
              </w:rPr>
              <w:t>zachován</w:t>
            </w:r>
            <w:r w:rsidRPr="00AF7AE3">
              <w:rPr>
                <w:rFonts w:ascii="Arial" w:hAnsi="Arial" w:cs="Arial"/>
                <w:snapToGrid w:val="0"/>
                <w:sz w:val="22"/>
                <w:szCs w:val="22"/>
              </w:rPr>
              <w:t xml:space="preserve">, případně jeho alikvótní část. </w:t>
            </w:r>
            <w:r w:rsidRPr="00AF7AE3">
              <w:rPr>
                <w:rFonts w:ascii="Arial" w:hAnsi="Arial" w:cs="Arial"/>
                <w:snapToGrid w:val="0"/>
                <w:sz w:val="22"/>
                <w:szCs w:val="22"/>
                <w:lang w:eastAsia="zh-CN" w:bidi="ar"/>
              </w:rPr>
              <w:t xml:space="preserve"> Při výpočtu finanční opravy bude taktéž zohledněna doba, po kterou nebyl cíl projektu nebo jeho část </w:t>
            </w:r>
            <w:r w:rsidRPr="00AF7AE3">
              <w:rPr>
                <w:rFonts w:ascii="Arial" w:hAnsi="Arial" w:cs="Arial"/>
                <w:sz w:val="22"/>
                <w:szCs w:val="22"/>
                <w:lang w:eastAsia="zh-CN" w:bidi="ar"/>
              </w:rPr>
              <w:t>zachován</w:t>
            </w:r>
            <w:r w:rsidRPr="00AF7AE3">
              <w:rPr>
                <w:rFonts w:ascii="Arial" w:hAnsi="Arial" w:cs="Arial"/>
                <w:snapToGrid w:val="0"/>
                <w:sz w:val="22"/>
                <w:szCs w:val="22"/>
                <w:lang w:eastAsia="zh-CN" w:bidi="ar"/>
              </w:rPr>
              <w:t xml:space="preserve"> podle vzorce: x=(b/</w:t>
            </w:r>
            <w:proofErr w:type="gramStart"/>
            <w:r w:rsidRPr="00AF7AE3">
              <w:rPr>
                <w:rFonts w:ascii="Arial" w:hAnsi="Arial" w:cs="Arial"/>
                <w:snapToGrid w:val="0"/>
                <w:sz w:val="22"/>
                <w:szCs w:val="22"/>
                <w:lang w:eastAsia="zh-CN" w:bidi="ar"/>
              </w:rPr>
              <w:t>a)*</w:t>
            </w:r>
            <w:proofErr w:type="gramEnd"/>
            <w:r w:rsidRPr="00AF7AE3">
              <w:rPr>
                <w:rFonts w:ascii="Arial" w:hAnsi="Arial" w:cs="Arial"/>
                <w:snapToGrid w:val="0"/>
                <w:sz w:val="22"/>
                <w:szCs w:val="22"/>
                <w:lang w:eastAsia="zh-CN" w:bidi="ar"/>
              </w:rPr>
              <w:t>c, kdy:</w:t>
            </w:r>
          </w:p>
          <w:p w14:paraId="2506A67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x = výše finanční opravy, </w:t>
            </w:r>
          </w:p>
          <w:p w14:paraId="0B2D9002" w14:textId="77777777" w:rsidR="009132E6" w:rsidRPr="00AF7AE3"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a = </w:t>
            </w:r>
            <w:r w:rsidRPr="00AF7AE3">
              <w:rPr>
                <w:rFonts w:ascii="Arial" w:hAnsi="Arial" w:cs="Arial"/>
                <w:sz w:val="22"/>
                <w:szCs w:val="22"/>
                <w:lang w:eastAsia="zh-CN" w:bidi="ar"/>
              </w:rPr>
              <w:t>doba od naplnění cíle</w:t>
            </w:r>
            <w:r w:rsidRPr="00AF7AE3">
              <w:rPr>
                <w:rFonts w:ascii="Arial" w:hAnsi="Arial" w:cs="Arial"/>
                <w:sz w:val="22"/>
                <w:szCs w:val="22"/>
              </w:rPr>
              <w:t xml:space="preserve"> do ukončení udržitelnosti</w:t>
            </w:r>
            <w:r w:rsidRPr="00AF7AE3">
              <w:rPr>
                <w:rFonts w:ascii="Arial" w:hAnsi="Arial" w:cs="Arial"/>
                <w:snapToGrid w:val="0"/>
                <w:sz w:val="22"/>
                <w:szCs w:val="22"/>
                <w:lang w:eastAsia="zh-CN" w:bidi="ar"/>
              </w:rPr>
              <w:t xml:space="preserve">,  </w:t>
            </w:r>
          </w:p>
          <w:p w14:paraId="6DFA4F9A"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b = skutečná doba neplnění podmínky, </w:t>
            </w:r>
          </w:p>
          <w:p w14:paraId="36CCAD99"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AF7AE3" w:rsidRDefault="009132E6" w:rsidP="0042247B">
            <w:pPr>
              <w:spacing w:before="120" w:after="120" w:line="271" w:lineRule="auto"/>
              <w:ind w:right="-2"/>
              <w:jc w:val="both"/>
              <w:rPr>
                <w:rFonts w:ascii="Arial" w:hAnsi="Arial" w:cs="Arial"/>
                <w:sz w:val="22"/>
                <w:szCs w:val="22"/>
              </w:rPr>
            </w:pPr>
            <w:r w:rsidRPr="00AF7AE3">
              <w:rPr>
                <w:rFonts w:ascii="Arial" w:hAnsi="Arial" w:cs="Arial"/>
                <w:snapToGrid w:val="0"/>
                <w:sz w:val="22"/>
                <w:szCs w:val="22"/>
                <w:lang w:eastAsia="zh-CN" w:bidi="ar"/>
              </w:rPr>
              <w:t>Doba trvání podmínky a neplnění podmínky je počítána ve dnech.</w:t>
            </w:r>
          </w:p>
        </w:tc>
      </w:tr>
      <w:tr w:rsidR="009132E6" w:rsidRPr="00AF7AE3" w14:paraId="7BBCEE5F" w14:textId="77777777" w:rsidTr="00755826">
        <w:trPr>
          <w:trHeight w:val="516"/>
        </w:trPr>
        <w:tc>
          <w:tcPr>
            <w:tcW w:w="9067" w:type="dxa"/>
            <w:gridSpan w:val="2"/>
            <w:shd w:val="clear" w:color="auto" w:fill="D9D9D9" w:themeFill="background1" w:themeFillShade="D9"/>
          </w:tcPr>
          <w:p w14:paraId="47FACDFB"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t>Udržení indikátorů</w:t>
            </w:r>
          </w:p>
        </w:tc>
      </w:tr>
      <w:tr w:rsidR="009132E6" w:rsidRPr="00AF7AE3" w14:paraId="4B0E91EF" w14:textId="77777777" w:rsidTr="00AF7AE3">
        <w:trPr>
          <w:trHeight w:val="1124"/>
        </w:trPr>
        <w:tc>
          <w:tcPr>
            <w:tcW w:w="4533" w:type="dxa"/>
            <w:shd w:val="clear" w:color="auto" w:fill="FFFFFF" w:themeFill="background1"/>
          </w:tcPr>
          <w:p w14:paraId="1A11AAB3" w14:textId="128AED90"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v době udržitelnosti </w:t>
            </w:r>
            <w:r w:rsidR="00477071" w:rsidRPr="00AF7AE3">
              <w:rPr>
                <w:rFonts w:ascii="Arial" w:hAnsi="Arial" w:cs="Arial"/>
                <w:snapToGrid w:val="0"/>
                <w:sz w:val="22"/>
                <w:szCs w:val="22"/>
              </w:rPr>
              <w:t xml:space="preserve">přinejmenším zachovat výši uvedených </w:t>
            </w:r>
            <w:r w:rsidRPr="00AF7AE3">
              <w:rPr>
                <w:rFonts w:ascii="Arial" w:hAnsi="Arial" w:cs="Arial"/>
                <w:snapToGrid w:val="0"/>
                <w:sz w:val="22"/>
                <w:szCs w:val="22"/>
              </w:rPr>
              <w:t>indikátor</w:t>
            </w:r>
            <w:r w:rsidR="00477071" w:rsidRPr="00AF7AE3">
              <w:rPr>
                <w:rFonts w:ascii="Arial" w:hAnsi="Arial" w:cs="Arial"/>
                <w:snapToGrid w:val="0"/>
                <w:sz w:val="22"/>
                <w:szCs w:val="22"/>
              </w:rPr>
              <w:t>ů dosaženou</w:t>
            </w:r>
            <w:r w:rsidR="00502AD2" w:rsidRPr="00AF7AE3">
              <w:rPr>
                <w:rFonts w:ascii="Arial" w:hAnsi="Arial" w:cs="Arial"/>
                <w:snapToGrid w:val="0"/>
                <w:sz w:val="22"/>
                <w:szCs w:val="22"/>
              </w:rPr>
              <w:t xml:space="preserve"> k Rozhodnému datu</w:t>
            </w:r>
            <w:r w:rsidRPr="00AF7AE3">
              <w:rPr>
                <w:rFonts w:ascii="Arial" w:hAnsi="Arial" w:cs="Arial"/>
                <w:snapToGrid w:val="0"/>
                <w:sz w:val="22"/>
                <w:szCs w:val="22"/>
              </w:rPr>
              <w:t>.</w:t>
            </w:r>
            <w:r w:rsidR="00477071" w:rsidRPr="00AF7AE3">
              <w:rPr>
                <w:rStyle w:val="Znakapoznpodarou"/>
                <w:rFonts w:ascii="Arial" w:hAnsi="Arial" w:cs="Arial"/>
                <w:snapToGrid w:val="0"/>
                <w:sz w:val="22"/>
                <w:szCs w:val="22"/>
              </w:rPr>
              <w:footnoteReference w:id="17"/>
            </w:r>
          </w:p>
          <w:p w14:paraId="14AB43D3" w14:textId="77777777" w:rsidR="00277403" w:rsidRPr="00AF7AE3" w:rsidRDefault="00277403" w:rsidP="00277403">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0CC85E25"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7DD06750"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3F1858E8"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309 201 - Počet aktivních interních uživatelů systému </w:t>
            </w:r>
          </w:p>
          <w:p w14:paraId="2417850A" w14:textId="77777777" w:rsidR="00AF7AE3" w:rsidRPr="00AF7AE3" w:rsidRDefault="00AF7AE3" w:rsidP="00AF7AE3">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AF7AE3" w:rsidRDefault="00FB1195"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lastRenderedPageBreak/>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neudržení dosažené hodnoty indikátorů k Rozhodnému datu</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5BB193C" w14:textId="3F8C706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351B32" w:rsidRPr="00AF7AE3">
              <w:rPr>
                <w:rFonts w:ascii="Arial" w:hAnsi="Arial" w:cs="Arial"/>
                <w:snapToGrid w:val="0"/>
                <w:sz w:val="22"/>
                <w:szCs w:val="22"/>
                <w:lang w:eastAsia="zh-CN" w:bidi="ar"/>
              </w:rPr>
              <w:t xml:space="preserve"> indikátorů</w:t>
            </w:r>
            <w:r w:rsidRPr="00AF7AE3">
              <w:rPr>
                <w:rFonts w:ascii="Arial" w:hAnsi="Arial" w:cs="Arial"/>
                <w:snapToGrid w:val="0"/>
                <w:sz w:val="22"/>
                <w:szCs w:val="22"/>
                <w:lang w:eastAsia="zh-CN" w:bidi="ar"/>
              </w:rPr>
              <w:t xml:space="preserve">, u kterých došlo k aplikaci finanční opravy podle bodu </w:t>
            </w:r>
            <w:r w:rsidRPr="00AF7AE3">
              <w:rPr>
                <w:rFonts w:ascii="Arial" w:hAnsi="Arial" w:cs="Arial"/>
                <w:snapToGrid w:val="0"/>
                <w:sz w:val="22"/>
                <w:szCs w:val="22"/>
                <w:shd w:val="clear" w:color="auto" w:fill="FFFFFF" w:themeFill="background1"/>
                <w:lang w:eastAsia="zh-CN" w:bidi="ar"/>
              </w:rPr>
              <w:t>6</w:t>
            </w:r>
            <w:r w:rsidR="00D74B9E" w:rsidRPr="00AF7AE3">
              <w:rPr>
                <w:rFonts w:ascii="Arial" w:hAnsi="Arial" w:cs="Arial"/>
                <w:snapToGrid w:val="0"/>
                <w:sz w:val="22"/>
                <w:szCs w:val="22"/>
                <w:shd w:val="clear" w:color="auto" w:fill="FFFFFF" w:themeFill="background1"/>
                <w:lang w:eastAsia="zh-CN" w:bidi="ar"/>
              </w:rPr>
              <w:t xml:space="preserve"> </w:t>
            </w:r>
            <w:r w:rsidR="00F77EB6" w:rsidRPr="00CF0D79">
              <w:rPr>
                <w:rFonts w:ascii="Arial" w:hAnsi="Arial" w:cs="Arial"/>
                <w:i/>
                <w:iCs/>
                <w:snapToGrid w:val="0"/>
                <w:sz w:val="22"/>
                <w:szCs w:val="22"/>
                <w:lang w:eastAsia="zh-CN" w:bidi="ar"/>
              </w:rPr>
              <w:t xml:space="preserve">(vyjma indikátoru </w:t>
            </w:r>
            <w:r w:rsidR="00CF0D79" w:rsidRPr="00CF0D79">
              <w:rPr>
                <w:rFonts w:ascii="Arial" w:hAnsi="Arial" w:cs="Arial"/>
                <w:i/>
                <w:iCs/>
                <w:snapToGrid w:val="0"/>
                <w:sz w:val="22"/>
                <w:szCs w:val="22"/>
                <w:lang w:eastAsia="zh-CN" w:bidi="ar"/>
              </w:rPr>
              <w:t>III</w:t>
            </w:r>
            <w:r w:rsidR="00823BC5">
              <w:rPr>
                <w:rFonts w:ascii="Arial" w:hAnsi="Arial" w:cs="Arial"/>
                <w:i/>
                <w:iCs/>
                <w:snapToGrid w:val="0"/>
                <w:sz w:val="22"/>
                <w:szCs w:val="22"/>
                <w:lang w:eastAsia="zh-CN" w:bidi="ar"/>
              </w:rPr>
              <w:t>.</w:t>
            </w:r>
            <w:r w:rsidR="00CF0D79" w:rsidRPr="00CF0D79">
              <w:rPr>
                <w:rFonts w:ascii="Arial" w:hAnsi="Arial" w:cs="Arial"/>
                <w:i/>
                <w:iCs/>
                <w:snapToGrid w:val="0"/>
                <w:sz w:val="22"/>
                <w:szCs w:val="22"/>
                <w:lang w:eastAsia="zh-CN" w:bidi="ar"/>
              </w:rPr>
              <w:t xml:space="preserve"> a </w:t>
            </w:r>
            <w:r w:rsidR="00F77EB6" w:rsidRPr="00CF0D79">
              <w:rPr>
                <w:rFonts w:ascii="Arial" w:hAnsi="Arial" w:cs="Arial"/>
                <w:i/>
                <w:iCs/>
                <w:snapToGrid w:val="0"/>
                <w:sz w:val="22"/>
                <w:szCs w:val="22"/>
                <w:lang w:eastAsia="zh-CN" w:bidi="ar"/>
              </w:rPr>
              <w:t>IV</w:t>
            </w:r>
            <w:r w:rsidR="00AF7AE3" w:rsidRPr="00CF0D79">
              <w:rPr>
                <w:rFonts w:ascii="Arial" w:hAnsi="Arial" w:cs="Arial"/>
                <w:i/>
                <w:iCs/>
                <w:snapToGrid w:val="0"/>
                <w:sz w:val="22"/>
                <w:szCs w:val="22"/>
                <w:shd w:val="clear" w:color="auto" w:fill="FFFFFF" w:themeFill="background1"/>
                <w:lang w:eastAsia="zh-CN" w:bidi="ar"/>
              </w:rPr>
              <w:t>.</w:t>
            </w:r>
            <w:r w:rsidR="00D74B9E"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w:t>
            </w:r>
            <w:r w:rsidR="00351B32"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lastRenderedPageBreak/>
              <w:t xml:space="preserve">(indikátor </w:t>
            </w:r>
            <w:r w:rsidR="009132E6" w:rsidRPr="00AF7AE3">
              <w:rPr>
                <w:rFonts w:ascii="Arial" w:hAnsi="Arial" w:cs="Arial"/>
                <w:i/>
                <w:iCs/>
                <w:snapToGrid w:val="0"/>
                <w:sz w:val="22"/>
                <w:szCs w:val="22"/>
                <w:lang w:eastAsia="zh-CN" w:bidi="ar"/>
              </w:rPr>
              <w:t>I</w:t>
            </w:r>
            <w:r w:rsidR="00351B32" w:rsidRPr="00AF7AE3">
              <w:rPr>
                <w:rFonts w:ascii="Arial" w:hAnsi="Arial" w:cs="Arial"/>
                <w:i/>
                <w:iCs/>
                <w:snapToGrid w:val="0"/>
                <w:sz w:val="22"/>
                <w:szCs w:val="22"/>
                <w:lang w:eastAsia="zh-CN" w:bidi="ar"/>
              </w:rPr>
              <w:t>.</w:t>
            </w:r>
            <w:r w:rsidRPr="00AF7AE3">
              <w:rPr>
                <w:rFonts w:ascii="Arial" w:hAnsi="Arial" w:cs="Arial"/>
                <w:snapToGrid w:val="0"/>
                <w:sz w:val="22"/>
                <w:szCs w:val="22"/>
                <w:lang w:eastAsia="zh-CN" w:bidi="ar"/>
              </w:rPr>
              <w:t>)</w:t>
            </w:r>
            <w:r w:rsidR="00A25C97" w:rsidRPr="00AF7AE3">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w:t>
            </w:r>
            <w:r w:rsidR="00A25C97" w:rsidRPr="00AF7AE3">
              <w:rPr>
                <w:rFonts w:ascii="Arial" w:hAnsi="Arial" w:cs="Arial"/>
                <w:snapToGrid w:val="0"/>
                <w:sz w:val="22"/>
                <w:szCs w:val="22"/>
                <w:lang w:eastAsia="zh-CN" w:bidi="ar"/>
              </w:rPr>
              <w:t> </w:t>
            </w:r>
            <w:r w:rsidR="00803BAC" w:rsidRPr="00AF7AE3">
              <w:rPr>
                <w:rFonts w:ascii="Arial" w:hAnsi="Arial" w:cs="Arial"/>
                <w:snapToGrid w:val="0"/>
                <w:sz w:val="22"/>
                <w:szCs w:val="22"/>
                <w:lang w:eastAsia="zh-CN" w:bidi="ar"/>
              </w:rPr>
              <w:t xml:space="preserve">dosaženou </w:t>
            </w:r>
            <w:r w:rsidR="009132E6" w:rsidRPr="00AF7AE3">
              <w:rPr>
                <w:rFonts w:ascii="Arial" w:hAnsi="Arial" w:cs="Arial"/>
                <w:snapToGrid w:val="0"/>
                <w:sz w:val="22"/>
                <w:szCs w:val="22"/>
                <w:lang w:eastAsia="zh-CN" w:bidi="ar"/>
              </w:rPr>
              <w:t xml:space="preserve">hodnotu indikátoru </w:t>
            </w:r>
            <w:r w:rsidR="00502AD2" w:rsidRPr="00AF7AE3">
              <w:rPr>
                <w:rFonts w:ascii="Arial" w:hAnsi="Arial" w:cs="Arial"/>
                <w:snapToGrid w:val="0"/>
                <w:sz w:val="22"/>
                <w:szCs w:val="22"/>
                <w:lang w:eastAsia="zh-CN" w:bidi="ar"/>
              </w:rPr>
              <w:t>k Rozhodnému datu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w:t>
            </w:r>
          </w:p>
          <w:p w14:paraId="55C40FDA" w14:textId="1620400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w:t>
            </w:r>
            <w:r w:rsidR="009132E6" w:rsidRPr="00AF7AE3">
              <w:rPr>
                <w:rFonts w:ascii="Arial" w:hAnsi="Arial" w:cs="Arial"/>
                <w:snapToGrid w:val="0"/>
                <w:sz w:val="22"/>
                <w:szCs w:val="22"/>
                <w:lang w:eastAsia="zh-CN" w:bidi="ar"/>
              </w:rPr>
              <w:t>minimální hranic</w:t>
            </w:r>
            <w:r w:rsidR="00502AD2" w:rsidRPr="00AF7AE3">
              <w:rPr>
                <w:rFonts w:ascii="Arial" w:hAnsi="Arial" w:cs="Arial"/>
                <w:snapToGrid w:val="0"/>
                <w:sz w:val="22"/>
                <w:szCs w:val="22"/>
                <w:lang w:eastAsia="zh-CN" w:bidi="ar"/>
              </w:rPr>
              <w:t>i</w:t>
            </w:r>
            <w:r w:rsidR="009132E6" w:rsidRPr="00AF7AE3">
              <w:rPr>
                <w:rFonts w:ascii="Arial" w:hAnsi="Arial" w:cs="Arial"/>
                <w:snapToGrid w:val="0"/>
                <w:sz w:val="22"/>
                <w:szCs w:val="22"/>
                <w:lang w:eastAsia="zh-CN" w:bidi="ar"/>
              </w:rPr>
              <w:t xml:space="preserve"> tolerančního pásma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 xml:space="preserve"> v případ</w:t>
            </w:r>
            <w:r w:rsidR="005C6470" w:rsidRPr="00AF7AE3">
              <w:rPr>
                <w:rFonts w:ascii="Arial" w:hAnsi="Arial" w:cs="Arial"/>
                <w:snapToGrid w:val="0"/>
                <w:sz w:val="22"/>
                <w:szCs w:val="22"/>
                <w:lang w:eastAsia="zh-CN" w:bidi="ar"/>
              </w:rPr>
              <w:t>ě</w:t>
            </w:r>
            <w:r w:rsidRPr="00AF7AE3">
              <w:rPr>
                <w:rFonts w:ascii="Arial" w:hAnsi="Arial" w:cs="Arial"/>
                <w:snapToGrid w:val="0"/>
                <w:sz w:val="22"/>
                <w:szCs w:val="22"/>
                <w:lang w:eastAsia="zh-CN" w:bidi="ar"/>
              </w:rPr>
              <w:t>, kdy nedojde k udržení u indikátoru:</w:t>
            </w:r>
            <w:r w:rsidR="009132E6" w:rsidRPr="00AF7AE3">
              <w:rPr>
                <w:rFonts w:ascii="Arial" w:hAnsi="Arial" w:cs="Arial"/>
                <w:snapToGrid w:val="0"/>
                <w:sz w:val="22"/>
                <w:szCs w:val="22"/>
                <w:lang w:eastAsia="zh-CN" w:bidi="ar"/>
              </w:rPr>
              <w:t xml:space="preserve"> </w:t>
            </w:r>
          </w:p>
          <w:p w14:paraId="0EA66957" w14:textId="0E5D0B47" w:rsidR="00801057" w:rsidRPr="00801057" w:rsidRDefault="00AF7AE3" w:rsidP="00801057">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801057">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00801057" w:rsidRPr="00801057">
              <w:rPr>
                <w:rFonts w:ascii="Arial" w:hAnsi="Arial" w:cs="Arial"/>
                <w:snapToGrid w:val="0"/>
                <w:sz w:val="22"/>
                <w:szCs w:val="22"/>
                <w:lang w:eastAsia="zh-CN" w:bidi="ar"/>
              </w:rPr>
              <w:t xml:space="preserve">V případě, kdy </w:t>
            </w:r>
            <w:r w:rsidR="00801057"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0AA2985B" w14:textId="2B8F5417"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26951BFD" w14:textId="3499B346"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04411878" w14:textId="4322A8D1"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50547215" w14:textId="37DCE0FE" w:rsidR="009132E6" w:rsidRPr="00AF7AE3" w:rsidRDefault="009132E6" w:rsidP="0042247B">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00277403" w:rsidRPr="00AF7AE3">
              <w:rPr>
                <w:rFonts w:ascii="Arial" w:hAnsi="Arial" w:cs="Arial"/>
                <w:i/>
                <w:iCs/>
                <w:snapToGrid w:val="0"/>
                <w:sz w:val="22"/>
                <w:szCs w:val="22"/>
              </w:rPr>
              <w:t>I</w:t>
            </w:r>
            <w:r w:rsidR="00AF7AE3" w:rsidRPr="00AF7AE3">
              <w:rPr>
                <w:rFonts w:ascii="Arial" w:hAnsi="Arial" w:cs="Arial"/>
                <w:i/>
                <w:iCs/>
                <w:snapToGrid w:val="0"/>
                <w:sz w:val="22"/>
                <w:szCs w:val="22"/>
              </w:rPr>
              <w:t>II a IV</w:t>
            </w:r>
            <w:r w:rsidR="00277403" w:rsidRPr="00AF7AE3">
              <w:rPr>
                <w:rFonts w:ascii="Arial" w:hAnsi="Arial" w:cs="Arial"/>
                <w:i/>
                <w:iCs/>
                <w:snapToGrid w:val="0"/>
                <w:sz w:val="22"/>
                <w:szCs w:val="22"/>
              </w:rPr>
              <w:t>.</w:t>
            </w:r>
            <w:r w:rsidRPr="00AF7AE3">
              <w:rPr>
                <w:rFonts w:ascii="Arial" w:hAnsi="Arial" w:cs="Arial"/>
                <w:snapToGrid w:val="0"/>
                <w:sz w:val="22"/>
                <w:szCs w:val="22"/>
              </w:rPr>
              <w:t>) naplňovaných za 1.</w:t>
            </w:r>
            <w:r w:rsidR="00803BAC" w:rsidRPr="00AF7AE3">
              <w:rPr>
                <w:rFonts w:ascii="Arial" w:hAnsi="Arial" w:cs="Arial"/>
                <w:snapToGrid w:val="0"/>
                <w:sz w:val="22"/>
                <w:szCs w:val="22"/>
              </w:rPr>
              <w:t> </w:t>
            </w:r>
            <w:r w:rsidRPr="00AF7AE3">
              <w:rPr>
                <w:rFonts w:ascii="Arial" w:hAnsi="Arial" w:cs="Arial"/>
                <w:snapToGrid w:val="0"/>
                <w:sz w:val="22"/>
                <w:szCs w:val="22"/>
              </w:rPr>
              <w:t>rok udržitelnosti je jejich udržení zkoumáno až od 2. roku udržitelnosti</w:t>
            </w:r>
            <w:r w:rsidR="00D74B9E" w:rsidRPr="00AF7AE3">
              <w:rPr>
                <w:rFonts w:ascii="Arial" w:hAnsi="Arial" w:cs="Arial"/>
                <w:snapToGrid w:val="0"/>
                <w:sz w:val="22"/>
                <w:szCs w:val="22"/>
              </w:rPr>
              <w:t xml:space="preserve"> a je postupováno vždy dle bodu b)</w:t>
            </w:r>
            <w:r w:rsidRPr="00AF7AE3">
              <w:rPr>
                <w:rFonts w:ascii="Arial" w:hAnsi="Arial" w:cs="Arial"/>
                <w:snapToGrid w:val="0"/>
                <w:sz w:val="22"/>
                <w:szCs w:val="22"/>
              </w:rPr>
              <w:t>.</w:t>
            </w:r>
          </w:p>
          <w:p w14:paraId="52A97C33" w14:textId="2E0CF6BC"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rPr>
              <w:t>Udržování vyšší</w:t>
            </w:r>
            <w:r w:rsidR="003950CF" w:rsidRPr="00AF7AE3">
              <w:rPr>
                <w:rStyle w:val="Znakapoznpodarou"/>
                <w:rFonts w:ascii="Arial" w:hAnsi="Arial" w:cs="Arial"/>
                <w:snapToGrid w:val="0"/>
                <w:sz w:val="22"/>
                <w:szCs w:val="22"/>
              </w:rPr>
              <w:footnoteReference w:id="18"/>
            </w:r>
            <w:r w:rsidRPr="00AF7AE3">
              <w:rPr>
                <w:rFonts w:ascii="Arial" w:hAnsi="Arial" w:cs="Arial"/>
                <w:snapToGrid w:val="0"/>
                <w:sz w:val="22"/>
                <w:szCs w:val="22"/>
              </w:rPr>
              <w:t xml:space="preserve"> než cílové hodnoty či další zlepšení dosažené hodnoty </w:t>
            </w:r>
            <w:r w:rsidR="00502AD2" w:rsidRPr="00AF7AE3">
              <w:rPr>
                <w:rFonts w:ascii="Arial" w:hAnsi="Arial" w:cs="Arial"/>
                <w:snapToGrid w:val="0"/>
                <w:sz w:val="22"/>
                <w:szCs w:val="22"/>
              </w:rPr>
              <w:t xml:space="preserve">k Rozhodnému datu </w:t>
            </w:r>
            <w:r w:rsidRPr="00AF7AE3">
              <w:rPr>
                <w:rFonts w:ascii="Arial" w:hAnsi="Arial" w:cs="Arial"/>
                <w:snapToGrid w:val="0"/>
                <w:sz w:val="22"/>
                <w:szCs w:val="22"/>
              </w:rPr>
              <w:t>v době udržitelnosti nepodléhá finanční opravě.</w:t>
            </w:r>
            <w:r w:rsidRPr="00AF7AE3">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3C7E7A6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00F072C5">
              <w:rPr>
                <w:rStyle w:val="Znakapoznpodarou"/>
              </w:rPr>
              <w:t>,</w:t>
            </w:r>
            <w:r w:rsidRPr="00BF657C">
              <w:rPr>
                <w:rFonts w:ascii="Arial" w:hAnsi="Arial" w:cs="Arial"/>
                <w:sz w:val="22"/>
                <w:szCs w:val="22"/>
              </w:rPr>
              <w:t xml:space="preserve"> získaný</w:t>
            </w:r>
            <w:r w:rsidR="00F072C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2835445E"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w:t>
            </w:r>
            <w:r w:rsidR="00F072C5">
              <w:rPr>
                <w:rFonts w:ascii="Arial" w:hAnsi="Arial" w:cs="Arial"/>
                <w:sz w:val="22"/>
                <w:szCs w:val="22"/>
                <w:lang w:eastAsia="ar-SA"/>
              </w:rPr>
              <w:t>,</w:t>
            </w:r>
            <w:r w:rsidRPr="00BF657C">
              <w:rPr>
                <w:rFonts w:ascii="Arial" w:hAnsi="Arial" w:cs="Arial"/>
                <w:sz w:val="22"/>
                <w:szCs w:val="22"/>
                <w:lang w:eastAsia="ar-SA"/>
              </w:rPr>
              <w:t xml:space="preserve">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C632C6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Platebního orgánu (dále jen „</w:t>
            </w:r>
            <w:r w:rsidR="00F072C5">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373A4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1E8C847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811322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072C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62178">
        <w:rPr>
          <w:rFonts w:ascii="Arial" w:hAnsi="Arial" w:cs="Arial"/>
          <w:b/>
          <w:i/>
          <w:snapToGrid w:val="0"/>
          <w:sz w:val="22"/>
          <w:szCs w:val="22"/>
        </w:rPr>
        <w:t>Veřejná podpora</w:t>
      </w:r>
    </w:p>
    <w:p w14:paraId="36960F55" w14:textId="77777777" w:rsidR="00D316B5" w:rsidRPr="00457BE0" w:rsidRDefault="00D316B5" w:rsidP="00D316B5">
      <w:pPr>
        <w:widowControl w:val="0"/>
        <w:numPr>
          <w:ilvl w:val="0"/>
          <w:numId w:val="31"/>
        </w:numPr>
        <w:spacing w:after="240" w:line="271" w:lineRule="auto"/>
        <w:jc w:val="both"/>
        <w:rPr>
          <w:rFonts w:ascii="Arial" w:hAnsi="Arial" w:cs="Arial"/>
          <w:sz w:val="22"/>
          <w:szCs w:val="22"/>
        </w:rPr>
      </w:pPr>
      <w:r w:rsidRPr="00457BE0">
        <w:rPr>
          <w:rFonts w:ascii="Arial" w:hAnsi="Arial" w:cs="Arial"/>
          <w:sz w:val="22"/>
          <w:szCs w:val="22"/>
        </w:rPr>
        <w:t>Dotace je udělena v souladu s nařízením Komise (EU) č. 1407/2013</w:t>
      </w:r>
      <w:r w:rsidRPr="00457BE0">
        <w:rPr>
          <w:rFonts w:ascii="Arial" w:hAnsi="Arial" w:cs="Arial"/>
          <w:sz w:val="22"/>
          <w:szCs w:val="22"/>
          <w:vertAlign w:val="superscript"/>
        </w:rPr>
        <w:footnoteReference w:id="22"/>
      </w:r>
      <w:r w:rsidRPr="00457BE0">
        <w:rPr>
          <w:rFonts w:ascii="Arial" w:hAnsi="Arial" w:cs="Arial"/>
          <w:sz w:val="22"/>
          <w:szCs w:val="22"/>
        </w:rPr>
        <w:t xml:space="preserve"> ze dne 18. prosince 2013 o použití článku 107 a 108 SFEU na podporu de minimis.</w:t>
      </w:r>
    </w:p>
    <w:p w14:paraId="2DDE82F1" w14:textId="5145C417" w:rsidR="00D316B5" w:rsidRPr="00457BE0" w:rsidRDefault="00D316B5" w:rsidP="00D316B5">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C523297" w14:textId="5989C472" w:rsidR="00D316B5" w:rsidRPr="00457BE0" w:rsidRDefault="00D316B5" w:rsidP="00D316B5">
      <w:pPr>
        <w:widowControl w:val="0"/>
        <w:numPr>
          <w:ilvl w:val="0"/>
          <w:numId w:val="36"/>
        </w:numPr>
        <w:spacing w:after="120" w:line="271" w:lineRule="auto"/>
        <w:ind w:right="-2"/>
        <w:jc w:val="both"/>
        <w:rPr>
          <w:rFonts w:ascii="Arial" w:hAnsi="Arial" w:cs="Arial"/>
          <w:sz w:val="22"/>
          <w:szCs w:val="22"/>
        </w:rPr>
      </w:pPr>
      <w:r w:rsidRPr="00457BE0">
        <w:rPr>
          <w:rFonts w:ascii="Arial" w:hAnsi="Arial" w:cs="Arial"/>
          <w:sz w:val="22"/>
          <w:szCs w:val="22"/>
        </w:rPr>
        <w:t>Příjemce dotace bere na vědomí, že Evropská komise může uložit příjemci navrácení veřejné podpory spolu s příslušným úrokem zpět poskytovateli, pokud shledá, že</w:t>
      </w:r>
      <w:r w:rsidR="002E7B69">
        <w:rPr>
          <w:rFonts w:ascii="Arial" w:hAnsi="Arial" w:cs="Arial"/>
          <w:sz w:val="22"/>
          <w:szCs w:val="22"/>
        </w:rPr>
        <w:t> </w:t>
      </w:r>
      <w:r w:rsidRPr="00457BE0">
        <w:rPr>
          <w:rFonts w:ascii="Arial" w:hAnsi="Arial" w:cs="Arial"/>
          <w:sz w:val="22"/>
          <w:szCs w:val="22"/>
        </w:rPr>
        <w:t>poskytnutá dotace představuje protiprávní veřejnou podporu neslučitelnou s vnitřním trhem.</w:t>
      </w:r>
    </w:p>
    <w:p w14:paraId="292888CC" w14:textId="086B98EF" w:rsidR="009132E6" w:rsidRDefault="009132E6" w:rsidP="0042247B">
      <w:pPr>
        <w:pStyle w:val="Prosttext"/>
        <w:spacing w:before="120" w:after="120" w:line="271" w:lineRule="auto"/>
        <w:ind w:left="360"/>
        <w:jc w:val="both"/>
        <w:rPr>
          <w:rFonts w:cs="Arial"/>
          <w:sz w:val="22"/>
          <w:szCs w:val="22"/>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4D0336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072C5">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E6CC8" w14:textId="77777777" w:rsidR="00C178F2" w:rsidRDefault="00C178F2">
      <w:r>
        <w:separator/>
      </w:r>
    </w:p>
  </w:endnote>
  <w:endnote w:type="continuationSeparator" w:id="0">
    <w:p w14:paraId="4235680D" w14:textId="77777777" w:rsidR="00C178F2" w:rsidRDefault="00C178F2">
      <w:r>
        <w:continuationSeparator/>
      </w:r>
    </w:p>
  </w:endnote>
  <w:endnote w:type="continuationNotice" w:id="1">
    <w:p w14:paraId="20E08840" w14:textId="77777777" w:rsidR="00C178F2" w:rsidRDefault="00C17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7F2B948"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6E2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6E24">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750508"/>
      <w:docPartObj>
        <w:docPartGallery w:val="Page Numbers (Bottom of Page)"/>
        <w:docPartUnique/>
      </w:docPartObj>
    </w:sdtPr>
    <w:sdtEndPr/>
    <w:sdtContent>
      <w:sdt>
        <w:sdtPr>
          <w:id w:val="1309205190"/>
          <w:docPartObj>
            <w:docPartGallery w:val="Page Numbers (Top of Page)"/>
            <w:docPartUnique/>
          </w:docPartObj>
        </w:sdtPr>
        <w:sdtEndPr/>
        <w:sdtContent>
          <w:p w14:paraId="1F4FA225" w14:textId="3DFFD9F8"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242923"/>
      <w:docPartObj>
        <w:docPartGallery w:val="Page Numbers (Bottom of Page)"/>
        <w:docPartUnique/>
      </w:docPartObj>
    </w:sdtPr>
    <w:sdtEndPr/>
    <w:sdtContent>
      <w:sdt>
        <w:sdtPr>
          <w:id w:val="-1769616900"/>
          <w:docPartObj>
            <w:docPartGallery w:val="Page Numbers (Top of Page)"/>
            <w:docPartUnique/>
          </w:docPartObj>
        </w:sdtPr>
        <w:sdtEndPr/>
        <w:sdtContent>
          <w:p w14:paraId="2C8736DA" w14:textId="5BC1F689"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A3FCE" w14:textId="77777777" w:rsidR="00C178F2" w:rsidRDefault="00C178F2">
      <w:r>
        <w:separator/>
      </w:r>
    </w:p>
  </w:footnote>
  <w:footnote w:type="continuationSeparator" w:id="0">
    <w:p w14:paraId="54FF7D5E" w14:textId="77777777" w:rsidR="00C178F2" w:rsidRDefault="00C178F2">
      <w:r>
        <w:continuationSeparator/>
      </w:r>
    </w:p>
  </w:footnote>
  <w:footnote w:type="continuationNotice" w:id="1">
    <w:p w14:paraId="169082F5" w14:textId="77777777" w:rsidR="00C178F2" w:rsidRDefault="00C178F2"/>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9EE4CE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072C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3D95DD3" w14:textId="77777777" w:rsidR="00D316B5" w:rsidRPr="006423D6" w:rsidRDefault="00D316B5" w:rsidP="00D316B5">
      <w:pPr>
        <w:pStyle w:val="Textpoznpodarou"/>
      </w:pPr>
      <w:r>
        <w:rPr>
          <w:rStyle w:val="Znakapoznpodarou"/>
        </w:rPr>
        <w:footnoteRef/>
      </w:r>
      <w:r w:rsidRPr="006423D6">
        <w:t xml:space="preserve"> </w:t>
      </w:r>
      <w:r w:rsidRPr="006423D6">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F9CC4FA"/>
    <w:lvl w:ilvl="0" w:tplc="2E9A2C22">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43108590">
    <w:abstractNumId w:val="20"/>
  </w:num>
  <w:num w:numId="2" w16cid:durableId="1257328263">
    <w:abstractNumId w:val="30"/>
  </w:num>
  <w:num w:numId="3" w16cid:durableId="1850678587">
    <w:abstractNumId w:val="2"/>
  </w:num>
  <w:num w:numId="4" w16cid:durableId="45183748">
    <w:abstractNumId w:val="7"/>
  </w:num>
  <w:num w:numId="5" w16cid:durableId="167644882">
    <w:abstractNumId w:val="12"/>
  </w:num>
  <w:num w:numId="6" w16cid:durableId="1780487588">
    <w:abstractNumId w:val="19"/>
  </w:num>
  <w:num w:numId="7" w16cid:durableId="728695790">
    <w:abstractNumId w:val="6"/>
  </w:num>
  <w:num w:numId="8" w16cid:durableId="917785478">
    <w:abstractNumId w:val="26"/>
  </w:num>
  <w:num w:numId="9" w16cid:durableId="1670251463">
    <w:abstractNumId w:val="33"/>
  </w:num>
  <w:num w:numId="10" w16cid:durableId="350305146">
    <w:abstractNumId w:val="29"/>
  </w:num>
  <w:num w:numId="11" w16cid:durableId="131680029">
    <w:abstractNumId w:val="8"/>
  </w:num>
  <w:num w:numId="12" w16cid:durableId="458113448">
    <w:abstractNumId w:val="10"/>
  </w:num>
  <w:num w:numId="13" w16cid:durableId="143013088">
    <w:abstractNumId w:val="35"/>
  </w:num>
  <w:num w:numId="14" w16cid:durableId="1539468726">
    <w:abstractNumId w:val="31"/>
  </w:num>
  <w:num w:numId="15" w16cid:durableId="597563741">
    <w:abstractNumId w:val="13"/>
  </w:num>
  <w:num w:numId="16" w16cid:durableId="1993101022">
    <w:abstractNumId w:val="21"/>
  </w:num>
  <w:num w:numId="17" w16cid:durableId="2046565193">
    <w:abstractNumId w:val="4"/>
  </w:num>
  <w:num w:numId="18" w16cid:durableId="141241021">
    <w:abstractNumId w:val="16"/>
  </w:num>
  <w:num w:numId="19" w16cid:durableId="1400403066">
    <w:abstractNumId w:val="5"/>
  </w:num>
  <w:num w:numId="20" w16cid:durableId="2131431454">
    <w:abstractNumId w:val="17"/>
  </w:num>
  <w:num w:numId="21" w16cid:durableId="1005983496">
    <w:abstractNumId w:val="18"/>
  </w:num>
  <w:num w:numId="22" w16cid:durableId="655495435">
    <w:abstractNumId w:val="14"/>
  </w:num>
  <w:num w:numId="23" w16cid:durableId="24865281">
    <w:abstractNumId w:val="25"/>
  </w:num>
  <w:num w:numId="24" w16cid:durableId="1548908652">
    <w:abstractNumId w:val="3"/>
  </w:num>
  <w:num w:numId="25" w16cid:durableId="1813014473">
    <w:abstractNumId w:val="1"/>
  </w:num>
  <w:num w:numId="26" w16cid:durableId="441266295">
    <w:abstractNumId w:val="28"/>
  </w:num>
  <w:num w:numId="27" w16cid:durableId="502358736">
    <w:abstractNumId w:val="23"/>
  </w:num>
  <w:num w:numId="28" w16cid:durableId="52703409">
    <w:abstractNumId w:val="9"/>
  </w:num>
  <w:num w:numId="29" w16cid:durableId="1568883410">
    <w:abstractNumId w:val="27"/>
  </w:num>
  <w:num w:numId="30" w16cid:durableId="1092511528">
    <w:abstractNumId w:val="34"/>
  </w:num>
  <w:num w:numId="31" w16cid:durableId="697237638">
    <w:abstractNumId w:val="24"/>
  </w:num>
  <w:num w:numId="32" w16cid:durableId="54402137">
    <w:abstractNumId w:val="0"/>
  </w:num>
  <w:num w:numId="33" w16cid:durableId="1247151286">
    <w:abstractNumId w:val="11"/>
  </w:num>
  <w:num w:numId="34" w16cid:durableId="490029127">
    <w:abstractNumId w:val="32"/>
  </w:num>
  <w:num w:numId="35" w16cid:durableId="1311793110">
    <w:abstractNumId w:val="22"/>
  </w:num>
  <w:num w:numId="36" w16cid:durableId="1689864573">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28"/>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B69"/>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6E6"/>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6F17"/>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E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C3"/>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4AB"/>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D5F"/>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057"/>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BC5"/>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0F1"/>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EF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178"/>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AE3"/>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852"/>
    <w:rsid w:val="00B05FC9"/>
    <w:rsid w:val="00B0626C"/>
    <w:rsid w:val="00B065A3"/>
    <w:rsid w:val="00B06731"/>
    <w:rsid w:val="00B06A1A"/>
    <w:rsid w:val="00B0734A"/>
    <w:rsid w:val="00B0760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8F2"/>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D79"/>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6B5"/>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E2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2C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EB6"/>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A26EFF"/>
    <w:pPr>
      <w:spacing w:before="100" w:beforeAutospacing="1" w:after="100" w:afterAutospacing="1"/>
    </w:pPr>
  </w:style>
  <w:style w:type="character" w:customStyle="1" w:styleId="spellingerror">
    <w:name w:val="spellingerror"/>
    <w:basedOn w:val="Standardnpsmoodstavce"/>
    <w:rsid w:val="00A26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1643166">
      <w:bodyDiv w:val="1"/>
      <w:marLeft w:val="0"/>
      <w:marRight w:val="0"/>
      <w:marTop w:val="0"/>
      <w:marBottom w:val="0"/>
      <w:divBdr>
        <w:top w:val="none" w:sz="0" w:space="0" w:color="auto"/>
        <w:left w:val="none" w:sz="0" w:space="0" w:color="auto"/>
        <w:bottom w:val="none" w:sz="0" w:space="0" w:color="auto"/>
        <w:right w:val="none" w:sz="0" w:space="0" w:color="auto"/>
      </w:divBdr>
      <w:divsChild>
        <w:div w:id="1870293420">
          <w:marLeft w:val="0"/>
          <w:marRight w:val="0"/>
          <w:marTop w:val="0"/>
          <w:marBottom w:val="0"/>
          <w:divBdr>
            <w:top w:val="none" w:sz="0" w:space="0" w:color="auto"/>
            <w:left w:val="none" w:sz="0" w:space="0" w:color="auto"/>
            <w:bottom w:val="none" w:sz="0" w:space="0" w:color="auto"/>
            <w:right w:val="none" w:sz="0" w:space="0" w:color="auto"/>
          </w:divBdr>
        </w:div>
        <w:div w:id="29229729">
          <w:marLeft w:val="0"/>
          <w:marRight w:val="0"/>
          <w:marTop w:val="0"/>
          <w:marBottom w:val="0"/>
          <w:divBdr>
            <w:top w:val="none" w:sz="0" w:space="0" w:color="auto"/>
            <w:left w:val="none" w:sz="0" w:space="0" w:color="auto"/>
            <w:bottom w:val="none" w:sz="0" w:space="0" w:color="auto"/>
            <w:right w:val="none" w:sz="0" w:space="0" w:color="auto"/>
          </w:divBdr>
        </w:div>
        <w:div w:id="172695005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2.xml><?xml version="1.0" encoding="utf-8"?>
<ds:datastoreItem xmlns:ds="http://schemas.openxmlformats.org/officeDocument/2006/customXml" ds:itemID="{B64A9BBF-5C49-4060-AB33-5700BB02864A}">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4943ABFA-E0FF-44AF-A368-31B93E1B988B}">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xml><?xml version="1.0" encoding="utf-8"?>
<ds:datastoreItem xmlns:ds="http://schemas.openxmlformats.org/officeDocument/2006/customXml" ds:itemID="{818C9B7F-3245-498D-919D-81DF898BB6E1}">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2.xml><?xml version="1.0" encoding="utf-8"?>
<ds:datastoreItem xmlns:ds="http://schemas.openxmlformats.org/officeDocument/2006/customXml" ds:itemID="{B43F5127-EEA1-4CAD-AC93-737C36D92792}">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4116</Words>
  <Characters>23841</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6</cp:revision>
  <cp:lastPrinted>2022-07-27T10:25:00Z</cp:lastPrinted>
  <dcterms:created xsi:type="dcterms:W3CDTF">2023-10-24T09:43:00Z</dcterms:created>
  <dcterms:modified xsi:type="dcterms:W3CDTF">2023-10-25T14:09:00Z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