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140E9026" w14:textId="40FAE0ED" w:rsidR="00115424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7393AEB9" w14:textId="05CCA653" w:rsidR="00781413" w:rsidRDefault="00781413" w:rsidP="00115424">
      <w:pPr>
        <w:spacing w:after="200" w:line="276" w:lineRule="auto"/>
        <w:jc w:val="center"/>
        <w:rPr>
          <w:ins w:id="1" w:author="Uhlíková Renata" w:date="2025-03-24T11:00:00Z" w16du:dateUtc="2025-03-24T10:00:00Z"/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06C6B109" w14:textId="77777777" w:rsidR="00741962" w:rsidRDefault="00741962" w:rsidP="00115424">
      <w:pPr>
        <w:spacing w:after="200" w:line="276" w:lineRule="auto"/>
        <w:jc w:val="center"/>
        <w:rPr>
          <w:ins w:id="2" w:author="Uhlíková Renata" w:date="2025-03-24T11:00:00Z" w16du:dateUtc="2025-03-24T10:00:00Z"/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6889583D" w14:textId="77777777" w:rsidR="00741962" w:rsidRDefault="00741962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17156438" w14:textId="77777777" w:rsidR="00781413" w:rsidRPr="00115424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29F7EAC3" w14:textId="2FEC66C8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72F0F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444 001 - </w:t>
            </w:r>
            <w:proofErr w:type="gramStart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Zelená</w:t>
            </w:r>
            <w:proofErr w:type="gramEnd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infrastruktura podpořená pro jiné účely než přizpůsobování se změnám klimatu</w:t>
            </w:r>
            <w:bookmarkEnd w:id="3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4EBB5995" w:rsidR="00115424" w:rsidRPr="003A53BC" w:rsidRDefault="00115424" w:rsidP="001154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="00DC2C1B" w:rsidDel="00DC2C1B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Mezi příklady zelené infrastruktury patří parky bohaté na biologickou rozmanitost, propustná půdní pokrývka, zelené stěny, zelené střechy, zelené školní dvory atd. (Viz EEA 2011 v referencích)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5E26958" w14:textId="175CBE8E" w:rsidR="00E5115F" w:rsidRPr="00115424" w:rsidRDefault="00115424" w:rsidP="00E5115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  <w:r w:rsidR="000F0D4C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E70D8F">
        <w:rPr>
          <w:rFonts w:ascii="Arial" w:hAnsi="Arial" w:cs="Arial"/>
          <w:sz w:val="22"/>
          <w:szCs w:val="22"/>
        </w:rPr>
        <w:t xml:space="preserve">plochu veřejného prostranství </w:t>
      </w:r>
      <w:r w:rsidR="009B33AF">
        <w:rPr>
          <w:rFonts w:ascii="Arial" w:hAnsi="Arial" w:cs="Arial"/>
          <w:sz w:val="22"/>
          <w:szCs w:val="22"/>
        </w:rPr>
        <w:t>(</w:t>
      </w:r>
      <w:r w:rsidR="00B266C0">
        <w:rPr>
          <w:rFonts w:ascii="Arial" w:hAnsi="Arial" w:cs="Arial"/>
          <w:sz w:val="22"/>
          <w:szCs w:val="22"/>
        </w:rPr>
        <w:t>včetně vodních ploch</w:t>
      </w:r>
      <w:r w:rsidR="009B33AF">
        <w:rPr>
          <w:rFonts w:ascii="Arial" w:hAnsi="Arial" w:cs="Arial"/>
          <w:sz w:val="22"/>
          <w:szCs w:val="22"/>
        </w:rPr>
        <w:t>)</w:t>
      </w:r>
      <w:r w:rsidR="00B266C0">
        <w:rPr>
          <w:rFonts w:ascii="Arial" w:hAnsi="Arial" w:cs="Arial"/>
          <w:sz w:val="22"/>
          <w:szCs w:val="22"/>
        </w:rPr>
        <w:t xml:space="preserve"> </w:t>
      </w:r>
      <w:r w:rsidR="00E70D8F">
        <w:rPr>
          <w:rFonts w:ascii="Arial" w:hAnsi="Arial" w:cs="Arial"/>
          <w:sz w:val="22"/>
          <w:szCs w:val="22"/>
        </w:rPr>
        <w:t>v řešeném</w:t>
      </w:r>
      <w:r w:rsidR="00784C08" w:rsidRPr="00784C08">
        <w:rPr>
          <w:rFonts w:ascii="Arial" w:hAnsi="Arial" w:cs="Arial"/>
          <w:sz w:val="22"/>
          <w:szCs w:val="22"/>
        </w:rPr>
        <w:t xml:space="preserve"> území v</w:t>
      </w:r>
      <w:r w:rsidR="007B244F">
        <w:rPr>
          <w:rFonts w:ascii="Arial" w:hAnsi="Arial" w:cs="Arial"/>
          <w:sz w:val="22"/>
          <w:szCs w:val="22"/>
        </w:rPr>
        <w:t> </w:t>
      </w:r>
      <w:r w:rsidR="00784C08" w:rsidRPr="00784C08">
        <w:rPr>
          <w:rFonts w:ascii="Arial" w:hAnsi="Arial" w:cs="Arial"/>
          <w:sz w:val="22"/>
          <w:szCs w:val="22"/>
        </w:rPr>
        <w:t>hektarech</w:t>
      </w:r>
      <w:r w:rsidR="007B244F">
        <w:rPr>
          <w:rFonts w:ascii="Arial" w:hAnsi="Arial" w:cs="Arial"/>
          <w:sz w:val="22"/>
          <w:szCs w:val="22"/>
        </w:rPr>
        <w:t xml:space="preserve">, vyjma plochy budov zanesených </w:t>
      </w:r>
      <w:r w:rsidR="00F713ED">
        <w:rPr>
          <w:rFonts w:ascii="Arial" w:hAnsi="Arial" w:cs="Arial"/>
          <w:sz w:val="22"/>
          <w:szCs w:val="22"/>
        </w:rPr>
        <w:t xml:space="preserve">v </w:t>
      </w:r>
      <w:r w:rsidR="007B244F">
        <w:rPr>
          <w:rFonts w:ascii="Arial" w:hAnsi="Arial" w:cs="Arial"/>
          <w:sz w:val="22"/>
          <w:szCs w:val="22"/>
        </w:rPr>
        <w:t>katastru nemovitostí.</w:t>
      </w:r>
      <w:r w:rsidR="00E5115F">
        <w:rPr>
          <w:rFonts w:ascii="Arial" w:hAnsi="Arial" w:cs="Arial"/>
          <w:sz w:val="22"/>
          <w:szCs w:val="22"/>
        </w:rPr>
        <w:t xml:space="preserve"> (Pozn. stejná hodnota se v m</w:t>
      </w:r>
      <w:r w:rsidR="00E5115F" w:rsidRPr="0086367A">
        <w:rPr>
          <w:rFonts w:ascii="Arial" w:hAnsi="Arial" w:cs="Arial"/>
          <w:sz w:val="22"/>
          <w:szCs w:val="22"/>
          <w:vertAlign w:val="superscript"/>
        </w:rPr>
        <w:t>2</w:t>
      </w:r>
      <w:r w:rsidR="00E5115F">
        <w:rPr>
          <w:rFonts w:ascii="Arial" w:hAnsi="Arial" w:cs="Arial"/>
          <w:sz w:val="22"/>
          <w:szCs w:val="22"/>
        </w:rPr>
        <w:t xml:space="preserve"> vyplňuje v tabulce ve Studii proveditelnosti v kap. 4.2 jako </w:t>
      </w:r>
      <w:r w:rsidR="00E5115F" w:rsidRPr="0086367A">
        <w:rPr>
          <w:rFonts w:ascii="Arial" w:hAnsi="Arial" w:cs="Arial"/>
          <w:sz w:val="22"/>
          <w:szCs w:val="22"/>
        </w:rPr>
        <w:t>Plocha veřejného prostranství v</w:t>
      </w:r>
      <w:r w:rsidR="007B33E1">
        <w:rPr>
          <w:rFonts w:ascii="Arial" w:hAnsi="Arial" w:cs="Arial"/>
          <w:sz w:val="22"/>
          <w:szCs w:val="22"/>
        </w:rPr>
        <w:t> </w:t>
      </w:r>
      <w:r w:rsidR="00E5115F" w:rsidRPr="0086367A">
        <w:rPr>
          <w:rFonts w:ascii="Arial" w:hAnsi="Arial" w:cs="Arial"/>
          <w:sz w:val="22"/>
          <w:szCs w:val="22"/>
        </w:rPr>
        <w:t>řešeném území</w:t>
      </w:r>
      <w:r w:rsidR="00E5115F">
        <w:rPr>
          <w:rFonts w:ascii="Arial" w:hAnsi="Arial" w:cs="Arial"/>
          <w:sz w:val="22"/>
          <w:szCs w:val="22"/>
        </w:rPr>
        <w:t>.)</w:t>
      </w:r>
    </w:p>
    <w:p w14:paraId="1A1898D3" w14:textId="32C93F8A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b/>
          <w:bCs/>
          <w:sz w:val="22"/>
          <w:szCs w:val="22"/>
        </w:rPr>
        <w:t>Příklad:</w:t>
      </w:r>
      <w:r w:rsidRPr="003A53BC">
        <w:rPr>
          <w:rFonts w:ascii="Arial" w:hAnsi="Arial" w:cs="Arial"/>
          <w:sz w:val="22"/>
          <w:szCs w:val="22"/>
        </w:rPr>
        <w:t xml:space="preserve"> </w:t>
      </w:r>
      <w:r w:rsidR="00E70D8F" w:rsidRPr="003A53BC">
        <w:rPr>
          <w:rFonts w:ascii="Arial" w:hAnsi="Arial" w:cs="Arial"/>
          <w:sz w:val="22"/>
          <w:szCs w:val="22"/>
        </w:rPr>
        <w:t>Žadatel uvede rozlohu náměstí, parku apod.</w:t>
      </w:r>
    </w:p>
    <w:p w14:paraId="3CAB83AF" w14:textId="1B1E8440" w:rsidR="00115424" w:rsidRPr="00115424" w:rsidRDefault="00115424" w:rsidP="003A53B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Hodnoty jsou vykazovány jako prostý součet</w:t>
      </w:r>
      <w:r w:rsidR="002D67EA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ploch veřejného prostranství v řešeném</w:t>
      </w:r>
      <w:r w:rsidR="0034309E" w:rsidRPr="00784C08">
        <w:rPr>
          <w:rFonts w:ascii="Arial" w:hAnsi="Arial" w:cs="Arial"/>
          <w:sz w:val="22"/>
          <w:szCs w:val="22"/>
        </w:rPr>
        <w:t xml:space="preserve"> území v</w:t>
      </w:r>
      <w:r w:rsidR="0034309E">
        <w:rPr>
          <w:rFonts w:ascii="Arial" w:hAnsi="Arial" w:cs="Arial"/>
          <w:sz w:val="22"/>
          <w:szCs w:val="22"/>
        </w:rPr>
        <w:t> </w:t>
      </w:r>
      <w:r w:rsidR="0034309E" w:rsidRPr="00784C08">
        <w:rPr>
          <w:rFonts w:ascii="Arial" w:hAnsi="Arial" w:cs="Arial"/>
          <w:sz w:val="22"/>
          <w:szCs w:val="22"/>
        </w:rPr>
        <w:t>hektarech</w:t>
      </w:r>
      <w:r w:rsidR="0034309E">
        <w:rPr>
          <w:rFonts w:ascii="Arial" w:hAnsi="Arial" w:cs="Arial"/>
          <w:sz w:val="22"/>
          <w:szCs w:val="22"/>
        </w:rPr>
        <w:t>.</w:t>
      </w:r>
      <w:r w:rsidR="0034309E" w:rsidRPr="00115424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3</w:t>
      </w:r>
      <w:r w:rsidRPr="00115424">
        <w:rPr>
          <w:rFonts w:ascii="Arial" w:hAnsi="Arial" w:cs="Arial"/>
          <w:sz w:val="22"/>
          <w:szCs w:val="22"/>
        </w:rPr>
        <w:t xml:space="preserve"> desetinná místa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3DAC3420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5956A8B4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9E86CFB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DC2C1B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C2C1B">
        <w:rPr>
          <w:rFonts w:ascii="Arial" w:hAnsi="Arial" w:cs="Arial"/>
          <w:b/>
          <w:bCs/>
          <w:sz w:val="22"/>
          <w:szCs w:val="22"/>
        </w:rPr>
        <w:t>s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4D703C24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27BF2870" w14:textId="21E1D642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B713C1"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0F0D4C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C87A08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0F0D4C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CA022E2" w14:textId="6A9E195E" w:rsidR="00115424" w:rsidRPr="003A53BC" w:rsidRDefault="00115424" w:rsidP="00C87A08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0F0D4C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0F0D4C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09FD29AD" w14:textId="7DC1ECA7" w:rsidR="00115424" w:rsidRPr="000F0D4C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Pr="003A53BC">
        <w:rPr>
          <w:rFonts w:ascii="Arial" w:hAnsi="Arial" w:cs="Arial"/>
          <w:sz w:val="22"/>
          <w:szCs w:val="22"/>
        </w:rPr>
        <w:t>relevantní</w:t>
      </w:r>
      <w:r w:rsidRPr="000F0D4C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0F0D4C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0F0D4C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3E9C4B6A" w:rsidR="00115424" w:rsidRPr="00C87A08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87A08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0F0D4C">
        <w:rPr>
          <w:rFonts w:ascii="Arial" w:hAnsi="Arial" w:cs="Arial"/>
          <w:sz w:val="22"/>
          <w:szCs w:val="22"/>
        </w:rPr>
        <w:t xml:space="preserve"> podle Podmínek </w:t>
      </w:r>
      <w:r w:rsidRPr="00C87A08">
        <w:rPr>
          <w:rFonts w:ascii="Arial" w:hAnsi="Arial" w:cs="Arial"/>
          <w:sz w:val="22"/>
          <w:szCs w:val="22"/>
        </w:rPr>
        <w:t xml:space="preserve">Právního aktu </w:t>
      </w:r>
      <w:r w:rsidRPr="003A53BC">
        <w:rPr>
          <w:rFonts w:ascii="Arial" w:hAnsi="Arial" w:cs="Arial"/>
          <w:sz w:val="22"/>
          <w:szCs w:val="22"/>
        </w:rPr>
        <w:t>/</w:t>
      </w:r>
      <w:r w:rsidRPr="00C87A08">
        <w:rPr>
          <w:rFonts w:ascii="Arial" w:hAnsi="Arial" w:cs="Arial"/>
          <w:sz w:val="22"/>
          <w:szCs w:val="22"/>
        </w:rPr>
        <w:t xml:space="preserve"> Rozhodnutí.</w:t>
      </w:r>
      <w:r w:rsidRPr="000F0D4C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0D05F4E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aktu </w:t>
      </w:r>
      <w:r w:rsidRPr="003A53BC">
        <w:rPr>
          <w:rFonts w:ascii="Arial" w:hAnsi="Arial" w:cs="Arial"/>
          <w:sz w:val="22"/>
          <w:szCs w:val="22"/>
        </w:rPr>
        <w:t xml:space="preserve">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783E88DD" w14:textId="348ED45F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EB24AC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541F6447" w14:textId="6676042C" w:rsidR="00115424" w:rsidRDefault="00115424">
      <w:pPr>
        <w:spacing w:after="200" w:line="276" w:lineRule="auto"/>
        <w:rPr>
          <w:rFonts w:ascii="Arial" w:hAnsi="Arial" w:cs="Arial"/>
          <w:color w:val="FF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4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4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588AE6A5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instalovaný objem retenčních nádrží pro využití dešťové vody v prostoru, kde</w:t>
      </w:r>
      <w:r w:rsidR="00EB24A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63BF3FE6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4369B5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E00330E" w14:textId="4C5C86C4" w:rsidR="00B713C1" w:rsidRPr="009A4CBD" w:rsidRDefault="00115424" w:rsidP="00781413">
      <w:pPr>
        <w:ind w:right="227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B713C1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Pr="00B713C1">
        <w:rPr>
          <w:rFonts w:ascii="Arial" w:hAnsi="Arial" w:cs="Arial"/>
          <w:sz w:val="22"/>
          <w:szCs w:val="22"/>
          <w:u w:val="single"/>
        </w:rPr>
        <w:t xml:space="preserve"> desetinná místa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14AAE0A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žádné v daném území před realizací projektu žádné nádrže nefigurují, je hodnota 0. Jako datum výchozí hodnoty příjemce uvede datum podání žádosti o podporu.</w:t>
      </w:r>
    </w:p>
    <w:p w14:paraId="7768216D" w14:textId="1BBEB59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D66DA">
        <w:rPr>
          <w:rFonts w:ascii="Arial" w:hAnsi="Arial" w:cs="Arial"/>
          <w:b/>
          <w:bCs/>
          <w:sz w:val="22"/>
          <w:szCs w:val="22"/>
        </w:rPr>
        <w:t>s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7E48D94F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D57991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3EC44F2" w14:textId="77777777" w:rsidTr="00A46D40">
        <w:trPr>
          <w:trHeight w:val="1793"/>
        </w:trPr>
        <w:tc>
          <w:tcPr>
            <w:tcW w:w="4575" w:type="dxa"/>
          </w:tcPr>
          <w:p w14:paraId="4B011C29" w14:textId="77777777" w:rsidR="00115424" w:rsidRPr="000F0D4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628225CA" w14:textId="77777777" w:rsidR="00115424" w:rsidRPr="000F0D4C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0F0D4C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0F0D4C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101BC1F3" w14:textId="77777777" w:rsidR="00115424" w:rsidRPr="003A53B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3210E6E2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0F0D4C">
        <w:rPr>
          <w:rFonts w:ascii="Arial" w:hAnsi="Arial" w:cs="Arial"/>
          <w:sz w:val="22"/>
          <w:szCs w:val="22"/>
        </w:rPr>
        <w:t>relevantní</w:t>
      </w:r>
      <w:r w:rsidR="000F0D4C" w:rsidRPr="003A53B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</w:t>
      </w:r>
      <w:r w:rsidRPr="008E4F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4D762FE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A17ED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4A18E63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</w:t>
      </w:r>
      <w:r w:rsidR="00D44379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046662E8" w14:textId="25F008F8" w:rsidR="00115424" w:rsidRDefault="00115424" w:rsidP="003A53BC">
      <w:pPr>
        <w:spacing w:after="200" w:line="276" w:lineRule="auto"/>
        <w:jc w:val="both"/>
        <w:rPr>
          <w:sz w:val="16"/>
          <w:szCs w:val="16"/>
          <w:highlight w:val="lightGray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D44379">
        <w:rPr>
          <w:rFonts w:ascii="Arial" w:hAnsi="Arial" w:cs="Arial"/>
          <w:sz w:val="22"/>
          <w:szCs w:val="22"/>
        </w:rPr>
        <w:t> </w:t>
      </w:r>
      <w:r w:rsidRPr="00B90045">
        <w:rPr>
          <w:rFonts w:ascii="Arial" w:hAnsi="Arial" w:cs="Arial"/>
          <w:sz w:val="22"/>
          <w:szCs w:val="22"/>
        </w:rPr>
        <w:t>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</w:t>
      </w: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5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5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6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6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7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8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8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9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9"/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700261D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D4437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10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10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26F7362E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>očet obyvatel</w:t>
      </w:r>
      <w:r w:rsidR="00252F0C">
        <w:rPr>
          <w:rFonts w:ascii="Arial" w:hAnsi="Arial" w:cs="Arial"/>
          <w:sz w:val="22"/>
          <w:szCs w:val="22"/>
        </w:rPr>
        <w:t xml:space="preserve"> </w:t>
      </w:r>
      <w:r w:rsidR="00E41F04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</w:t>
      </w:r>
      <w:r w:rsidR="00E41F04">
        <w:rPr>
          <w:rFonts w:ascii="Arial" w:hAnsi="Arial" w:cs="Arial"/>
          <w:sz w:val="22"/>
          <w:szCs w:val="22"/>
        </w:rPr>
        <w:t xml:space="preserve"> </w:t>
      </w:r>
      <w:r w:rsidR="00624CC5" w:rsidRPr="00624CC5">
        <w:rPr>
          <w:rFonts w:ascii="Arial" w:hAnsi="Arial" w:cs="Arial"/>
          <w:sz w:val="22"/>
          <w:szCs w:val="22"/>
        </w:rPr>
        <w:t>(</w:t>
      </w:r>
      <w:r w:rsidR="00E41F04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</w:t>
      </w:r>
      <w:r w:rsidR="00E41F04">
        <w:rPr>
          <w:rFonts w:ascii="Arial" w:hAnsi="Arial" w:cs="Arial"/>
          <w:sz w:val="22"/>
          <w:szCs w:val="22"/>
        </w:rPr>
        <w:t>a</w:t>
      </w:r>
      <w:r w:rsidR="00624CC5" w:rsidRPr="00624CC5">
        <w:rPr>
          <w:rFonts w:ascii="Arial" w:hAnsi="Arial" w:cs="Arial"/>
          <w:sz w:val="22"/>
          <w:szCs w:val="22"/>
        </w:rPr>
        <w:t>), které obklopují řešené území, či k němu přiléhají (</w:t>
      </w:r>
      <w:r w:rsidR="00252F0C">
        <w:rPr>
          <w:rFonts w:ascii="Arial" w:hAnsi="Arial" w:cs="Arial"/>
          <w:sz w:val="22"/>
          <w:szCs w:val="22"/>
        </w:rPr>
        <w:t xml:space="preserve">tj, které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6866FF1B" w14:textId="2694BA33" w:rsidR="00605878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>z </w:t>
      </w:r>
      <w:r w:rsidR="00836F3A" w:rsidRPr="0034309E">
        <w:rPr>
          <w:rFonts w:ascii="Arial" w:hAnsi="Arial" w:cs="Arial"/>
          <w:sz w:val="22"/>
          <w:szCs w:val="22"/>
        </w:rPr>
        <w:t xml:space="preserve">přílohy </w:t>
      </w:r>
      <w:r w:rsidR="0034309E" w:rsidRPr="003A53BC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 w:rsidR="0034309E" w:rsidRPr="003A53BC">
        <w:rPr>
          <w:rFonts w:ascii="Arial" w:hAnsi="Arial" w:cs="Arial"/>
          <w:sz w:val="22"/>
          <w:szCs w:val="22"/>
        </w:rPr>
        <w:t xml:space="preserve"> </w:t>
      </w:r>
      <w:r w:rsidR="00836F3A" w:rsidRPr="003A53BC">
        <w:rPr>
          <w:rFonts w:ascii="Arial" w:hAnsi="Arial" w:cs="Arial"/>
          <w:sz w:val="22"/>
          <w:szCs w:val="22"/>
        </w:rPr>
        <w:t>Krycí list indikátoru 444 011</w:t>
      </w:r>
      <w:r w:rsidR="00836F3A">
        <w:rPr>
          <w:rFonts w:ascii="Arial" w:hAnsi="Arial" w:cs="Arial"/>
          <w:sz w:val="22"/>
          <w:szCs w:val="22"/>
        </w:rPr>
        <w:t>, kde příjemce zaškrtne vybrané ZSJ a vypočtenou hodnotu počtu obyvatel použije jako cílovou hodnotu indikátoru.</w:t>
      </w:r>
      <w:r w:rsidR="00252F0C">
        <w:rPr>
          <w:rFonts w:ascii="Arial" w:hAnsi="Arial" w:cs="Arial"/>
          <w:sz w:val="22"/>
          <w:szCs w:val="22"/>
        </w:rPr>
        <w:t xml:space="preserve"> Vzhledem k tomu, že Základní sídelní jednotka tvoří nepříliš známou územní statisti</w:t>
      </w:r>
      <w:r w:rsidR="004369B5">
        <w:rPr>
          <w:rFonts w:ascii="Arial" w:hAnsi="Arial" w:cs="Arial"/>
          <w:sz w:val="22"/>
          <w:szCs w:val="22"/>
        </w:rPr>
        <w:t>c</w:t>
      </w:r>
      <w:r w:rsidR="00252F0C">
        <w:rPr>
          <w:rFonts w:ascii="Arial" w:hAnsi="Arial" w:cs="Arial"/>
          <w:sz w:val="22"/>
          <w:szCs w:val="22"/>
        </w:rPr>
        <w:t>kou jednotku, vytvořil ŘO IROP</w:t>
      </w:r>
      <w:r w:rsidR="002A2B1B">
        <w:rPr>
          <w:rFonts w:ascii="Arial" w:hAnsi="Arial" w:cs="Arial"/>
          <w:sz w:val="22"/>
          <w:szCs w:val="22"/>
        </w:rPr>
        <w:t xml:space="preserve"> pro zjednodušení orientace</w:t>
      </w:r>
      <w:r w:rsidR="00252F0C">
        <w:rPr>
          <w:rFonts w:ascii="Arial" w:hAnsi="Arial" w:cs="Arial"/>
          <w:sz w:val="22"/>
          <w:szCs w:val="22"/>
        </w:rPr>
        <w:t xml:space="preserve"> na </w:t>
      </w:r>
      <w:proofErr w:type="spellStart"/>
      <w:r w:rsidR="00252F0C">
        <w:rPr>
          <w:rFonts w:ascii="Arial" w:hAnsi="Arial" w:cs="Arial"/>
          <w:sz w:val="22"/>
          <w:szCs w:val="22"/>
        </w:rPr>
        <w:t>Geoportálu</w:t>
      </w:r>
      <w:proofErr w:type="spellEnd"/>
      <w:r w:rsidR="00252F0C">
        <w:rPr>
          <w:rFonts w:ascii="Arial" w:hAnsi="Arial" w:cs="Arial"/>
          <w:sz w:val="22"/>
          <w:szCs w:val="22"/>
        </w:rPr>
        <w:t xml:space="preserve"> </w:t>
      </w:r>
      <w:r w:rsidR="00605878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605878">
        <w:rPr>
          <w:rFonts w:ascii="Arial" w:hAnsi="Arial" w:cs="Arial"/>
          <w:sz w:val="22"/>
          <w:szCs w:val="22"/>
        </w:rPr>
        <w:t xml:space="preserve"> mapový poklad, který je do 25.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>11.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 xml:space="preserve">2025 dostupný na </w:t>
      </w:r>
      <w:r w:rsidR="002A2B1B">
        <w:rPr>
          <w:rFonts w:ascii="Arial" w:hAnsi="Arial" w:cs="Arial"/>
          <w:sz w:val="22"/>
          <w:szCs w:val="22"/>
        </w:rPr>
        <w:t>následujícím</w:t>
      </w:r>
      <w:r w:rsidR="00605878">
        <w:rPr>
          <w:rFonts w:ascii="Arial" w:hAnsi="Arial" w:cs="Arial"/>
          <w:sz w:val="22"/>
          <w:szCs w:val="22"/>
        </w:rPr>
        <w:t xml:space="preserve"> odkazu:</w:t>
      </w:r>
    </w:p>
    <w:p w14:paraId="12AE97CD" w14:textId="0F4845DA" w:rsidR="00624CC5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4" w:history="1">
        <w:r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5E4ABD0B" w14:textId="54DAE718" w:rsidR="00605878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uvedeném odkazu jsou na mapě ČR vybrány vrstvy administrativních hranic (</w:t>
      </w:r>
      <w:r w:rsidR="001C30B3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>ORP, Obec a ZSJ), které po kliknutí zobrazí doplňující informace</w:t>
      </w:r>
      <w:r w:rsidR="00EB44C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CA79DB" w14:textId="77777777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</w:t>
      </w:r>
    </w:p>
    <w:p w14:paraId="62AC6FD2" w14:textId="4A0C9008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3A53BC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5EFE60F1" w14:textId="3196F5D7" w:rsidR="00605878" w:rsidRPr="003A53BC" w:rsidRDefault="00605878" w:rsidP="003A53BC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vyhledání řešeného území a potřebné ZSJ se kliknutím do </w:t>
      </w:r>
      <w:r w:rsidR="004369B5">
        <w:rPr>
          <w:rFonts w:ascii="Arial" w:hAnsi="Arial" w:cs="Arial"/>
          <w:sz w:val="22"/>
          <w:szCs w:val="22"/>
        </w:rPr>
        <w:t>její</w:t>
      </w:r>
      <w:r>
        <w:rPr>
          <w:rFonts w:ascii="Arial" w:hAnsi="Arial" w:cs="Arial"/>
          <w:sz w:val="22"/>
          <w:szCs w:val="22"/>
        </w:rPr>
        <w:t xml:space="preserve"> plochy otevře box s informacemi o ZSJ, včetně K</w:t>
      </w:r>
      <w:r w:rsidR="000F0D4C">
        <w:rPr>
          <w:rFonts w:ascii="Arial" w:hAnsi="Arial" w:cs="Arial"/>
          <w:sz w:val="22"/>
          <w:szCs w:val="22"/>
        </w:rPr>
        <w:t>ód</w:t>
      </w:r>
      <w:r>
        <w:rPr>
          <w:rFonts w:ascii="Arial" w:hAnsi="Arial" w:cs="Arial"/>
          <w:sz w:val="22"/>
          <w:szCs w:val="22"/>
        </w:rPr>
        <w:t>u ZSJ, k</w:t>
      </w:r>
      <w:r w:rsidR="00EB44C4">
        <w:rPr>
          <w:rFonts w:ascii="Arial" w:hAnsi="Arial" w:cs="Arial"/>
          <w:sz w:val="22"/>
          <w:szCs w:val="22"/>
        </w:rPr>
        <w:t>terý lze použít pro výběr ZS</w:t>
      </w:r>
      <w:r w:rsidR="004369B5">
        <w:rPr>
          <w:rFonts w:ascii="Arial" w:hAnsi="Arial" w:cs="Arial"/>
          <w:sz w:val="22"/>
          <w:szCs w:val="22"/>
        </w:rPr>
        <w:t>J</w:t>
      </w:r>
      <w:r w:rsidR="00EB44C4">
        <w:rPr>
          <w:rFonts w:ascii="Arial" w:hAnsi="Arial" w:cs="Arial"/>
          <w:sz w:val="22"/>
          <w:szCs w:val="22"/>
        </w:rPr>
        <w:t xml:space="preserve"> v příloze </w:t>
      </w:r>
      <w:r w:rsidR="00823737">
        <w:rPr>
          <w:rFonts w:ascii="Arial" w:hAnsi="Arial" w:cs="Arial"/>
          <w:i/>
          <w:iCs/>
          <w:sz w:val="22"/>
          <w:szCs w:val="22"/>
        </w:rPr>
        <w:t>č. 9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 xml:space="preserve"> Krycí list indikátoru 444</w:t>
      </w:r>
      <w:r w:rsidR="00EB44C4">
        <w:rPr>
          <w:rFonts w:ascii="Arial" w:hAnsi="Arial" w:cs="Arial"/>
          <w:i/>
          <w:iCs/>
          <w:sz w:val="22"/>
          <w:szCs w:val="22"/>
        </w:rPr>
        <w:t> 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>011</w:t>
      </w:r>
      <w:r w:rsidR="00EB44C4"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076217F8" w:rsidR="00822000" w:rsidRPr="00200F1E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200F1E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76993061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2435A6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uveden datum podání žádosti o podporu.</w:t>
      </w:r>
    </w:p>
    <w:p w14:paraId="0A13694C" w14:textId="6DE1F64B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lastRenderedPageBreak/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které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3A53BC">
        <w:rPr>
          <w:rFonts w:ascii="Arial" w:hAnsi="Arial" w:cs="Arial"/>
          <w:sz w:val="22"/>
          <w:szCs w:val="22"/>
        </w:rPr>
        <w:t>.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e </w:t>
      </w:r>
      <w:r w:rsidR="002435A6">
        <w:rPr>
          <w:rFonts w:ascii="Arial" w:hAnsi="Arial" w:cs="Arial"/>
          <w:b/>
          <w:bCs/>
          <w:sz w:val="22"/>
          <w:szCs w:val="22"/>
        </w:rPr>
        <w:t>s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>tudii proveditelnost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3A53BC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83696">
        <w:rPr>
          <w:rFonts w:ascii="Arial" w:hAnsi="Arial" w:cs="Arial"/>
          <w:sz w:val="22"/>
          <w:szCs w:val="22"/>
        </w:rPr>
        <w:t xml:space="preserve">Žadatel </w:t>
      </w:r>
      <w:r w:rsidRPr="00983696">
        <w:rPr>
          <w:rFonts w:ascii="Arial" w:hAnsi="Arial" w:cs="Arial"/>
          <w:sz w:val="22"/>
          <w:szCs w:val="22"/>
        </w:rPr>
        <w:t xml:space="preserve">v žádosti o podporu stanovuje jako datum </w:t>
      </w:r>
      <w:r w:rsidRPr="003A53BC">
        <w:rPr>
          <w:rFonts w:ascii="Arial" w:hAnsi="Arial" w:cs="Arial"/>
          <w:sz w:val="22"/>
          <w:szCs w:val="22"/>
        </w:rPr>
        <w:t>ukončení realizace</w:t>
      </w:r>
      <w:r w:rsidR="000465C4" w:rsidRPr="003A53BC">
        <w:rPr>
          <w:rFonts w:ascii="Arial" w:hAnsi="Arial" w:cs="Arial"/>
          <w:sz w:val="22"/>
          <w:szCs w:val="22"/>
        </w:rPr>
        <w:t xml:space="preserve"> projektu</w:t>
      </w:r>
      <w:r w:rsidR="005325EF" w:rsidRPr="00983696">
        <w:rPr>
          <w:rFonts w:ascii="Arial" w:hAnsi="Arial" w:cs="Arial"/>
          <w:sz w:val="22"/>
          <w:szCs w:val="22"/>
        </w:rPr>
        <w:t xml:space="preserve">. </w:t>
      </w:r>
      <w:r w:rsidR="008E4F0B" w:rsidRPr="0098369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983696">
        <w:rPr>
          <w:rFonts w:ascii="Arial" w:hAnsi="Arial" w:cs="Arial"/>
          <w:sz w:val="22"/>
          <w:szCs w:val="22"/>
        </w:rPr>
        <w:t> </w:t>
      </w:r>
      <w:r w:rsidR="008E4F0B" w:rsidRPr="0098369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3A53BC">
        <w:rPr>
          <w:rFonts w:ascii="Arial" w:hAnsi="Arial" w:cs="Arial"/>
          <w:sz w:val="22"/>
          <w:szCs w:val="22"/>
        </w:rPr>
        <w:t xml:space="preserve">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10B27B3C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98557C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05DA681A" w:rsidR="008A2193" w:rsidRDefault="00EB44C4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kde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</w:t>
      </w:r>
      <w:r w:rsidR="004369B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základě přílohy </w:t>
      </w:r>
      <w:r w:rsidR="00983696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bude i dosažená stanovena touto metodou </w:t>
      </w:r>
      <w:r w:rsidR="005325EF">
        <w:rPr>
          <w:rFonts w:ascii="Arial" w:hAnsi="Arial" w:cs="Arial"/>
          <w:sz w:val="22"/>
          <w:szCs w:val="22"/>
        </w:rPr>
        <w:t>a bude se jí vždy rovnat. V případech</w:t>
      </w:r>
      <w:r>
        <w:rPr>
          <w:rFonts w:ascii="Arial" w:hAnsi="Arial" w:cs="Arial"/>
          <w:sz w:val="22"/>
          <w:szCs w:val="22"/>
        </w:rPr>
        <w:t xml:space="preserve">, kdy žadatel/příjemce přistoupil k výpočtu na základě vlastní metody, musí použít totožný způsob i pro výpočet dosažené hodnoty a vykázat </w:t>
      </w:r>
      <w:r w:rsidR="004369B5">
        <w:rPr>
          <w:rFonts w:ascii="Arial" w:hAnsi="Arial" w:cs="Arial"/>
          <w:sz w:val="22"/>
          <w:szCs w:val="22"/>
        </w:rPr>
        <w:t>j</w:t>
      </w:r>
      <w:r w:rsidR="002435A6">
        <w:rPr>
          <w:rFonts w:ascii="Arial" w:hAnsi="Arial" w:cs="Arial"/>
          <w:sz w:val="22"/>
          <w:szCs w:val="22"/>
        </w:rPr>
        <w:t>i</w:t>
      </w:r>
      <w:r w:rsidR="004369B5">
        <w:rPr>
          <w:rFonts w:ascii="Arial" w:hAnsi="Arial" w:cs="Arial"/>
          <w:sz w:val="22"/>
          <w:szCs w:val="22"/>
        </w:rPr>
        <w:t>.</w:t>
      </w:r>
    </w:p>
    <w:p w14:paraId="4011E333" w14:textId="26D869B1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</w:t>
      </w:r>
      <w:r w:rsidR="0034309E">
        <w:rPr>
          <w:rFonts w:ascii="Arial" w:hAnsi="Arial" w:cs="Arial"/>
          <w:sz w:val="22"/>
          <w:szCs w:val="22"/>
        </w:rPr>
        <w:t xml:space="preserve"> do </w:t>
      </w:r>
      <w:r w:rsidR="008D6A5D">
        <w:rPr>
          <w:rFonts w:ascii="Arial" w:hAnsi="Arial" w:cs="Arial"/>
          <w:sz w:val="22"/>
          <w:szCs w:val="22"/>
        </w:rPr>
        <w:t>1</w:t>
      </w:r>
      <w:r w:rsidR="0034309E">
        <w:rPr>
          <w:rFonts w:ascii="Arial" w:hAnsi="Arial" w:cs="Arial"/>
          <w:sz w:val="22"/>
          <w:szCs w:val="22"/>
        </w:rPr>
        <w:t>0</w:t>
      </w:r>
      <w:r w:rsidR="008D6A5D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%</w:t>
      </w:r>
      <w:r w:rsidR="005325EF">
        <w:rPr>
          <w:rFonts w:ascii="Arial" w:hAnsi="Arial" w:cs="Arial"/>
          <w:sz w:val="22"/>
          <w:szCs w:val="22"/>
        </w:rPr>
        <w:t xml:space="preserve"> 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0F0D4C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0F0D4C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3A53BC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4911DE47" w14:textId="20FCD18B" w:rsidR="007A3276" w:rsidRPr="003A53BC" w:rsidRDefault="00CC3446" w:rsidP="002435A6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3A53BC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3A53BC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3A53BC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A53BC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0F0D4C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40F83D80" w:rsidR="007A3276" w:rsidRPr="003A53BC" w:rsidRDefault="008D6A5D" w:rsidP="003A53B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V případě, kdy fluktuace počtu obyvatel překročí 10 % a příjemce nezvolil metodu dokládání krycím listem, doloží příjemce znovu vlastní výpočet </w:t>
            </w:r>
          </w:p>
        </w:tc>
      </w:tr>
    </w:tbl>
    <w:p w14:paraId="4B297C5A" w14:textId="3745E083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690293" w:rsidRPr="003A53BC">
        <w:rPr>
          <w:rFonts w:ascii="Arial" w:hAnsi="Arial" w:cs="Arial"/>
          <w:sz w:val="22"/>
          <w:szCs w:val="22"/>
        </w:rPr>
        <w:t>relevantní</w:t>
      </w:r>
      <w:r w:rsidR="00690293" w:rsidRPr="000F0D4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</w:t>
      </w:r>
      <w:r w:rsidR="00441B57" w:rsidRPr="000F0D4C">
        <w:rPr>
          <w:rFonts w:ascii="Arial" w:hAnsi="Arial" w:cs="Arial"/>
          <w:sz w:val="22"/>
          <w:szCs w:val="22"/>
        </w:rPr>
        <w:t xml:space="preserve"> </w:t>
      </w:r>
      <w:r w:rsidR="008E4F0B" w:rsidRPr="000F0D4C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000F0D4C">
        <w:rPr>
          <w:rFonts w:ascii="Arial" w:hAnsi="Arial" w:cs="Arial"/>
          <w:sz w:val="22"/>
          <w:szCs w:val="22"/>
        </w:rPr>
        <w:t xml:space="preserve">projektu </w:t>
      </w:r>
      <w:r w:rsidR="008E4F0B" w:rsidRPr="000F0D4C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000F0D4C">
        <w:rPr>
          <w:rFonts w:ascii="Arial" w:hAnsi="Arial" w:cs="Arial"/>
          <w:sz w:val="22"/>
          <w:szCs w:val="22"/>
        </w:rPr>
        <w:t xml:space="preserve">dosažená </w:t>
      </w:r>
      <w:r w:rsidR="008E4F0B" w:rsidRPr="000F0D4C">
        <w:rPr>
          <w:rFonts w:ascii="Arial" w:hAnsi="Arial" w:cs="Arial"/>
          <w:sz w:val="22"/>
          <w:szCs w:val="22"/>
        </w:rPr>
        <w:t>hodnota, včetně data, od kterého platí. Zároveň budou opětovně</w:t>
      </w:r>
      <w:r w:rsidR="008E4F0B" w:rsidRPr="008E4F0B">
        <w:rPr>
          <w:rFonts w:ascii="Arial" w:hAnsi="Arial" w:cs="Arial"/>
          <w:sz w:val="22"/>
          <w:szCs w:val="22"/>
        </w:rPr>
        <w:t xml:space="preserve">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32B8080D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A04559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594A079C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98557C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3A53BC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>k </w:t>
      </w:r>
      <w:r w:rsidR="00663903" w:rsidRPr="003A53BC">
        <w:rPr>
          <w:rFonts w:ascii="Arial" w:hAnsi="Arial" w:cs="Arial"/>
          <w:sz w:val="22"/>
          <w:szCs w:val="22"/>
        </w:rPr>
        <w:t xml:space="preserve">Rozhodnému datu </w:t>
      </w:r>
      <w:r w:rsidR="00FE118B" w:rsidRPr="003A53BC">
        <w:rPr>
          <w:rFonts w:ascii="Arial" w:hAnsi="Arial" w:cs="Arial"/>
          <w:sz w:val="22"/>
          <w:szCs w:val="22"/>
        </w:rPr>
        <w:t>pod stanovenou tolerancí, bude postupováno dle Podmínek Právního aktu / Rozhodnutí, které</w:t>
      </w:r>
      <w:r w:rsidR="007A7B31" w:rsidRPr="003A53BC">
        <w:rPr>
          <w:rFonts w:ascii="Arial" w:hAnsi="Arial" w:cs="Arial"/>
          <w:sz w:val="22"/>
          <w:szCs w:val="22"/>
        </w:rPr>
        <w:t xml:space="preserve"> stanoví</w:t>
      </w:r>
      <w:r w:rsidR="00FE118B" w:rsidRPr="003A53BC">
        <w:rPr>
          <w:rFonts w:ascii="Arial" w:hAnsi="Arial" w:cs="Arial"/>
          <w:sz w:val="22"/>
          <w:szCs w:val="22"/>
        </w:rPr>
        <w:t xml:space="preserve"> konkrétní výš</w:t>
      </w:r>
      <w:r w:rsidR="007A7B31" w:rsidRPr="003A53BC">
        <w:rPr>
          <w:rFonts w:ascii="Arial" w:hAnsi="Arial" w:cs="Arial"/>
          <w:sz w:val="22"/>
          <w:szCs w:val="22"/>
        </w:rPr>
        <w:t>i</w:t>
      </w:r>
      <w:r w:rsidR="00FE118B" w:rsidRPr="003A53BC">
        <w:rPr>
          <w:rFonts w:ascii="Arial" w:hAnsi="Arial" w:cs="Arial"/>
          <w:sz w:val="22"/>
          <w:szCs w:val="22"/>
        </w:rPr>
        <w:t xml:space="preserve"> a typ sankce</w:t>
      </w:r>
      <w:r w:rsidR="00083E57" w:rsidRPr="003A53BC">
        <w:rPr>
          <w:rFonts w:ascii="Arial" w:hAnsi="Arial" w:cs="Arial"/>
          <w:sz w:val="22"/>
          <w:szCs w:val="22"/>
        </w:rPr>
        <w:t xml:space="preserve"> </w:t>
      </w:r>
      <w:r w:rsidR="00FE118B" w:rsidRPr="003A53BC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 xml:space="preserve">V době udržitelnosti již </w:t>
      </w:r>
      <w:r w:rsidRPr="003A53BC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3A53BC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3A53BC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3A53BC"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Pokud bude</w:t>
      </w:r>
      <w:r w:rsidR="00CD7FF3" w:rsidRPr="003A53BC">
        <w:rPr>
          <w:rFonts w:ascii="Arial" w:hAnsi="Arial" w:cs="Arial"/>
          <w:sz w:val="22"/>
          <w:szCs w:val="22"/>
        </w:rPr>
        <w:t xml:space="preserve"> </w:t>
      </w:r>
      <w:r w:rsidRPr="003A53BC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3A53BC">
        <w:rPr>
          <w:rFonts w:ascii="Arial" w:hAnsi="Arial" w:cs="Arial"/>
          <w:sz w:val="22"/>
          <w:szCs w:val="22"/>
        </w:rPr>
        <w:t xml:space="preserve">(po Rozhodném datu) </w:t>
      </w:r>
      <w:r w:rsidRPr="003A53BC">
        <w:rPr>
          <w:rFonts w:ascii="Arial" w:hAnsi="Arial" w:cs="Arial"/>
          <w:sz w:val="22"/>
          <w:szCs w:val="22"/>
        </w:rPr>
        <w:t>vykázaná dosažená hodnota pod stanovenou tolerancí, bude postupováno dle Podmínek Právního aktu / Rozhodnutí, které stanoví konkrétní výš</w:t>
      </w:r>
      <w:r w:rsidR="0003252A" w:rsidRPr="003A53BC">
        <w:rPr>
          <w:rFonts w:ascii="Arial" w:hAnsi="Arial" w:cs="Arial"/>
          <w:sz w:val="22"/>
          <w:szCs w:val="22"/>
        </w:rPr>
        <w:t>i</w:t>
      </w:r>
      <w:r w:rsidRPr="003A53BC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3A53BC">
        <w:rPr>
          <w:rFonts w:ascii="Arial" w:hAnsi="Arial" w:cs="Arial"/>
          <w:sz w:val="22"/>
          <w:szCs w:val="22"/>
        </w:rPr>
        <w:t>udržení</w:t>
      </w:r>
      <w:r w:rsidRPr="003A53BC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3A53BC">
        <w:rPr>
          <w:rFonts w:ascii="Arial" w:hAnsi="Arial" w:cs="Arial"/>
          <w:sz w:val="22"/>
          <w:szCs w:val="22"/>
        </w:rPr>
        <w:t>,</w:t>
      </w:r>
      <w:r w:rsidRPr="003A53BC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4A1EB392" w:rsidR="00182442" w:rsidRPr="00115424" w:rsidRDefault="0084772A" w:rsidP="003A53BC">
      <w:pPr>
        <w:spacing w:line="360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119"/>
        <w:gridCol w:w="6195"/>
        <w:gridCol w:w="1134"/>
      </w:tblGrid>
      <w:tr w:rsidR="0083531C" w:rsidRPr="000465C4" w14:paraId="2253FF4F" w14:textId="77777777" w:rsidTr="003A53BC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3A53BC">
        <w:trPr>
          <w:trHeight w:val="64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660BC60B" w:rsidR="0083531C" w:rsidRPr="00115424" w:rsidRDefault="00115424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Zelená infrastruktura ve veřejném prostranství měst a obcí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64C1AACE" w14:textId="77777777" w:rsidTr="003A53BC">
        <w:trPr>
          <w:trHeight w:val="8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7CF3DC6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Ano, v případě, že dochází k budování či obnově retenčních či akumulační nádrže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7438C721" w:rsidR="00796320" w:rsidRPr="00115424" w:rsidRDefault="00796320" w:rsidP="00796320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413C2F54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0FCE9288" w14:textId="77777777" w:rsidTr="003A53BC">
        <w:trPr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72FFFF50" w:rsidR="00796320" w:rsidRPr="00115424" w:rsidRDefault="00796320" w:rsidP="0079632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1F293D3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321DF7EB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77777777" w:rsidR="0084772A" w:rsidRP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4C866337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81413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Pr="00781413" w:rsidRDefault="00115424" w:rsidP="00115424">
      <w:pPr>
        <w:pStyle w:val="Textpoznpodarou"/>
        <w:rPr>
          <w:rFonts w:ascii="Arial" w:hAnsi="Arial" w:cs="Arial"/>
        </w:rPr>
      </w:pPr>
      <w:r w:rsidRPr="00781413">
        <w:rPr>
          <w:rStyle w:val="Znakapoznpodarou"/>
          <w:rFonts w:ascii="Arial" w:hAnsi="Arial" w:cs="Arial"/>
        </w:rPr>
        <w:footnoteRef/>
      </w:r>
      <w:r w:rsidRPr="00781413">
        <w:rPr>
          <w:rFonts w:ascii="Arial" w:hAnsi="Arial" w:cs="Arial"/>
        </w:rPr>
        <w:t xml:space="preserve"> 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Pr="00781413" w:rsidRDefault="00AF3D0A">
      <w:pPr>
        <w:pStyle w:val="Textpoznpodarou"/>
        <w:rPr>
          <w:rFonts w:ascii="Arial" w:hAnsi="Arial" w:cs="Arial"/>
        </w:rPr>
      </w:pPr>
      <w:r w:rsidRPr="00781413">
        <w:rPr>
          <w:rStyle w:val="Znakapoznpodarou"/>
          <w:rFonts w:ascii="Arial" w:hAnsi="Arial" w:cs="Arial"/>
        </w:rPr>
        <w:footnoteRef/>
      </w:r>
      <w:r w:rsidRPr="00781413">
        <w:rPr>
          <w:rFonts w:ascii="Arial" w:hAnsi="Arial" w:cs="Arial"/>
        </w:rPr>
        <w:t xml:space="preserve"> </w:t>
      </w:r>
      <w:r w:rsidR="008E4F0B" w:rsidRPr="00781413">
        <w:rPr>
          <w:rFonts w:ascii="Arial" w:hAnsi="Arial" w:cs="Arial"/>
        </w:rPr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32320">
    <w:abstractNumId w:val="12"/>
  </w:num>
  <w:num w:numId="2" w16cid:durableId="740756933">
    <w:abstractNumId w:val="13"/>
  </w:num>
  <w:num w:numId="3" w16cid:durableId="453864845">
    <w:abstractNumId w:val="17"/>
  </w:num>
  <w:num w:numId="4" w16cid:durableId="980691320">
    <w:abstractNumId w:val="33"/>
  </w:num>
  <w:num w:numId="5" w16cid:durableId="1082526192">
    <w:abstractNumId w:val="7"/>
  </w:num>
  <w:num w:numId="6" w16cid:durableId="804347325">
    <w:abstractNumId w:val="28"/>
  </w:num>
  <w:num w:numId="7" w16cid:durableId="4527636">
    <w:abstractNumId w:val="9"/>
  </w:num>
  <w:num w:numId="8" w16cid:durableId="667370946">
    <w:abstractNumId w:val="10"/>
  </w:num>
  <w:num w:numId="9" w16cid:durableId="245530239">
    <w:abstractNumId w:val="20"/>
  </w:num>
  <w:num w:numId="10" w16cid:durableId="1768042146">
    <w:abstractNumId w:val="5"/>
  </w:num>
  <w:num w:numId="11" w16cid:durableId="1052385616">
    <w:abstractNumId w:val="34"/>
  </w:num>
  <w:num w:numId="12" w16cid:durableId="872890370">
    <w:abstractNumId w:val="25"/>
  </w:num>
  <w:num w:numId="13" w16cid:durableId="1211528020">
    <w:abstractNumId w:val="9"/>
    <w:lvlOverride w:ilvl="0">
      <w:startOverride w:val="1"/>
    </w:lvlOverride>
  </w:num>
  <w:num w:numId="14" w16cid:durableId="87427743">
    <w:abstractNumId w:val="29"/>
  </w:num>
  <w:num w:numId="15" w16cid:durableId="1122965503">
    <w:abstractNumId w:val="2"/>
  </w:num>
  <w:num w:numId="16" w16cid:durableId="1505437432">
    <w:abstractNumId w:val="15"/>
  </w:num>
  <w:num w:numId="17" w16cid:durableId="994602967">
    <w:abstractNumId w:val="14"/>
  </w:num>
  <w:num w:numId="18" w16cid:durableId="588543281">
    <w:abstractNumId w:val="35"/>
  </w:num>
  <w:num w:numId="19" w16cid:durableId="1336376929">
    <w:abstractNumId w:val="8"/>
  </w:num>
  <w:num w:numId="20" w16cid:durableId="329677594">
    <w:abstractNumId w:val="32"/>
  </w:num>
  <w:num w:numId="21" w16cid:durableId="996104761">
    <w:abstractNumId w:val="31"/>
  </w:num>
  <w:num w:numId="22" w16cid:durableId="925656133">
    <w:abstractNumId w:val="6"/>
  </w:num>
  <w:num w:numId="23" w16cid:durableId="425541057">
    <w:abstractNumId w:val="24"/>
  </w:num>
  <w:num w:numId="24" w16cid:durableId="735053899">
    <w:abstractNumId w:val="27"/>
  </w:num>
  <w:num w:numId="25" w16cid:durableId="33166762">
    <w:abstractNumId w:val="0"/>
  </w:num>
  <w:num w:numId="26" w16cid:durableId="1200901976">
    <w:abstractNumId w:val="16"/>
  </w:num>
  <w:num w:numId="27" w16cid:durableId="1879274361">
    <w:abstractNumId w:val="26"/>
  </w:num>
  <w:num w:numId="28" w16cid:durableId="344941859">
    <w:abstractNumId w:val="30"/>
  </w:num>
  <w:num w:numId="29" w16cid:durableId="1079139053">
    <w:abstractNumId w:val="11"/>
  </w:num>
  <w:num w:numId="30" w16cid:durableId="1128014823">
    <w:abstractNumId w:val="19"/>
  </w:num>
  <w:num w:numId="31" w16cid:durableId="1609506197">
    <w:abstractNumId w:val="22"/>
  </w:num>
  <w:num w:numId="32" w16cid:durableId="572157953">
    <w:abstractNumId w:val="1"/>
  </w:num>
  <w:num w:numId="33" w16cid:durableId="528222908">
    <w:abstractNumId w:val="36"/>
  </w:num>
  <w:num w:numId="34" w16cid:durableId="1373504035">
    <w:abstractNumId w:val="23"/>
  </w:num>
  <w:num w:numId="35" w16cid:durableId="1467896453">
    <w:abstractNumId w:val="3"/>
  </w:num>
  <w:num w:numId="36" w16cid:durableId="290864030">
    <w:abstractNumId w:val="18"/>
  </w:num>
  <w:num w:numId="37" w16cid:durableId="2136674550">
    <w:abstractNumId w:val="21"/>
  </w:num>
  <w:num w:numId="38" w16cid:durableId="174005162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hlíková Renata">
    <w15:presenceInfo w15:providerId="AD" w15:userId="S::renata.uhlikova@mmr.cz::34c833bf-28df-4fdb-8d60-4570555cb7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trackRevisions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074D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81A3F"/>
    <w:rsid w:val="00082647"/>
    <w:rsid w:val="00083E57"/>
    <w:rsid w:val="00093BFD"/>
    <w:rsid w:val="000A5632"/>
    <w:rsid w:val="000C6615"/>
    <w:rsid w:val="000C6DE6"/>
    <w:rsid w:val="000F0D4C"/>
    <w:rsid w:val="000F5EA5"/>
    <w:rsid w:val="000F75B7"/>
    <w:rsid w:val="00107F75"/>
    <w:rsid w:val="0011494F"/>
    <w:rsid w:val="00115424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0B3"/>
    <w:rsid w:val="001C37DF"/>
    <w:rsid w:val="001C7076"/>
    <w:rsid w:val="001D5B33"/>
    <w:rsid w:val="001E0FF2"/>
    <w:rsid w:val="001E18AA"/>
    <w:rsid w:val="001E60CB"/>
    <w:rsid w:val="00200F1E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435A6"/>
    <w:rsid w:val="0025243F"/>
    <w:rsid w:val="00252F0C"/>
    <w:rsid w:val="00255525"/>
    <w:rsid w:val="002748BB"/>
    <w:rsid w:val="00274C37"/>
    <w:rsid w:val="0028633C"/>
    <w:rsid w:val="00286C01"/>
    <w:rsid w:val="00291A5A"/>
    <w:rsid w:val="002978F6"/>
    <w:rsid w:val="00297F42"/>
    <w:rsid w:val="002A2B1B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7EA"/>
    <w:rsid w:val="002D69E2"/>
    <w:rsid w:val="003016CD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309E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53BC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1176"/>
    <w:rsid w:val="003F5585"/>
    <w:rsid w:val="0040551A"/>
    <w:rsid w:val="004207DC"/>
    <w:rsid w:val="00424C7B"/>
    <w:rsid w:val="004369B5"/>
    <w:rsid w:val="00441B57"/>
    <w:rsid w:val="00442137"/>
    <w:rsid w:val="00443F6D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7231"/>
    <w:rsid w:val="004B1AC3"/>
    <w:rsid w:val="004B4F0D"/>
    <w:rsid w:val="004B4F6A"/>
    <w:rsid w:val="004C1F8F"/>
    <w:rsid w:val="004D00FC"/>
    <w:rsid w:val="004D3056"/>
    <w:rsid w:val="004D3AE7"/>
    <w:rsid w:val="004E1B06"/>
    <w:rsid w:val="004F104D"/>
    <w:rsid w:val="00501F82"/>
    <w:rsid w:val="0050415A"/>
    <w:rsid w:val="005211DB"/>
    <w:rsid w:val="00526EDC"/>
    <w:rsid w:val="005325EF"/>
    <w:rsid w:val="00556F14"/>
    <w:rsid w:val="0056072C"/>
    <w:rsid w:val="005608C1"/>
    <w:rsid w:val="0057096B"/>
    <w:rsid w:val="0057432E"/>
    <w:rsid w:val="00585341"/>
    <w:rsid w:val="0058705B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5878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28B6"/>
    <w:rsid w:val="00672F0F"/>
    <w:rsid w:val="006762E0"/>
    <w:rsid w:val="0067736D"/>
    <w:rsid w:val="006803CD"/>
    <w:rsid w:val="00690293"/>
    <w:rsid w:val="0069066C"/>
    <w:rsid w:val="0069719B"/>
    <w:rsid w:val="006A13FA"/>
    <w:rsid w:val="006A4A02"/>
    <w:rsid w:val="006D05CD"/>
    <w:rsid w:val="006D69C4"/>
    <w:rsid w:val="006E5C82"/>
    <w:rsid w:val="006E72F1"/>
    <w:rsid w:val="006F35E9"/>
    <w:rsid w:val="006F6BC2"/>
    <w:rsid w:val="00702E52"/>
    <w:rsid w:val="00703ACE"/>
    <w:rsid w:val="00705451"/>
    <w:rsid w:val="00714EBA"/>
    <w:rsid w:val="00722201"/>
    <w:rsid w:val="00723481"/>
    <w:rsid w:val="00724B5B"/>
    <w:rsid w:val="0073208B"/>
    <w:rsid w:val="00733BEF"/>
    <w:rsid w:val="0074098A"/>
    <w:rsid w:val="00741962"/>
    <w:rsid w:val="00760009"/>
    <w:rsid w:val="0076431E"/>
    <w:rsid w:val="0077797D"/>
    <w:rsid w:val="00781413"/>
    <w:rsid w:val="00784C08"/>
    <w:rsid w:val="007852CE"/>
    <w:rsid w:val="0078659D"/>
    <w:rsid w:val="00787C15"/>
    <w:rsid w:val="00796320"/>
    <w:rsid w:val="007A3276"/>
    <w:rsid w:val="007A77B8"/>
    <w:rsid w:val="007A7B31"/>
    <w:rsid w:val="007B244F"/>
    <w:rsid w:val="007B33E1"/>
    <w:rsid w:val="007C0AB0"/>
    <w:rsid w:val="007C0ABF"/>
    <w:rsid w:val="007D2C30"/>
    <w:rsid w:val="007D5110"/>
    <w:rsid w:val="007D6374"/>
    <w:rsid w:val="007E0B08"/>
    <w:rsid w:val="007E448D"/>
    <w:rsid w:val="007E55BB"/>
    <w:rsid w:val="007F0494"/>
    <w:rsid w:val="0080289A"/>
    <w:rsid w:val="0080523B"/>
    <w:rsid w:val="00820E4A"/>
    <w:rsid w:val="00822000"/>
    <w:rsid w:val="00823737"/>
    <w:rsid w:val="00824E66"/>
    <w:rsid w:val="00833BB4"/>
    <w:rsid w:val="0083531C"/>
    <w:rsid w:val="00836F3A"/>
    <w:rsid w:val="0084303E"/>
    <w:rsid w:val="00844F3C"/>
    <w:rsid w:val="0084772A"/>
    <w:rsid w:val="008479AA"/>
    <w:rsid w:val="00855284"/>
    <w:rsid w:val="0085781F"/>
    <w:rsid w:val="008619E4"/>
    <w:rsid w:val="00863444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D6A5D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81FE0"/>
    <w:rsid w:val="00983696"/>
    <w:rsid w:val="0098557C"/>
    <w:rsid w:val="00991CCA"/>
    <w:rsid w:val="009931A3"/>
    <w:rsid w:val="009954D4"/>
    <w:rsid w:val="009A08B2"/>
    <w:rsid w:val="009A4CBD"/>
    <w:rsid w:val="009A761A"/>
    <w:rsid w:val="009B083D"/>
    <w:rsid w:val="009B33AF"/>
    <w:rsid w:val="009B3D56"/>
    <w:rsid w:val="009C51B5"/>
    <w:rsid w:val="009D5E0D"/>
    <w:rsid w:val="009D6486"/>
    <w:rsid w:val="009E0B15"/>
    <w:rsid w:val="009E41E7"/>
    <w:rsid w:val="009E4F57"/>
    <w:rsid w:val="009F24C6"/>
    <w:rsid w:val="009F6F63"/>
    <w:rsid w:val="00A04559"/>
    <w:rsid w:val="00A06D8D"/>
    <w:rsid w:val="00A16700"/>
    <w:rsid w:val="00A17EDE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266C0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4843"/>
    <w:rsid w:val="00BB63A7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5696"/>
    <w:rsid w:val="00C87A08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44379"/>
    <w:rsid w:val="00D44A57"/>
    <w:rsid w:val="00D528AA"/>
    <w:rsid w:val="00D56797"/>
    <w:rsid w:val="00D57991"/>
    <w:rsid w:val="00D64A25"/>
    <w:rsid w:val="00D73EC3"/>
    <w:rsid w:val="00D77E91"/>
    <w:rsid w:val="00D81522"/>
    <w:rsid w:val="00D85674"/>
    <w:rsid w:val="00D874FA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2C1B"/>
    <w:rsid w:val="00DC7E7A"/>
    <w:rsid w:val="00DD1486"/>
    <w:rsid w:val="00DD66DA"/>
    <w:rsid w:val="00DD760C"/>
    <w:rsid w:val="00DE2001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1F04"/>
    <w:rsid w:val="00E42C6C"/>
    <w:rsid w:val="00E478A4"/>
    <w:rsid w:val="00E5115F"/>
    <w:rsid w:val="00E60B8D"/>
    <w:rsid w:val="00E616B5"/>
    <w:rsid w:val="00E65C9F"/>
    <w:rsid w:val="00E70D8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24AC"/>
    <w:rsid w:val="00EB4303"/>
    <w:rsid w:val="00EB44C4"/>
    <w:rsid w:val="00EC190D"/>
    <w:rsid w:val="00EC1BD9"/>
    <w:rsid w:val="00EC29D7"/>
    <w:rsid w:val="00EC642B"/>
    <w:rsid w:val="00ED67B5"/>
    <w:rsid w:val="00EF32DE"/>
    <w:rsid w:val="00F018D2"/>
    <w:rsid w:val="00F02008"/>
    <w:rsid w:val="00F11638"/>
    <w:rsid w:val="00F11683"/>
    <w:rsid w:val="00F2208F"/>
    <w:rsid w:val="00F227C5"/>
    <w:rsid w:val="00F24231"/>
    <w:rsid w:val="00F31DE6"/>
    <w:rsid w:val="00F31F10"/>
    <w:rsid w:val="00F33CAB"/>
    <w:rsid w:val="00F434B3"/>
    <w:rsid w:val="00F45CCF"/>
    <w:rsid w:val="00F63713"/>
    <w:rsid w:val="00F66A88"/>
    <w:rsid w:val="00F7004E"/>
    <w:rsid w:val="00F70BB4"/>
    <w:rsid w:val="00F713ED"/>
    <w:rsid w:val="00F805D6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3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058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430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s.cuzk.cz/geoprohlizec/?id=dd198663b00f41baa06193b058856515_66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9CEC14-4373-4B31-82D7-013BDA19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9</Pages>
  <Words>2455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Uhlíková Renata</cp:lastModifiedBy>
  <cp:revision>41</cp:revision>
  <dcterms:created xsi:type="dcterms:W3CDTF">2022-11-23T10:32:00Z</dcterms:created>
  <dcterms:modified xsi:type="dcterms:W3CDTF">2025-03-24T10:00:00Z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