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Pr="00E76766" w:rsidRDefault="00B677D5" w:rsidP="00E76766">
      <w:pPr>
        <w:spacing w:after="0"/>
        <w:jc w:val="both"/>
        <w:rPr>
          <w:rFonts w:ascii="Arial" w:hAnsi="Arial" w:cs="Arial"/>
          <w:caps/>
          <w:sz w:val="20"/>
          <w:szCs w:val="20"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192B1A76" w:rsidR="008C64CA" w:rsidRDefault="008C64CA" w:rsidP="00E76766">
      <w:pPr>
        <w:pStyle w:val="Zkladnodstavec"/>
        <w:spacing w:before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963410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9</w:t>
      </w:r>
    </w:p>
    <w:p w14:paraId="0D517C2D" w14:textId="0D5D41BA" w:rsidR="008C64CA" w:rsidRPr="00BE4B19" w:rsidRDefault="00963410" w:rsidP="008C64CA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Metodická pomůcka pro způsob doložení plnění energetických ukazatelů u provozních budov</w:t>
      </w:r>
    </w:p>
    <w:p w14:paraId="7B7ED776" w14:textId="77777777" w:rsidR="007C6C5A" w:rsidRDefault="007C6C5A" w:rsidP="00155465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</w:p>
    <w:p w14:paraId="270A0AD5" w14:textId="72AF95DB" w:rsidR="002D170A" w:rsidRPr="00E76766" w:rsidRDefault="007C6C5A" w:rsidP="00155465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74</w:t>
      </w:r>
      <w:r w:rsidR="002D170A" w:rsidRPr="00E76766">
        <w:rPr>
          <w:rFonts w:ascii="Arial" w:hAnsi="Arial" w:cs="Arial"/>
          <w:caps/>
          <w:sz w:val="36"/>
          <w:szCs w:val="36"/>
        </w:rPr>
        <w:t xml:space="preserve">. výzva irop </w:t>
      </w:r>
      <w:r w:rsidR="00222D93" w:rsidRPr="00E76766">
        <w:rPr>
          <w:rFonts w:ascii="Arial" w:hAnsi="Arial" w:cs="Arial"/>
          <w:caps/>
          <w:sz w:val="36"/>
          <w:szCs w:val="36"/>
        </w:rPr>
        <w:t>-</w:t>
      </w:r>
      <w:r w:rsidR="002D170A" w:rsidRPr="00E76766">
        <w:rPr>
          <w:rFonts w:ascii="Arial" w:hAnsi="Arial" w:cs="Arial"/>
          <w:caps/>
          <w:sz w:val="36"/>
          <w:szCs w:val="36"/>
        </w:rPr>
        <w:t xml:space="preserve"> </w:t>
      </w:r>
      <w:r w:rsidR="00222D93" w:rsidRPr="00E76766">
        <w:rPr>
          <w:rFonts w:ascii="Arial" w:hAnsi="Arial" w:cs="Arial"/>
          <w:caps/>
          <w:sz w:val="36"/>
          <w:szCs w:val="36"/>
        </w:rPr>
        <w:t>Multimodální osobní</w:t>
      </w:r>
      <w:r w:rsidR="00AC6D4A" w:rsidRPr="00E76766">
        <w:rPr>
          <w:rFonts w:ascii="Arial" w:hAnsi="Arial" w:cs="Arial"/>
          <w:caps/>
          <w:sz w:val="36"/>
          <w:szCs w:val="36"/>
        </w:rPr>
        <w:br/>
      </w:r>
      <w:r w:rsidR="00222D93" w:rsidRPr="00E76766">
        <w:rPr>
          <w:rFonts w:ascii="Arial" w:hAnsi="Arial" w:cs="Arial"/>
          <w:caps/>
          <w:sz w:val="36"/>
          <w:szCs w:val="36"/>
        </w:rPr>
        <w:t>doprava</w:t>
      </w:r>
      <w:r w:rsidR="002D170A" w:rsidRPr="00E76766">
        <w:rPr>
          <w:rFonts w:ascii="Arial" w:hAnsi="Arial" w:cs="Arial"/>
          <w:caps/>
          <w:sz w:val="36"/>
          <w:szCs w:val="36"/>
        </w:rPr>
        <w:t xml:space="preserve"> - SC </w:t>
      </w:r>
      <w:r w:rsidR="00222D93" w:rsidRPr="00E76766">
        <w:rPr>
          <w:rFonts w:ascii="Arial" w:hAnsi="Arial" w:cs="Arial"/>
          <w:caps/>
          <w:sz w:val="36"/>
          <w:szCs w:val="36"/>
        </w:rPr>
        <w:t>6</w:t>
      </w:r>
      <w:r w:rsidR="002D170A" w:rsidRPr="00E76766">
        <w:rPr>
          <w:rFonts w:ascii="Arial" w:hAnsi="Arial" w:cs="Arial"/>
          <w:caps/>
          <w:sz w:val="36"/>
          <w:szCs w:val="36"/>
        </w:rPr>
        <w:t>.1 (</w:t>
      </w:r>
      <w:r>
        <w:rPr>
          <w:rFonts w:ascii="Arial" w:hAnsi="Arial" w:cs="Arial"/>
          <w:caps/>
          <w:sz w:val="36"/>
          <w:szCs w:val="36"/>
        </w:rPr>
        <w:t>ITI</w:t>
      </w:r>
      <w:r w:rsidR="002D170A" w:rsidRPr="00E76766">
        <w:rPr>
          <w:rFonts w:ascii="Arial" w:hAnsi="Arial" w:cs="Arial"/>
          <w:caps/>
          <w:sz w:val="36"/>
          <w:szCs w:val="36"/>
        </w:rPr>
        <w:t>)</w:t>
      </w:r>
    </w:p>
    <w:p w14:paraId="0402EE6F" w14:textId="77777777" w:rsidR="007C6C5A" w:rsidRDefault="007C6C5A" w:rsidP="008C64CA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23DFDC52" w14:textId="4C1CB2C4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66F1CC1B" w14:textId="60C28932" w:rsidR="00B16B1D" w:rsidRPr="00E76766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5699327" w:history="1">
            <w:r w:rsidR="00B16B1D" w:rsidRPr="00C64865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B16B1D" w:rsidRPr="00E76766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B16B1D" w:rsidRPr="00C64865">
              <w:rPr>
                <w:rStyle w:val="Hypertextovodkaz"/>
                <w:rFonts w:ascii="Arial" w:hAnsi="Arial" w:cs="Arial"/>
                <w:caps/>
                <w:noProof/>
              </w:rPr>
              <w:t>ÚVODní informace</w:t>
            </w:r>
            <w:r w:rsidR="00B16B1D" w:rsidRPr="00E76766">
              <w:rPr>
                <w:rFonts w:ascii="Arial" w:hAnsi="Arial" w:cs="Arial"/>
                <w:noProof/>
                <w:webHidden/>
              </w:rPr>
              <w:tab/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begin"/>
            </w:r>
            <w:r w:rsidR="00B16B1D" w:rsidRPr="00E76766">
              <w:rPr>
                <w:rFonts w:ascii="Arial" w:hAnsi="Arial" w:cs="Arial"/>
                <w:noProof/>
                <w:webHidden/>
              </w:rPr>
              <w:instrText xml:space="preserve"> PAGEREF _Toc125699327 \h </w:instrText>
            </w:r>
            <w:r w:rsidR="00B16B1D" w:rsidRPr="00E76766">
              <w:rPr>
                <w:rFonts w:ascii="Arial" w:hAnsi="Arial" w:cs="Arial"/>
                <w:noProof/>
                <w:webHidden/>
              </w:rPr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D31AF">
              <w:rPr>
                <w:rFonts w:ascii="Arial" w:hAnsi="Arial" w:cs="Arial"/>
                <w:noProof/>
                <w:webHidden/>
              </w:rPr>
              <w:t>3</w:t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5300A1D" w14:textId="65E1F985" w:rsidR="00B16B1D" w:rsidRPr="00E76766" w:rsidRDefault="00A902B2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5699328" w:history="1">
            <w:r w:rsidR="00B16B1D" w:rsidRPr="00C64865">
              <w:rPr>
                <w:rStyle w:val="Hypertextovodkaz"/>
                <w:rFonts w:ascii="Arial" w:hAnsi="Arial" w:cs="Arial"/>
                <w:caps/>
                <w:noProof/>
              </w:rPr>
              <w:t>1.1 ROZDĚLENÍ STAVEB NA NOVÉ BUDOVY, ZMĚNy DOKONČENých BUDOV A ZMĚNy DOKONČENých PAMÁTKOVĚ CHRÁNĚNých BUDOV</w:t>
            </w:r>
            <w:r w:rsidR="00B16B1D" w:rsidRPr="00E76766">
              <w:rPr>
                <w:rFonts w:ascii="Arial" w:hAnsi="Arial" w:cs="Arial"/>
                <w:noProof/>
                <w:webHidden/>
              </w:rPr>
              <w:tab/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begin"/>
            </w:r>
            <w:r w:rsidR="00B16B1D" w:rsidRPr="00E76766">
              <w:rPr>
                <w:rFonts w:ascii="Arial" w:hAnsi="Arial" w:cs="Arial"/>
                <w:noProof/>
                <w:webHidden/>
              </w:rPr>
              <w:instrText xml:space="preserve"> PAGEREF _Toc125699328 \h </w:instrText>
            </w:r>
            <w:r w:rsidR="00B16B1D" w:rsidRPr="00E76766">
              <w:rPr>
                <w:rFonts w:ascii="Arial" w:hAnsi="Arial" w:cs="Arial"/>
                <w:noProof/>
                <w:webHidden/>
              </w:rPr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D31AF">
              <w:rPr>
                <w:rFonts w:ascii="Arial" w:hAnsi="Arial" w:cs="Arial"/>
                <w:noProof/>
                <w:webHidden/>
              </w:rPr>
              <w:t>3</w:t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F00E05C" w14:textId="05268D8D" w:rsidR="00B16B1D" w:rsidRPr="00E76766" w:rsidRDefault="00A902B2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5699329" w:history="1">
            <w:r w:rsidR="00B16B1D" w:rsidRPr="00C64865">
              <w:rPr>
                <w:rStyle w:val="Hypertextovodkaz"/>
                <w:rFonts w:ascii="Arial" w:hAnsi="Arial" w:cs="Arial"/>
                <w:caps/>
                <w:noProof/>
              </w:rPr>
              <w:t>1.2 ZPŮSOB ZPRACOVÁNÍ PRŮKAZU ENERGETICKÉ NÁROČNOSTI BUDOVy</w:t>
            </w:r>
            <w:r w:rsidR="00B16B1D" w:rsidRPr="00E76766">
              <w:rPr>
                <w:rFonts w:ascii="Arial" w:hAnsi="Arial" w:cs="Arial"/>
                <w:noProof/>
                <w:webHidden/>
              </w:rPr>
              <w:tab/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begin"/>
            </w:r>
            <w:r w:rsidR="00B16B1D" w:rsidRPr="00E76766">
              <w:rPr>
                <w:rFonts w:ascii="Arial" w:hAnsi="Arial" w:cs="Arial"/>
                <w:noProof/>
                <w:webHidden/>
              </w:rPr>
              <w:instrText xml:space="preserve"> PAGEREF _Toc125699329 \h </w:instrText>
            </w:r>
            <w:r w:rsidR="00B16B1D" w:rsidRPr="00E76766">
              <w:rPr>
                <w:rFonts w:ascii="Arial" w:hAnsi="Arial" w:cs="Arial"/>
                <w:noProof/>
                <w:webHidden/>
              </w:rPr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D31AF">
              <w:rPr>
                <w:rFonts w:ascii="Arial" w:hAnsi="Arial" w:cs="Arial"/>
                <w:noProof/>
                <w:webHidden/>
              </w:rPr>
              <w:t>3</w:t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FAC23DA" w14:textId="3952E781" w:rsidR="00B16B1D" w:rsidRPr="00E76766" w:rsidRDefault="00A902B2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5699330" w:history="1">
            <w:r w:rsidR="00B16B1D" w:rsidRPr="00C64865">
              <w:rPr>
                <w:rStyle w:val="Hypertextovodkaz"/>
                <w:rFonts w:ascii="Arial" w:hAnsi="Arial" w:cs="Arial"/>
                <w:caps/>
                <w:noProof/>
              </w:rPr>
              <w:t>1.3 NÁLEŽITOSTI PRŮKAZU ENERGETICKÉ NÁROČNOSTI BUDOVY V SOULADU S VYHLÁŠKOU Č. 264/2020 SB.</w:t>
            </w:r>
            <w:r w:rsidR="00B16B1D" w:rsidRPr="00E76766">
              <w:rPr>
                <w:rFonts w:ascii="Arial" w:hAnsi="Arial" w:cs="Arial"/>
                <w:noProof/>
                <w:webHidden/>
              </w:rPr>
              <w:tab/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begin"/>
            </w:r>
            <w:r w:rsidR="00B16B1D" w:rsidRPr="00E76766">
              <w:rPr>
                <w:rFonts w:ascii="Arial" w:hAnsi="Arial" w:cs="Arial"/>
                <w:noProof/>
                <w:webHidden/>
              </w:rPr>
              <w:instrText xml:space="preserve"> PAGEREF _Toc125699330 \h </w:instrText>
            </w:r>
            <w:r w:rsidR="00B16B1D" w:rsidRPr="00E76766">
              <w:rPr>
                <w:rFonts w:ascii="Arial" w:hAnsi="Arial" w:cs="Arial"/>
                <w:noProof/>
                <w:webHidden/>
              </w:rPr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D31AF">
              <w:rPr>
                <w:rFonts w:ascii="Arial" w:hAnsi="Arial" w:cs="Arial"/>
                <w:noProof/>
                <w:webHidden/>
              </w:rPr>
              <w:t>3</w:t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9E85AE7" w14:textId="4C2E4C9E" w:rsidR="00B16B1D" w:rsidRPr="00E76766" w:rsidRDefault="00A902B2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5699331" w:history="1">
            <w:r w:rsidR="00B16B1D" w:rsidRPr="00C64865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B16B1D" w:rsidRPr="00E76766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B16B1D" w:rsidRPr="00C64865">
              <w:rPr>
                <w:rStyle w:val="Hypertextovodkaz"/>
                <w:rFonts w:ascii="Arial" w:hAnsi="Arial" w:cs="Arial"/>
                <w:caps/>
                <w:noProof/>
              </w:rPr>
              <w:t>Změny dokončených budov</w:t>
            </w:r>
            <w:r w:rsidR="00B16B1D" w:rsidRPr="00E76766">
              <w:rPr>
                <w:rFonts w:ascii="Arial" w:hAnsi="Arial" w:cs="Arial"/>
                <w:noProof/>
                <w:webHidden/>
              </w:rPr>
              <w:tab/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begin"/>
            </w:r>
            <w:r w:rsidR="00B16B1D" w:rsidRPr="00E76766">
              <w:rPr>
                <w:rFonts w:ascii="Arial" w:hAnsi="Arial" w:cs="Arial"/>
                <w:noProof/>
                <w:webHidden/>
              </w:rPr>
              <w:instrText xml:space="preserve"> PAGEREF _Toc125699331 \h </w:instrText>
            </w:r>
            <w:r w:rsidR="00B16B1D" w:rsidRPr="00E76766">
              <w:rPr>
                <w:rFonts w:ascii="Arial" w:hAnsi="Arial" w:cs="Arial"/>
                <w:noProof/>
                <w:webHidden/>
              </w:rPr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D31AF">
              <w:rPr>
                <w:rFonts w:ascii="Arial" w:hAnsi="Arial" w:cs="Arial"/>
                <w:noProof/>
                <w:webHidden/>
              </w:rPr>
              <w:t>4</w:t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1F441AA" w14:textId="264116D7" w:rsidR="00B16B1D" w:rsidRPr="00E76766" w:rsidRDefault="00A902B2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5699332" w:history="1">
            <w:r w:rsidR="00B16B1D" w:rsidRPr="00C64865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B16B1D" w:rsidRPr="00E76766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B16B1D" w:rsidRPr="00C64865">
              <w:rPr>
                <w:rStyle w:val="Hypertextovodkaz"/>
                <w:rFonts w:ascii="Arial" w:hAnsi="Arial" w:cs="Arial"/>
                <w:caps/>
                <w:noProof/>
              </w:rPr>
              <w:t>Výstavba nových budov</w:t>
            </w:r>
            <w:r w:rsidR="00B16B1D" w:rsidRPr="00E76766">
              <w:rPr>
                <w:rFonts w:ascii="Arial" w:hAnsi="Arial" w:cs="Arial"/>
                <w:noProof/>
                <w:webHidden/>
              </w:rPr>
              <w:tab/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begin"/>
            </w:r>
            <w:r w:rsidR="00B16B1D" w:rsidRPr="00E76766">
              <w:rPr>
                <w:rFonts w:ascii="Arial" w:hAnsi="Arial" w:cs="Arial"/>
                <w:noProof/>
                <w:webHidden/>
              </w:rPr>
              <w:instrText xml:space="preserve"> PAGEREF _Toc125699332 \h </w:instrText>
            </w:r>
            <w:r w:rsidR="00B16B1D" w:rsidRPr="00E76766">
              <w:rPr>
                <w:rFonts w:ascii="Arial" w:hAnsi="Arial" w:cs="Arial"/>
                <w:noProof/>
                <w:webHidden/>
              </w:rPr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D31AF">
              <w:rPr>
                <w:rFonts w:ascii="Arial" w:hAnsi="Arial" w:cs="Arial"/>
                <w:noProof/>
                <w:webHidden/>
              </w:rPr>
              <w:t>5</w:t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287BFE4" w14:textId="25BC3D23" w:rsidR="00B16B1D" w:rsidRPr="00E76766" w:rsidRDefault="00A902B2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5699333" w:history="1">
            <w:r w:rsidR="00B16B1D" w:rsidRPr="00C64865">
              <w:rPr>
                <w:rStyle w:val="Hypertextovodkaz"/>
                <w:rFonts w:ascii="Arial" w:hAnsi="Arial" w:cs="Arial"/>
                <w:caps/>
                <w:noProof/>
              </w:rPr>
              <w:t>3.1 NOVÁ BUDOVA V PASIVNÍM ENERGETICKÉM STANDARDU (TÝKÁ SE I PŘÍSTAVEB A NÁSTAVEB)</w:t>
            </w:r>
            <w:r w:rsidR="00B16B1D" w:rsidRPr="00E76766">
              <w:rPr>
                <w:rFonts w:ascii="Arial" w:hAnsi="Arial" w:cs="Arial"/>
                <w:noProof/>
                <w:webHidden/>
              </w:rPr>
              <w:tab/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begin"/>
            </w:r>
            <w:r w:rsidR="00B16B1D" w:rsidRPr="00E76766">
              <w:rPr>
                <w:rFonts w:ascii="Arial" w:hAnsi="Arial" w:cs="Arial"/>
                <w:noProof/>
                <w:webHidden/>
              </w:rPr>
              <w:instrText xml:space="preserve"> PAGEREF _Toc125699333 \h </w:instrText>
            </w:r>
            <w:r w:rsidR="00B16B1D" w:rsidRPr="00E76766">
              <w:rPr>
                <w:rFonts w:ascii="Arial" w:hAnsi="Arial" w:cs="Arial"/>
                <w:noProof/>
                <w:webHidden/>
              </w:rPr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D31AF">
              <w:rPr>
                <w:rFonts w:ascii="Arial" w:hAnsi="Arial" w:cs="Arial"/>
                <w:noProof/>
                <w:webHidden/>
              </w:rPr>
              <w:t>6</w:t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CD98352" w14:textId="48929CA2" w:rsidR="00B16B1D" w:rsidRDefault="00A902B2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5699334" w:history="1">
            <w:r w:rsidR="00B16B1D" w:rsidRPr="00C64865">
              <w:rPr>
                <w:rStyle w:val="Hypertextovodkaz"/>
                <w:rFonts w:ascii="Arial" w:hAnsi="Arial" w:cs="Arial"/>
                <w:caps/>
                <w:noProof/>
              </w:rPr>
              <w:t>3.2 NOVÁ BUDOVA Ve vysokéM ENERGETICKÉM STANDARDU (TÝKÁ SE I PŘÍSTAVEB A NÁSTAVEB)</w:t>
            </w:r>
            <w:r w:rsidR="00B16B1D" w:rsidRPr="00E76766">
              <w:rPr>
                <w:rFonts w:ascii="Arial" w:hAnsi="Arial" w:cs="Arial"/>
                <w:noProof/>
                <w:webHidden/>
              </w:rPr>
              <w:tab/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begin"/>
            </w:r>
            <w:r w:rsidR="00B16B1D" w:rsidRPr="00E76766">
              <w:rPr>
                <w:rFonts w:ascii="Arial" w:hAnsi="Arial" w:cs="Arial"/>
                <w:noProof/>
                <w:webHidden/>
              </w:rPr>
              <w:instrText xml:space="preserve"> PAGEREF _Toc125699334 \h </w:instrText>
            </w:r>
            <w:r w:rsidR="00B16B1D" w:rsidRPr="00E76766">
              <w:rPr>
                <w:rFonts w:ascii="Arial" w:hAnsi="Arial" w:cs="Arial"/>
                <w:noProof/>
                <w:webHidden/>
              </w:rPr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D31AF">
              <w:rPr>
                <w:rFonts w:ascii="Arial" w:hAnsi="Arial" w:cs="Arial"/>
                <w:noProof/>
                <w:webHidden/>
              </w:rPr>
              <w:t>6</w:t>
            </w:r>
            <w:r w:rsidR="00B16B1D" w:rsidRPr="00E7676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7B7A04" w14:textId="0F8F8D13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4649AE7F" w:rsidR="00BE4B19" w:rsidRDefault="00FF75E8" w:rsidP="00BE4B1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r w:rsidRPr="002B5FF0">
        <w:rPr>
          <w:b w:val="0"/>
          <w:bCs w:val="0"/>
          <w:caps/>
        </w:rPr>
        <w:br w:type="page"/>
      </w:r>
      <w:bookmarkStart w:id="5" w:name="_Toc125699327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r w:rsidR="0065217B">
        <w:rPr>
          <w:rFonts w:ascii="Arial" w:hAnsi="Arial" w:cs="Arial"/>
          <w:caps/>
          <w:sz w:val="26"/>
          <w:szCs w:val="26"/>
        </w:rPr>
        <w:t>ní informace</w:t>
      </w:r>
      <w:bookmarkEnd w:id="5"/>
    </w:p>
    <w:p w14:paraId="658E87BD" w14:textId="137B2235" w:rsidR="0065217B" w:rsidRDefault="0065217B" w:rsidP="0065217B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6" w:name="_Toc125699328"/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65217B">
        <w:rPr>
          <w:rFonts w:ascii="Arial" w:hAnsi="Arial" w:cs="Arial"/>
          <w:caps/>
          <w:sz w:val="22"/>
          <w:szCs w:val="22"/>
        </w:rPr>
        <w:t>ROZDĚLENÍ STAVEB NA NOVÉ BUDOVY, ZMĚN</w:t>
      </w:r>
      <w:r>
        <w:rPr>
          <w:rFonts w:ascii="Arial" w:hAnsi="Arial" w:cs="Arial"/>
          <w:caps/>
          <w:sz w:val="22"/>
          <w:szCs w:val="22"/>
        </w:rPr>
        <w:t>y</w:t>
      </w:r>
      <w:r w:rsidRPr="0065217B">
        <w:rPr>
          <w:rFonts w:ascii="Arial" w:hAnsi="Arial" w:cs="Arial"/>
          <w:caps/>
          <w:sz w:val="22"/>
          <w:szCs w:val="22"/>
        </w:rPr>
        <w:t xml:space="preserve"> DOKONČEN</w:t>
      </w:r>
      <w:r>
        <w:rPr>
          <w:rFonts w:ascii="Arial" w:hAnsi="Arial" w:cs="Arial"/>
          <w:caps/>
          <w:sz w:val="22"/>
          <w:szCs w:val="22"/>
        </w:rPr>
        <w:t>ých</w:t>
      </w:r>
      <w:r w:rsidRPr="0065217B">
        <w:rPr>
          <w:rFonts w:ascii="Arial" w:hAnsi="Arial" w:cs="Arial"/>
          <w:caps/>
          <w:sz w:val="22"/>
          <w:szCs w:val="22"/>
        </w:rPr>
        <w:t xml:space="preserve"> BUDOV A ZMĚN</w:t>
      </w:r>
      <w:r>
        <w:rPr>
          <w:rFonts w:ascii="Arial" w:hAnsi="Arial" w:cs="Arial"/>
          <w:caps/>
          <w:sz w:val="22"/>
          <w:szCs w:val="22"/>
        </w:rPr>
        <w:t>y</w:t>
      </w:r>
      <w:r w:rsidRPr="0065217B">
        <w:rPr>
          <w:rFonts w:ascii="Arial" w:hAnsi="Arial" w:cs="Arial"/>
          <w:caps/>
          <w:sz w:val="22"/>
          <w:szCs w:val="22"/>
        </w:rPr>
        <w:t xml:space="preserve"> DOKONČEN</w:t>
      </w:r>
      <w:r>
        <w:rPr>
          <w:rFonts w:ascii="Arial" w:hAnsi="Arial" w:cs="Arial"/>
          <w:caps/>
          <w:sz w:val="22"/>
          <w:szCs w:val="22"/>
        </w:rPr>
        <w:t>ých</w:t>
      </w:r>
      <w:r w:rsidRPr="0065217B">
        <w:rPr>
          <w:rFonts w:ascii="Arial" w:hAnsi="Arial" w:cs="Arial"/>
          <w:caps/>
          <w:sz w:val="22"/>
          <w:szCs w:val="22"/>
        </w:rPr>
        <w:t xml:space="preserve"> PAMÁTKOVĚ CHRÁNĚN</w:t>
      </w:r>
      <w:r>
        <w:rPr>
          <w:rFonts w:ascii="Arial" w:hAnsi="Arial" w:cs="Arial"/>
          <w:caps/>
          <w:sz w:val="22"/>
          <w:szCs w:val="22"/>
        </w:rPr>
        <w:t>ých</w:t>
      </w:r>
      <w:r w:rsidRPr="0065217B">
        <w:rPr>
          <w:rFonts w:ascii="Arial" w:hAnsi="Arial" w:cs="Arial"/>
          <w:caps/>
          <w:sz w:val="22"/>
          <w:szCs w:val="22"/>
        </w:rPr>
        <w:t xml:space="preserve"> BUDOV</w:t>
      </w:r>
      <w:bookmarkEnd w:id="6"/>
    </w:p>
    <w:p w14:paraId="7737A7D6" w14:textId="60D75619" w:rsidR="00744FD3" w:rsidRDefault="0065217B" w:rsidP="00DF57EC">
      <w:pPr>
        <w:spacing w:before="120"/>
        <w:jc w:val="both"/>
        <w:rPr>
          <w:rFonts w:ascii="Arial" w:hAnsi="Arial" w:cs="Arial"/>
        </w:rPr>
      </w:pPr>
      <w:r w:rsidRPr="0065217B">
        <w:rPr>
          <w:rFonts w:ascii="Arial" w:hAnsi="Arial" w:cs="Arial"/>
        </w:rPr>
        <w:t>Rozdělení staveb na nové budovy a změny dokončených budov se posuzuje podle § 6, odst.</w:t>
      </w:r>
      <w:r w:rsidR="00A902B2">
        <w:rPr>
          <w:rFonts w:ascii="Arial" w:hAnsi="Arial" w:cs="Arial"/>
        </w:rPr>
        <w:t> </w:t>
      </w:r>
      <w:r w:rsidRPr="0065217B">
        <w:rPr>
          <w:rFonts w:ascii="Arial" w:hAnsi="Arial" w:cs="Arial"/>
        </w:rPr>
        <w:t>3 vyhlášky č. 264/2020 Sb., o energetické náročnosti budov</w:t>
      </w:r>
      <w:r w:rsidR="00D74283">
        <w:rPr>
          <w:rFonts w:ascii="Arial" w:hAnsi="Arial" w:cs="Arial"/>
        </w:rPr>
        <w:t>, ve znění pozdějších předpisů</w:t>
      </w:r>
      <w:r w:rsidRPr="0065217B">
        <w:rPr>
          <w:rFonts w:ascii="Arial" w:hAnsi="Arial" w:cs="Arial"/>
        </w:rPr>
        <w:t xml:space="preserve"> (dále také „vyhláška č. 264/2020 Sb.“)</w:t>
      </w:r>
      <w:r w:rsidR="00744FD3">
        <w:rPr>
          <w:rFonts w:ascii="Arial" w:hAnsi="Arial" w:cs="Arial"/>
        </w:rPr>
        <w:t>.</w:t>
      </w:r>
      <w:r w:rsidR="00C3024A">
        <w:rPr>
          <w:rFonts w:ascii="Arial" w:hAnsi="Arial" w:cs="Arial"/>
        </w:rPr>
        <w:t xml:space="preserve"> </w:t>
      </w:r>
      <w:r w:rsidR="00DF57EC" w:rsidRPr="00DF57EC">
        <w:rPr>
          <w:rFonts w:ascii="Arial" w:hAnsi="Arial" w:cs="Arial"/>
        </w:rPr>
        <w:t>V případě změny dokončené budovy, kdy se celková energeticky vztažná plocha rozšiřuje na nejméně dvouapůlnásobek původní celkové energeticky vztažné plochy, musí být splněny požadavky pro výstavbu nové budovy</w:t>
      </w:r>
      <w:r w:rsidR="00DF57EC">
        <w:rPr>
          <w:rFonts w:ascii="Arial" w:hAnsi="Arial" w:cs="Arial"/>
        </w:rPr>
        <w:t>.</w:t>
      </w:r>
      <w:r w:rsidR="00DF57EC">
        <w:rPr>
          <w:rFonts w:ascii="Arial" w:hAnsi="Arial" w:cs="Arial"/>
        </w:rPr>
        <w:br/>
      </w:r>
      <w:r w:rsidR="00DF57EC" w:rsidRPr="00DF57EC">
        <w:rPr>
          <w:rFonts w:ascii="Arial" w:hAnsi="Arial" w:cs="Arial"/>
        </w:rPr>
        <w:t>V ostatních případech musí být splněny požadavky pro změnu dokončené budovy.</w:t>
      </w:r>
    </w:p>
    <w:p w14:paraId="20DF72BC" w14:textId="1D233161" w:rsidR="00DF57EC" w:rsidRDefault="00DF57EC" w:rsidP="00DF57EC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7" w:name="_Toc125699329"/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DF57EC">
        <w:rPr>
          <w:rFonts w:ascii="Arial" w:hAnsi="Arial" w:cs="Arial"/>
          <w:caps/>
          <w:sz w:val="22"/>
          <w:szCs w:val="22"/>
        </w:rPr>
        <w:t>ZPŮSOB ZPRACOVÁNÍ PRŮKAZU ENERGETICKÉ NÁROČNOSTI BUDOV</w:t>
      </w:r>
      <w:r w:rsidR="007B4D7B">
        <w:rPr>
          <w:rFonts w:ascii="Arial" w:hAnsi="Arial" w:cs="Arial"/>
          <w:caps/>
          <w:sz w:val="22"/>
          <w:szCs w:val="22"/>
        </w:rPr>
        <w:t>y</w:t>
      </w:r>
      <w:bookmarkEnd w:id="7"/>
    </w:p>
    <w:p w14:paraId="46644002" w14:textId="7D53F525" w:rsidR="002A6231" w:rsidRPr="002A6231" w:rsidRDefault="002A6231" w:rsidP="002A6231">
      <w:pPr>
        <w:spacing w:before="120"/>
        <w:jc w:val="both"/>
        <w:rPr>
          <w:rFonts w:ascii="Arial" w:hAnsi="Arial" w:cs="Arial"/>
        </w:rPr>
      </w:pPr>
      <w:r w:rsidRPr="002A6231">
        <w:rPr>
          <w:rFonts w:ascii="Arial" w:hAnsi="Arial" w:cs="Arial"/>
        </w:rPr>
        <w:t>Průkaz energetické náročnosti budovy (dále také „PENB“) bude zpracován v souladu s</w:t>
      </w:r>
      <w:r w:rsidR="00A902B2">
        <w:rPr>
          <w:rFonts w:ascii="Arial" w:hAnsi="Arial" w:cs="Arial"/>
        </w:rPr>
        <w:t> </w:t>
      </w:r>
      <w:r w:rsidRPr="002A6231">
        <w:rPr>
          <w:rFonts w:ascii="Arial" w:hAnsi="Arial" w:cs="Arial"/>
        </w:rPr>
        <w:t>vyhláškou č. 264/2020 Sb. na základě a v souladu s projektovou dokumentací pro stávající stav i pro stav po realizaci navržených opatření a v souladu s typickým profilem užívání. PENB musí obsahovat evidenční číslo.</w:t>
      </w:r>
    </w:p>
    <w:p w14:paraId="2D5A8EF5" w14:textId="372498DC" w:rsidR="00D74283" w:rsidRDefault="002A6231" w:rsidP="002A6231">
      <w:pPr>
        <w:spacing w:before="120"/>
        <w:jc w:val="both"/>
        <w:rPr>
          <w:rFonts w:ascii="Arial" w:hAnsi="Arial" w:cs="Arial"/>
        </w:rPr>
      </w:pPr>
      <w:r w:rsidRPr="002A6231">
        <w:rPr>
          <w:rFonts w:ascii="Arial" w:hAnsi="Arial" w:cs="Arial"/>
        </w:rPr>
        <w:t>V případě změny projektu mající vliv na energetické ukazatele uvedené v PENB je žadatel povinen předložit přehled provedených změn, projektovou dokumentaci skutečného stavu a doložit plnění závazných požadavků výzvy průkazem energetické náročnosti budovy dle skutečného stavu</w:t>
      </w:r>
      <w:r w:rsidR="00DF57EC" w:rsidRPr="0065217B">
        <w:rPr>
          <w:rFonts w:ascii="Arial" w:hAnsi="Arial" w:cs="Arial"/>
        </w:rPr>
        <w:t>.</w:t>
      </w:r>
    </w:p>
    <w:p w14:paraId="7E9D5CF5" w14:textId="1790E84B" w:rsidR="00CD1CE7" w:rsidRDefault="00CD1CE7" w:rsidP="00CD1CE7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8" w:name="_Toc125699330"/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7B4D7B" w:rsidRPr="007B4D7B">
        <w:rPr>
          <w:rFonts w:ascii="Arial" w:hAnsi="Arial" w:cs="Arial"/>
          <w:caps/>
          <w:sz w:val="22"/>
          <w:szCs w:val="22"/>
        </w:rPr>
        <w:t>NÁLEŽITOSTI PRŮKAZU ENERGETICKÉ NÁROČNOSTI BUDOVY V SOULADU S</w:t>
      </w:r>
      <w:r w:rsidR="00A902B2">
        <w:rPr>
          <w:rFonts w:ascii="Arial" w:hAnsi="Arial" w:cs="Arial"/>
          <w:caps/>
          <w:sz w:val="22"/>
          <w:szCs w:val="22"/>
        </w:rPr>
        <w:t> </w:t>
      </w:r>
      <w:r w:rsidR="007B4D7B" w:rsidRPr="007B4D7B">
        <w:rPr>
          <w:rFonts w:ascii="Arial" w:hAnsi="Arial" w:cs="Arial"/>
          <w:caps/>
          <w:sz w:val="22"/>
          <w:szCs w:val="22"/>
        </w:rPr>
        <w:t>VYHLÁŠKOU Č. 264/2020 SB.</w:t>
      </w:r>
      <w:bookmarkEnd w:id="8"/>
    </w:p>
    <w:p w14:paraId="39FEA77C" w14:textId="77777777" w:rsidR="00AE5249" w:rsidRPr="00AE5249" w:rsidRDefault="00AE5249" w:rsidP="00AE5249">
      <w:pPr>
        <w:spacing w:before="120"/>
        <w:jc w:val="both"/>
        <w:rPr>
          <w:rFonts w:ascii="Arial" w:hAnsi="Arial" w:cs="Arial"/>
        </w:rPr>
      </w:pPr>
      <w:r w:rsidRPr="00AE5249">
        <w:rPr>
          <w:rFonts w:ascii="Arial" w:hAnsi="Arial" w:cs="Arial"/>
        </w:rPr>
        <w:t>V souladu s touto vyhláškou PENB a jeho přílohy musí obsahovat:</w:t>
      </w:r>
    </w:p>
    <w:p w14:paraId="796C0DE5" w14:textId="2CC92B3A" w:rsidR="00AE5249" w:rsidRPr="00AE5249" w:rsidRDefault="00AE5249" w:rsidP="00AE5249">
      <w:pPr>
        <w:pStyle w:val="Odstavecseseznamem"/>
        <w:numPr>
          <w:ilvl w:val="0"/>
          <w:numId w:val="52"/>
        </w:numPr>
        <w:spacing w:before="120"/>
        <w:jc w:val="both"/>
        <w:rPr>
          <w:rFonts w:ascii="Arial" w:hAnsi="Arial" w:cs="Arial"/>
        </w:rPr>
      </w:pPr>
      <w:r w:rsidRPr="00AE5249">
        <w:rPr>
          <w:rFonts w:ascii="Arial" w:hAnsi="Arial" w:cs="Arial"/>
        </w:rPr>
        <w:t>Soupis okrajových podmínek výpočtu a dosažených výsledků:</w:t>
      </w:r>
    </w:p>
    <w:p w14:paraId="415DFFD4" w14:textId="580D437B" w:rsidR="00AE5249" w:rsidRPr="007A49FE" w:rsidRDefault="00AE5249" w:rsidP="00AE5249">
      <w:pPr>
        <w:pStyle w:val="Odstavecseseznamem"/>
        <w:numPr>
          <w:ilvl w:val="1"/>
          <w:numId w:val="52"/>
        </w:numPr>
        <w:spacing w:before="120"/>
        <w:jc w:val="both"/>
        <w:rPr>
          <w:rFonts w:ascii="Arial" w:hAnsi="Arial" w:cs="Arial"/>
        </w:rPr>
      </w:pPr>
      <w:r w:rsidRPr="00E76766">
        <w:rPr>
          <w:rFonts w:ascii="Arial" w:hAnsi="Arial" w:cs="Arial"/>
        </w:rPr>
        <w:t xml:space="preserve">Popis profilu </w:t>
      </w:r>
      <w:r w:rsidR="007A49FE" w:rsidRPr="00E76766">
        <w:rPr>
          <w:rFonts w:ascii="Arial" w:hAnsi="Arial" w:cs="Arial"/>
        </w:rPr>
        <w:t xml:space="preserve">typického </w:t>
      </w:r>
      <w:r w:rsidRPr="00E76766">
        <w:rPr>
          <w:rFonts w:ascii="Arial" w:hAnsi="Arial" w:cs="Arial"/>
        </w:rPr>
        <w:t>užívání budovy</w:t>
      </w:r>
      <w:r w:rsidRPr="007A49FE">
        <w:rPr>
          <w:rFonts w:ascii="Arial" w:hAnsi="Arial" w:cs="Arial"/>
        </w:rPr>
        <w:t xml:space="preserve"> – v případě jiných než obytných zón se použití profilů </w:t>
      </w:r>
      <w:r w:rsidR="007A49FE">
        <w:rPr>
          <w:rFonts w:ascii="Arial" w:hAnsi="Arial" w:cs="Arial"/>
        </w:rPr>
        <w:t xml:space="preserve">typického </w:t>
      </w:r>
      <w:r w:rsidRPr="007A49FE">
        <w:rPr>
          <w:rFonts w:ascii="Arial" w:hAnsi="Arial" w:cs="Arial"/>
        </w:rPr>
        <w:t xml:space="preserve">užívání dle ČSN 730331-1 povoluje pouze za předpokladu, že budova není ve stávajícím stavu užívána. </w:t>
      </w:r>
      <w:r w:rsidR="007A49FE">
        <w:rPr>
          <w:rFonts w:ascii="Arial" w:hAnsi="Arial" w:cs="Arial"/>
        </w:rPr>
        <w:t>P</w:t>
      </w:r>
      <w:r w:rsidRPr="007A49FE">
        <w:rPr>
          <w:rFonts w:ascii="Arial" w:hAnsi="Arial" w:cs="Arial"/>
        </w:rPr>
        <w:t xml:space="preserve">rofil </w:t>
      </w:r>
      <w:r w:rsidR="007A49FE">
        <w:rPr>
          <w:rFonts w:ascii="Arial" w:hAnsi="Arial" w:cs="Arial"/>
        </w:rPr>
        <w:t xml:space="preserve">typického </w:t>
      </w:r>
      <w:r w:rsidRPr="007A49FE">
        <w:rPr>
          <w:rFonts w:ascii="Arial" w:hAnsi="Arial" w:cs="Arial"/>
        </w:rPr>
        <w:t>užívání vychází z dat o stávajícím provozu budovy a předpokládaném provozu budovy po realizaci navržených opatření s přihlédnutím k informacím uvedeným v projektové dokumentaci.</w:t>
      </w:r>
    </w:p>
    <w:p w14:paraId="4E2C48BF" w14:textId="2C4B2078" w:rsidR="00AE5249" w:rsidRPr="00AE5249" w:rsidRDefault="00AE5249" w:rsidP="00AE5249">
      <w:pPr>
        <w:pStyle w:val="Odstavecseseznamem"/>
        <w:numPr>
          <w:ilvl w:val="1"/>
          <w:numId w:val="52"/>
        </w:numPr>
        <w:spacing w:before="120"/>
        <w:jc w:val="both"/>
        <w:rPr>
          <w:rFonts w:ascii="Arial" w:hAnsi="Arial" w:cs="Arial"/>
        </w:rPr>
      </w:pPr>
      <w:r w:rsidRPr="00AE5249">
        <w:rPr>
          <w:rFonts w:ascii="Arial" w:hAnsi="Arial" w:cs="Arial"/>
        </w:rPr>
        <w:t>Schématické rozdělení budovy do výpočetních zón uvedených v PENB.</w:t>
      </w:r>
    </w:p>
    <w:p w14:paraId="13EFB456" w14:textId="26853542" w:rsidR="00AE5249" w:rsidRPr="00AE5249" w:rsidRDefault="00AE5249" w:rsidP="00AE5249">
      <w:pPr>
        <w:pStyle w:val="Odstavecseseznamem"/>
        <w:numPr>
          <w:ilvl w:val="1"/>
          <w:numId w:val="52"/>
        </w:numPr>
        <w:spacing w:before="120"/>
        <w:jc w:val="both"/>
        <w:rPr>
          <w:rFonts w:ascii="Arial" w:hAnsi="Arial" w:cs="Arial"/>
        </w:rPr>
      </w:pPr>
      <w:r w:rsidRPr="00AE5249">
        <w:rPr>
          <w:rFonts w:ascii="Arial" w:hAnsi="Arial" w:cs="Arial"/>
        </w:rPr>
        <w:t>Popis skladeb konstrukcí obálky budovy včetně stínících prvků a způsobu jejich ovládání.</w:t>
      </w:r>
    </w:p>
    <w:p w14:paraId="6DE5FEC3" w14:textId="6F9F9E5C" w:rsidR="00AE5249" w:rsidRPr="00AE5249" w:rsidRDefault="00AE5249" w:rsidP="00AE5249">
      <w:pPr>
        <w:pStyle w:val="Odstavecseseznamem"/>
        <w:numPr>
          <w:ilvl w:val="1"/>
          <w:numId w:val="52"/>
        </w:numPr>
        <w:spacing w:before="120"/>
        <w:jc w:val="both"/>
        <w:rPr>
          <w:rFonts w:ascii="Arial" w:hAnsi="Arial" w:cs="Arial"/>
        </w:rPr>
      </w:pPr>
      <w:r w:rsidRPr="00AE5249">
        <w:rPr>
          <w:rFonts w:ascii="Arial" w:hAnsi="Arial" w:cs="Arial"/>
        </w:rPr>
        <w:t>Popis technických systémů budovy včetně jejich způsobu regulace a ovládání a vlastností rozhodných pro výpočet energetických ukazatelů budovy.</w:t>
      </w:r>
    </w:p>
    <w:p w14:paraId="2B6B6F89" w14:textId="7AD7BCC1" w:rsidR="00AE5249" w:rsidRDefault="00AE5249" w:rsidP="00AE5249">
      <w:pPr>
        <w:pStyle w:val="Odstavecseseznamem"/>
        <w:numPr>
          <w:ilvl w:val="1"/>
          <w:numId w:val="52"/>
        </w:numPr>
        <w:spacing w:before="120"/>
        <w:jc w:val="both"/>
        <w:rPr>
          <w:rFonts w:ascii="Arial" w:hAnsi="Arial" w:cs="Arial"/>
        </w:rPr>
      </w:pPr>
      <w:r w:rsidRPr="00AE5249">
        <w:rPr>
          <w:rFonts w:ascii="Arial" w:hAnsi="Arial" w:cs="Arial"/>
        </w:rPr>
        <w:t>Popis způsobu stanovení výpočtu měrného tepelného toku větráním v souladu s přílohou č. 5 vyhlášky č. 264/2020 Sb.</w:t>
      </w:r>
    </w:p>
    <w:p w14:paraId="53A29570" w14:textId="2D98DE74" w:rsidR="00AE5249" w:rsidRPr="00AE5249" w:rsidRDefault="00AE5249" w:rsidP="00AE5249">
      <w:pPr>
        <w:pStyle w:val="Odstavecseseznamem"/>
        <w:numPr>
          <w:ilvl w:val="0"/>
          <w:numId w:val="53"/>
        </w:numPr>
        <w:spacing w:before="120"/>
        <w:jc w:val="both"/>
        <w:rPr>
          <w:rFonts w:ascii="Arial" w:hAnsi="Arial" w:cs="Arial"/>
        </w:rPr>
      </w:pPr>
      <w:r w:rsidRPr="00AE5249">
        <w:rPr>
          <w:rFonts w:ascii="Arial" w:hAnsi="Arial" w:cs="Arial"/>
        </w:rPr>
        <w:t>Protokol výpočtu součinitelů prostupu tepla konstrukcí v navrženém stavu</w:t>
      </w:r>
      <w:r>
        <w:rPr>
          <w:rFonts w:ascii="Arial" w:hAnsi="Arial" w:cs="Arial"/>
        </w:rPr>
        <w:t>.</w:t>
      </w:r>
    </w:p>
    <w:p w14:paraId="1F4BCC25" w14:textId="7744E00E" w:rsidR="00AE5249" w:rsidRPr="00AE5249" w:rsidRDefault="00AE5249" w:rsidP="00AE5249">
      <w:pPr>
        <w:pStyle w:val="Odstavecseseznamem"/>
        <w:numPr>
          <w:ilvl w:val="0"/>
          <w:numId w:val="53"/>
        </w:numPr>
        <w:spacing w:before="120"/>
        <w:jc w:val="both"/>
        <w:rPr>
          <w:rFonts w:ascii="Arial" w:hAnsi="Arial" w:cs="Arial"/>
        </w:rPr>
      </w:pPr>
      <w:r w:rsidRPr="00AE5249">
        <w:rPr>
          <w:rFonts w:ascii="Arial" w:hAnsi="Arial" w:cs="Arial"/>
        </w:rPr>
        <w:t>Protokol výpočtu měrné roční potřeby tepla na vytápění E</w:t>
      </w:r>
      <w:r w:rsidRPr="00AE5249">
        <w:rPr>
          <w:rFonts w:ascii="Arial" w:hAnsi="Arial" w:cs="Arial"/>
          <w:vertAlign w:val="subscript"/>
        </w:rPr>
        <w:t>A</w:t>
      </w:r>
      <w:r w:rsidRPr="00AE5249">
        <w:rPr>
          <w:rFonts w:ascii="Arial" w:hAnsi="Arial" w:cs="Arial"/>
        </w:rPr>
        <w:t xml:space="preserve"> a na chlazení obsahující důležité vstupní údaje nezbytné pro zpětnou kontrolu výpočtu</w:t>
      </w:r>
      <w:r>
        <w:rPr>
          <w:rFonts w:ascii="Arial" w:hAnsi="Arial" w:cs="Arial"/>
        </w:rPr>
        <w:t>.</w:t>
      </w:r>
    </w:p>
    <w:p w14:paraId="39E374D8" w14:textId="6D27B37E" w:rsidR="00AE5249" w:rsidRPr="00AE5249" w:rsidRDefault="00AE5249" w:rsidP="00AE5249">
      <w:pPr>
        <w:pStyle w:val="Odstavecseseznamem"/>
        <w:numPr>
          <w:ilvl w:val="0"/>
          <w:numId w:val="53"/>
        </w:numPr>
        <w:spacing w:before="120"/>
        <w:jc w:val="both"/>
        <w:rPr>
          <w:rFonts w:ascii="Arial" w:hAnsi="Arial" w:cs="Arial"/>
        </w:rPr>
      </w:pPr>
      <w:r w:rsidRPr="00AE5249">
        <w:rPr>
          <w:rFonts w:ascii="Arial" w:hAnsi="Arial" w:cs="Arial"/>
        </w:rPr>
        <w:lastRenderedPageBreak/>
        <w:t>Protokol výpočtu primární energie z neobnovitelných zdrojů obsahující důležité vstupní údaje nezbytné pro zpětnou kontrolu výpočtu</w:t>
      </w:r>
      <w:r>
        <w:rPr>
          <w:rFonts w:ascii="Arial" w:hAnsi="Arial" w:cs="Arial"/>
        </w:rPr>
        <w:t>.</w:t>
      </w:r>
    </w:p>
    <w:p w14:paraId="66064E4B" w14:textId="175A54F7" w:rsidR="00AE5249" w:rsidRPr="00AE5249" w:rsidRDefault="00AE5249" w:rsidP="00AE5249">
      <w:pPr>
        <w:pStyle w:val="Odstavecseseznamem"/>
        <w:numPr>
          <w:ilvl w:val="0"/>
          <w:numId w:val="53"/>
        </w:numPr>
        <w:spacing w:before="120"/>
        <w:jc w:val="both"/>
        <w:rPr>
          <w:rFonts w:ascii="Arial" w:hAnsi="Arial" w:cs="Arial"/>
        </w:rPr>
      </w:pPr>
      <w:r w:rsidRPr="00AE5249">
        <w:rPr>
          <w:rFonts w:ascii="Arial" w:hAnsi="Arial" w:cs="Arial"/>
        </w:rPr>
        <w:t>Protokol výpočtu nejvyšší denní teploty vzduchu v místnosti v letním období θ</w:t>
      </w:r>
      <w:r w:rsidRPr="00AE5249">
        <w:rPr>
          <w:rFonts w:ascii="Arial" w:hAnsi="Arial" w:cs="Arial"/>
          <w:vertAlign w:val="subscript"/>
        </w:rPr>
        <w:t>ai,max</w:t>
      </w:r>
      <w:r w:rsidRPr="00AE5249">
        <w:rPr>
          <w:rFonts w:ascii="Arial" w:hAnsi="Arial" w:cs="Arial"/>
        </w:rPr>
        <w:t xml:space="preserve"> [°C].</w:t>
      </w:r>
    </w:p>
    <w:p w14:paraId="120901F9" w14:textId="4451BEB3" w:rsidR="00CD1CE7" w:rsidRPr="00AE5249" w:rsidRDefault="00AE5249" w:rsidP="00AE5249">
      <w:pPr>
        <w:spacing w:before="120"/>
        <w:jc w:val="both"/>
        <w:rPr>
          <w:rFonts w:ascii="Arial" w:hAnsi="Arial" w:cs="Arial"/>
        </w:rPr>
      </w:pPr>
      <w:r w:rsidRPr="00AE5249">
        <w:rPr>
          <w:rFonts w:ascii="Arial" w:hAnsi="Arial" w:cs="Arial"/>
        </w:rPr>
        <w:t xml:space="preserve">Žadatel/příjemce předkládá k PENB jen relevantní </w:t>
      </w:r>
      <w:r w:rsidRPr="00E76766">
        <w:rPr>
          <w:rFonts w:ascii="Arial" w:hAnsi="Arial" w:cs="Arial"/>
        </w:rPr>
        <w:t xml:space="preserve">protokoly pro ty budovy </w:t>
      </w:r>
      <w:r w:rsidR="005B22A8" w:rsidRPr="00E76766">
        <w:rPr>
          <w:rFonts w:ascii="Arial" w:hAnsi="Arial" w:cs="Arial"/>
        </w:rPr>
        <w:t>nebo</w:t>
      </w:r>
      <w:r w:rsidRPr="00E76766">
        <w:rPr>
          <w:rFonts w:ascii="Arial" w:hAnsi="Arial" w:cs="Arial"/>
        </w:rPr>
        <w:t xml:space="preserve"> zón</w:t>
      </w:r>
      <w:r w:rsidR="005B22A8" w:rsidRPr="00E76766">
        <w:rPr>
          <w:rFonts w:ascii="Arial" w:hAnsi="Arial" w:cs="Arial"/>
        </w:rPr>
        <w:t>y</w:t>
      </w:r>
      <w:r w:rsidRPr="005B22A8">
        <w:rPr>
          <w:rFonts w:ascii="Arial" w:hAnsi="Arial" w:cs="Arial"/>
        </w:rPr>
        <w:t>,</w:t>
      </w:r>
      <w:r w:rsidRPr="00AE5249">
        <w:rPr>
          <w:rFonts w:ascii="Arial" w:hAnsi="Arial" w:cs="Arial"/>
        </w:rPr>
        <w:t xml:space="preserve"> které jsou předmětem projektu.</w:t>
      </w:r>
    </w:p>
    <w:p w14:paraId="72481B73" w14:textId="06A59B61" w:rsidR="00FA5D9B" w:rsidRPr="00A92DAC" w:rsidRDefault="00627042" w:rsidP="00FA5D9B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9" w:name="_Toc125699331"/>
      <w:r w:rsidRPr="00A92DAC">
        <w:rPr>
          <w:rFonts w:ascii="Arial" w:hAnsi="Arial" w:cs="Arial"/>
          <w:caps/>
          <w:sz w:val="26"/>
          <w:szCs w:val="26"/>
        </w:rPr>
        <w:t>Zm</w:t>
      </w:r>
      <w:r w:rsidR="00EF50AE" w:rsidRPr="00A92DAC">
        <w:rPr>
          <w:rFonts w:ascii="Arial" w:hAnsi="Arial" w:cs="Arial"/>
          <w:caps/>
          <w:sz w:val="26"/>
          <w:szCs w:val="26"/>
        </w:rPr>
        <w:t>ěny dokončených budov</w:t>
      </w:r>
      <w:bookmarkEnd w:id="9"/>
    </w:p>
    <w:p w14:paraId="16637EBC" w14:textId="0218A90A" w:rsidR="002E5888" w:rsidRPr="00D210D0" w:rsidRDefault="002E5888" w:rsidP="002E5888">
      <w:pPr>
        <w:spacing w:before="120" w:after="120" w:line="271" w:lineRule="auto"/>
        <w:jc w:val="both"/>
        <w:rPr>
          <w:rFonts w:ascii="Arial" w:eastAsia="Times New Roman" w:hAnsi="Arial" w:cs="Arial"/>
          <w:noProof/>
          <w:color w:val="000000"/>
          <w:lang w:eastAsia="cs-CZ"/>
        </w:rPr>
      </w:pPr>
      <w:r>
        <w:rPr>
          <w:rFonts w:ascii="Arial" w:eastAsia="Times New Roman" w:hAnsi="Arial" w:cs="Arial"/>
          <w:noProof/>
          <w:color w:val="000000"/>
          <w:lang w:eastAsia="cs-CZ"/>
        </w:rPr>
        <w:t xml:space="preserve">Ukazatel, jehož plnění je požadováno v případě změn dokončené </w:t>
      </w:r>
      <w:r w:rsidR="001222DE">
        <w:rPr>
          <w:rFonts w:ascii="Arial" w:eastAsia="Times New Roman" w:hAnsi="Arial" w:cs="Arial"/>
          <w:noProof/>
          <w:color w:val="000000"/>
          <w:lang w:eastAsia="cs-CZ"/>
        </w:rPr>
        <w:t xml:space="preserve">samostatné </w:t>
      </w:r>
      <w:r>
        <w:rPr>
          <w:rFonts w:ascii="Arial" w:eastAsia="Times New Roman" w:hAnsi="Arial" w:cs="Arial"/>
          <w:noProof/>
          <w:color w:val="000000"/>
          <w:lang w:eastAsia="cs-CZ"/>
        </w:rPr>
        <w:t>provozní budovy:</w:t>
      </w:r>
      <w:r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50AE" w:rsidRPr="00D210D0" w14:paraId="1D3B2FB3" w14:textId="77777777" w:rsidTr="00D86F8D">
        <w:trPr>
          <w:trHeight w:val="680"/>
        </w:trPr>
        <w:tc>
          <w:tcPr>
            <w:tcW w:w="9062" w:type="dxa"/>
            <w:shd w:val="clear" w:color="auto" w:fill="BDD6EE"/>
            <w:vAlign w:val="center"/>
          </w:tcPr>
          <w:p w14:paraId="06F918DB" w14:textId="77777777" w:rsidR="00EF50AE" w:rsidRPr="00D210D0" w:rsidRDefault="00EF50AE" w:rsidP="00A3755D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Úspora primární energie z neobnovitelných zdrojů alespoň 30 % </w:t>
            </w:r>
          </w:p>
        </w:tc>
      </w:tr>
      <w:tr w:rsidR="00EF50AE" w:rsidRPr="00D210D0" w14:paraId="0F287D68" w14:textId="77777777" w:rsidTr="00D86F8D">
        <w:tc>
          <w:tcPr>
            <w:tcW w:w="9062" w:type="dxa"/>
          </w:tcPr>
          <w:p w14:paraId="02A1AAF7" w14:textId="2DC7E957" w:rsidR="00EF50AE" w:rsidRPr="00D210D0" w:rsidRDefault="00EF50AE" w:rsidP="00883053">
            <w:pPr>
              <w:suppressAutoHyphens/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Hodnota se stanovuje rozdílem měrné celkové primární energie z neobnovitelných zdrojů hodnocené budovy pro stávající stav budovy a pro stav budovy po realizaci navržených opatření. Hodnoty vychází z</w:t>
            </w:r>
            <w:r w:rsidR="00FB64A7">
              <w:rPr>
                <w:rFonts w:ascii="Arial" w:eastAsia="Times New Roman" w:hAnsi="Arial" w:cs="Arial"/>
                <w:lang w:eastAsia="cs-CZ"/>
              </w:rPr>
              <w:t> </w:t>
            </w:r>
            <w:r w:rsidRPr="00D210D0">
              <w:rPr>
                <w:rFonts w:ascii="Arial" w:eastAsia="Times New Roman" w:hAnsi="Arial" w:cs="Arial"/>
                <w:lang w:eastAsia="cs-CZ"/>
              </w:rPr>
              <w:t>PENB</w:t>
            </w:r>
            <w:r w:rsidR="00FB64A7">
              <w:rPr>
                <w:rFonts w:ascii="Arial" w:eastAsia="Times New Roman" w:hAnsi="Arial" w:cs="Arial"/>
                <w:lang w:eastAsia="cs-CZ"/>
              </w:rPr>
              <w:t>,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části I – přehled plnění závazných požadavků vyhlášky č. 264/2020 Sb</w:t>
            </w:r>
            <w:r>
              <w:rPr>
                <w:rFonts w:ascii="Arial" w:eastAsia="Times New Roman" w:hAnsi="Arial" w:cs="Arial"/>
                <w:lang w:eastAsia="cs-CZ"/>
              </w:rPr>
              <w:t>.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nebo grafické části PENB.</w:t>
            </w:r>
          </w:p>
        </w:tc>
      </w:tr>
    </w:tbl>
    <w:p w14:paraId="1F5FB0B0" w14:textId="3BFB3FA3" w:rsidR="00EF50AE" w:rsidRPr="00D210D0" w:rsidRDefault="006757C9" w:rsidP="00E76766">
      <w:pPr>
        <w:suppressAutoHyphens/>
        <w:spacing w:before="240" w:after="120" w:line="271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Následují ukazatele, jejichž plnění je požadováno u změn dokončených </w:t>
      </w:r>
      <w:r w:rsidR="002F4E46">
        <w:rPr>
          <w:rFonts w:ascii="Arial" w:eastAsia="Times New Roman" w:hAnsi="Arial" w:cs="Arial"/>
          <w:lang w:eastAsia="cs-CZ"/>
        </w:rPr>
        <w:t xml:space="preserve">samostatných provozních </w:t>
      </w:r>
      <w:r>
        <w:rPr>
          <w:rFonts w:ascii="Arial" w:eastAsia="Times New Roman" w:hAnsi="Arial" w:cs="Arial"/>
          <w:lang w:eastAsia="cs-CZ"/>
        </w:rPr>
        <w:t xml:space="preserve">budov, které nejsou památkově chráněny. Pokud žadatel v případě dotčené památkově chráněné budovy předloží </w:t>
      </w:r>
      <w:r w:rsidR="002F4E46" w:rsidRPr="006757C9">
        <w:rPr>
          <w:rFonts w:ascii="Arial" w:eastAsia="Times New Roman" w:hAnsi="Arial" w:cs="Arial"/>
          <w:lang w:eastAsia="cs-CZ"/>
        </w:rPr>
        <w:t>závazn</w:t>
      </w:r>
      <w:r w:rsidR="002F4E46">
        <w:rPr>
          <w:rFonts w:ascii="Arial" w:eastAsia="Times New Roman" w:hAnsi="Arial" w:cs="Arial"/>
          <w:lang w:eastAsia="cs-CZ"/>
        </w:rPr>
        <w:t>é</w:t>
      </w:r>
      <w:r w:rsidRPr="006757C9">
        <w:rPr>
          <w:rFonts w:ascii="Arial" w:eastAsia="Times New Roman" w:hAnsi="Arial" w:cs="Arial"/>
          <w:lang w:eastAsia="cs-CZ"/>
        </w:rPr>
        <w:t xml:space="preserve"> stanovisk</w:t>
      </w:r>
      <w:r>
        <w:rPr>
          <w:rFonts w:ascii="Arial" w:eastAsia="Times New Roman" w:hAnsi="Arial" w:cs="Arial"/>
          <w:lang w:eastAsia="cs-CZ"/>
        </w:rPr>
        <w:t>o</w:t>
      </w:r>
      <w:r w:rsidRPr="006757C9">
        <w:rPr>
          <w:rFonts w:ascii="Arial" w:eastAsia="Times New Roman" w:hAnsi="Arial" w:cs="Arial"/>
          <w:lang w:eastAsia="cs-CZ"/>
        </w:rPr>
        <w:t xml:space="preserve"> </w:t>
      </w:r>
      <w:r w:rsidR="002F4E46" w:rsidRPr="006757C9">
        <w:rPr>
          <w:rFonts w:ascii="Arial" w:eastAsia="Times New Roman" w:hAnsi="Arial" w:cs="Arial"/>
          <w:lang w:eastAsia="cs-CZ"/>
        </w:rPr>
        <w:t>orgánu</w:t>
      </w:r>
      <w:r w:rsidRPr="006757C9">
        <w:rPr>
          <w:rFonts w:ascii="Arial" w:eastAsia="Times New Roman" w:hAnsi="Arial" w:cs="Arial"/>
          <w:lang w:eastAsia="cs-CZ"/>
        </w:rPr>
        <w:t xml:space="preserve"> </w:t>
      </w:r>
      <w:r w:rsidR="002F4E46" w:rsidRPr="006757C9">
        <w:rPr>
          <w:rFonts w:ascii="Arial" w:eastAsia="Times New Roman" w:hAnsi="Arial" w:cs="Arial"/>
          <w:lang w:eastAsia="cs-CZ"/>
        </w:rPr>
        <w:t>památkov</w:t>
      </w:r>
      <w:r w:rsidR="002F4E46">
        <w:rPr>
          <w:rFonts w:ascii="Arial" w:eastAsia="Times New Roman" w:hAnsi="Arial" w:cs="Arial"/>
          <w:lang w:eastAsia="cs-CZ"/>
        </w:rPr>
        <w:t>é</w:t>
      </w:r>
      <w:r w:rsidRPr="006757C9">
        <w:rPr>
          <w:rFonts w:ascii="Arial" w:eastAsia="Times New Roman" w:hAnsi="Arial" w:cs="Arial"/>
          <w:lang w:eastAsia="cs-CZ"/>
        </w:rPr>
        <w:t xml:space="preserve"> </w:t>
      </w:r>
      <w:r w:rsidR="002F4E46" w:rsidRPr="006757C9">
        <w:rPr>
          <w:rFonts w:ascii="Arial" w:eastAsia="Times New Roman" w:hAnsi="Arial" w:cs="Arial"/>
          <w:lang w:eastAsia="cs-CZ"/>
        </w:rPr>
        <w:t>p</w:t>
      </w:r>
      <w:r w:rsidR="002F4E46">
        <w:rPr>
          <w:rFonts w:ascii="Arial" w:eastAsia="Times New Roman" w:hAnsi="Arial" w:cs="Arial"/>
          <w:lang w:eastAsia="cs-CZ"/>
        </w:rPr>
        <w:t>éč</w:t>
      </w:r>
      <w:r w:rsidR="002F4E46" w:rsidRPr="006757C9">
        <w:rPr>
          <w:rFonts w:ascii="Arial" w:eastAsia="Times New Roman" w:hAnsi="Arial" w:cs="Arial"/>
          <w:lang w:eastAsia="cs-CZ"/>
        </w:rPr>
        <w:t>e</w:t>
      </w:r>
      <w:r>
        <w:rPr>
          <w:rFonts w:ascii="Arial" w:eastAsia="Times New Roman" w:hAnsi="Arial" w:cs="Arial"/>
          <w:lang w:eastAsia="cs-CZ"/>
        </w:rPr>
        <w:t xml:space="preserve"> </w:t>
      </w:r>
      <w:r w:rsidR="002F4E46" w:rsidRPr="006757C9">
        <w:rPr>
          <w:rFonts w:ascii="Arial" w:eastAsia="Times New Roman" w:hAnsi="Arial" w:cs="Arial"/>
          <w:lang w:eastAsia="cs-CZ"/>
        </w:rPr>
        <w:t>omezujíc</w:t>
      </w:r>
      <w:r w:rsidR="002F4E46">
        <w:rPr>
          <w:rFonts w:ascii="Arial" w:eastAsia="Times New Roman" w:hAnsi="Arial" w:cs="Arial"/>
          <w:lang w:eastAsia="cs-CZ"/>
        </w:rPr>
        <w:t>í</w:t>
      </w:r>
      <w:r w:rsidRPr="006757C9">
        <w:rPr>
          <w:rFonts w:ascii="Arial" w:eastAsia="Times New Roman" w:hAnsi="Arial" w:cs="Arial"/>
          <w:lang w:eastAsia="cs-CZ"/>
        </w:rPr>
        <w:t xml:space="preserve"> rozsah renovace</w:t>
      </w:r>
      <w:r>
        <w:rPr>
          <w:rFonts w:ascii="Arial" w:eastAsia="Times New Roman" w:hAnsi="Arial" w:cs="Arial"/>
          <w:lang w:eastAsia="cs-CZ"/>
        </w:rPr>
        <w:t xml:space="preserve"> (jako povinnou přílohu žádosti o podporu č. 19), povinnost plnit ukazatele se na něj u takové budovy nevztahuje. </w:t>
      </w:r>
      <w:r w:rsidR="009556E4">
        <w:rPr>
          <w:rFonts w:ascii="Arial" w:eastAsia="Times New Roman" w:hAnsi="Arial" w:cs="Arial"/>
          <w:noProof/>
          <w:color w:val="000000"/>
          <w:lang w:eastAsia="cs-CZ"/>
        </w:rPr>
        <w:t>P</w:t>
      </w:r>
      <w:r w:rsidRPr="00D210D0">
        <w:rPr>
          <w:rFonts w:ascii="Arial" w:eastAsia="Times New Roman" w:hAnsi="Arial" w:cs="Arial"/>
          <w:noProof/>
          <w:color w:val="000000"/>
          <w:lang w:eastAsia="cs-CZ"/>
        </w:rPr>
        <w:t>amátkově chráněn</w:t>
      </w:r>
      <w:r w:rsidR="009556E4">
        <w:rPr>
          <w:rFonts w:ascii="Arial" w:eastAsia="Times New Roman" w:hAnsi="Arial" w:cs="Arial"/>
          <w:noProof/>
          <w:color w:val="000000"/>
          <w:lang w:eastAsia="cs-CZ"/>
        </w:rPr>
        <w:t>é jsou</w:t>
      </w:r>
      <w:r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 budovy uvedené v zákoně č.</w:t>
      </w:r>
      <w:r w:rsidR="00A902B2">
        <w:rPr>
          <w:rFonts w:ascii="Arial" w:eastAsia="Times New Roman" w:hAnsi="Arial" w:cs="Arial"/>
          <w:noProof/>
          <w:color w:val="000000"/>
          <w:lang w:eastAsia="cs-CZ"/>
        </w:rPr>
        <w:t> </w:t>
      </w:r>
      <w:r w:rsidRPr="00D210D0">
        <w:rPr>
          <w:rFonts w:ascii="Arial" w:eastAsia="Times New Roman" w:hAnsi="Arial" w:cs="Arial"/>
          <w:noProof/>
          <w:color w:val="000000"/>
          <w:lang w:eastAsia="cs-CZ"/>
        </w:rPr>
        <w:t>20/1987 Sb., o státní památkové péči, ve znění pozdějších předpisů, jako kulturní památka nebo budovy, které nejsou kulturní památkou, ale nachází se v památkové rezervaci, v</w:t>
      </w:r>
      <w:r w:rsidR="00A902B2">
        <w:rPr>
          <w:rFonts w:ascii="Arial" w:eastAsia="Times New Roman" w:hAnsi="Arial" w:cs="Arial"/>
          <w:noProof/>
          <w:color w:val="000000"/>
          <w:lang w:eastAsia="cs-CZ"/>
        </w:rPr>
        <w:t> </w:t>
      </w:r>
      <w:r w:rsidRPr="00D210D0">
        <w:rPr>
          <w:rFonts w:ascii="Arial" w:eastAsia="Times New Roman" w:hAnsi="Arial" w:cs="Arial"/>
          <w:noProof/>
          <w:color w:val="000000"/>
          <w:lang w:eastAsia="cs-CZ"/>
        </w:rPr>
        <w:t>památkové zóně nebo v ochranném pásmu nemovité kulturní památky, nemovité národní kulturní památky, památkové rezervace nebo památkové zóny.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50AE" w:rsidRPr="00D210D0" w14:paraId="5F7C0549" w14:textId="77777777" w:rsidTr="00D86F8D">
        <w:tc>
          <w:tcPr>
            <w:tcW w:w="9062" w:type="dxa"/>
            <w:shd w:val="clear" w:color="auto" w:fill="C0D7F1" w:themeFill="text2" w:themeFillTint="33"/>
            <w:vAlign w:val="center"/>
          </w:tcPr>
          <w:p w14:paraId="350A195E" w14:textId="10D8C129" w:rsidR="00EF50AE" w:rsidRPr="00D210D0" w:rsidRDefault="00EF50AE" w:rsidP="00A3755D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Dosažená hodnota primární energie z neobnovitelných zdrojů pro stav po realizaci navržených opatření ≤ 0,85 x reference pro renovace</w:t>
            </w:r>
          </w:p>
        </w:tc>
      </w:tr>
      <w:tr w:rsidR="00EF50AE" w:rsidRPr="00D210D0" w14:paraId="40BFE815" w14:textId="77777777" w:rsidTr="00A3755D">
        <w:tc>
          <w:tcPr>
            <w:tcW w:w="9062" w:type="dxa"/>
          </w:tcPr>
          <w:p w14:paraId="33E3AF11" w14:textId="3FF6CAC5" w:rsidR="00EF50AE" w:rsidRPr="00D210D0" w:rsidRDefault="00EF50AE" w:rsidP="00883053">
            <w:pPr>
              <w:suppressAutoHyphens/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Hodnota se stanovuje z PENB pro stav po realizaci navržených opatření. V části I – přehled plnění závazných požadavků vyhlášky č. 264/2020 Sb</w:t>
            </w:r>
            <w:r>
              <w:rPr>
                <w:rFonts w:ascii="Arial" w:eastAsia="Times New Roman" w:hAnsi="Arial" w:cs="Arial"/>
                <w:lang w:eastAsia="cs-CZ"/>
              </w:rPr>
              <w:t>.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D86F8D">
              <w:rPr>
                <w:rFonts w:ascii="Arial" w:eastAsia="Times New Roman" w:hAnsi="Arial" w:cs="Arial"/>
                <w:lang w:eastAsia="cs-CZ"/>
              </w:rPr>
              <w:t xml:space="preserve">– 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musí být hodnota primární energie z neobnovitelných zdrojů pro hodnocenou budovu nižší </w:t>
            </w:r>
            <w:r w:rsidR="00D86F8D" w:rsidRPr="00D210D0">
              <w:rPr>
                <w:rFonts w:ascii="Arial" w:eastAsia="Times New Roman" w:hAnsi="Arial" w:cs="Arial"/>
                <w:lang w:eastAsia="cs-CZ"/>
              </w:rPr>
              <w:t xml:space="preserve">než </w:t>
            </w:r>
            <w:r w:rsidRPr="00D210D0">
              <w:rPr>
                <w:rFonts w:ascii="Arial" w:eastAsia="Times New Roman" w:hAnsi="Arial" w:cs="Arial"/>
                <w:lang w:eastAsia="cs-CZ"/>
              </w:rPr>
              <w:t>nebo rovna 0,85násobk</w:t>
            </w:r>
            <w:r w:rsidR="00D86F8D">
              <w:rPr>
                <w:rFonts w:ascii="Arial" w:eastAsia="Times New Roman" w:hAnsi="Arial" w:cs="Arial"/>
                <w:lang w:eastAsia="cs-CZ"/>
              </w:rPr>
              <w:t>u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hodnoty pro referenční budovu.</w:t>
            </w:r>
          </w:p>
        </w:tc>
      </w:tr>
    </w:tbl>
    <w:p w14:paraId="1D373D5B" w14:textId="77777777" w:rsidR="00EF50AE" w:rsidRPr="00D210D0" w:rsidRDefault="00EF50AE" w:rsidP="00E76766">
      <w:pPr>
        <w:suppressAutoHyphens/>
        <w:spacing w:after="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50AE" w:rsidRPr="00D210D0" w14:paraId="19656ADB" w14:textId="77777777" w:rsidTr="00D86F8D">
        <w:trPr>
          <w:trHeight w:val="680"/>
        </w:trPr>
        <w:tc>
          <w:tcPr>
            <w:tcW w:w="9062" w:type="dxa"/>
            <w:shd w:val="clear" w:color="auto" w:fill="C0D7F1" w:themeFill="text2" w:themeFillTint="33"/>
            <w:vAlign w:val="center"/>
          </w:tcPr>
          <w:p w14:paraId="6B3989B9" w14:textId="24F5BFB8" w:rsidR="00EF50AE" w:rsidRPr="00D210D0" w:rsidRDefault="00EF50AE" w:rsidP="00A3755D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color w:val="404040"/>
                <w:vertAlign w:val="sub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Průměrný součinitel prostupu tepla obálky budovy ≤ 0,95 x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em,R</w:t>
            </w:r>
          </w:p>
        </w:tc>
      </w:tr>
      <w:tr w:rsidR="00EF50AE" w:rsidRPr="00D210D0" w14:paraId="246B1C98" w14:textId="77777777" w:rsidTr="00A3755D">
        <w:tc>
          <w:tcPr>
            <w:tcW w:w="9062" w:type="dxa"/>
          </w:tcPr>
          <w:p w14:paraId="62C115B8" w14:textId="79CDB9CC" w:rsidR="00EF50AE" w:rsidRPr="00D210D0" w:rsidRDefault="00EF50AE" w:rsidP="00883053">
            <w:pPr>
              <w:suppressAutoHyphens/>
              <w:spacing w:before="120" w:after="120" w:line="271" w:lineRule="auto"/>
              <w:jc w:val="both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Hodnota se stanovuje z PENB pro stav po realizaci navržených opatření. V části I – přehled plnění závazných požadavků vyhlášky č. 264/2020 Sb</w:t>
            </w:r>
            <w:r>
              <w:rPr>
                <w:rFonts w:ascii="Arial" w:eastAsia="Times New Roman" w:hAnsi="Arial" w:cs="Arial"/>
                <w:lang w:eastAsia="cs-CZ"/>
              </w:rPr>
              <w:t>.</w:t>
            </w:r>
            <w:r w:rsidR="00D86F8D">
              <w:rPr>
                <w:rFonts w:ascii="Arial" w:eastAsia="Times New Roman" w:hAnsi="Arial" w:cs="Arial"/>
                <w:lang w:eastAsia="cs-CZ"/>
              </w:rPr>
              <w:t xml:space="preserve"> –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musí být hodnota průměrného součinitele prostupu tepla U</w:t>
            </w:r>
            <w:r w:rsidRPr="00D210D0">
              <w:rPr>
                <w:rFonts w:ascii="Arial" w:eastAsia="Times New Roman" w:hAnsi="Arial" w:cs="Arial"/>
                <w:vertAlign w:val="subscript"/>
                <w:lang w:eastAsia="cs-CZ"/>
              </w:rPr>
              <w:t>em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pro hodnocenou budovu nižší </w:t>
            </w:r>
            <w:r w:rsidR="00D86F8D">
              <w:rPr>
                <w:rFonts w:ascii="Arial" w:eastAsia="Times New Roman" w:hAnsi="Arial" w:cs="Arial"/>
                <w:lang w:eastAsia="cs-CZ"/>
              </w:rPr>
              <w:t xml:space="preserve">než </w:t>
            </w:r>
            <w:r w:rsidRPr="00D210D0">
              <w:rPr>
                <w:rFonts w:ascii="Arial" w:eastAsia="Times New Roman" w:hAnsi="Arial" w:cs="Arial"/>
                <w:lang w:eastAsia="cs-CZ"/>
              </w:rPr>
              <w:t>nebo rovna 0,95násobk</w:t>
            </w:r>
            <w:r w:rsidR="00D86F8D">
              <w:rPr>
                <w:rFonts w:ascii="Arial" w:eastAsia="Times New Roman" w:hAnsi="Arial" w:cs="Arial"/>
                <w:lang w:eastAsia="cs-CZ"/>
              </w:rPr>
              <w:t>u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hodnoty pro referenční budovu U</w:t>
            </w:r>
            <w:r w:rsidRPr="00D210D0">
              <w:rPr>
                <w:rFonts w:ascii="Arial" w:eastAsia="Times New Roman" w:hAnsi="Arial" w:cs="Arial"/>
                <w:vertAlign w:val="subscript"/>
                <w:lang w:eastAsia="cs-CZ"/>
              </w:rPr>
              <w:t>em,R</w:t>
            </w:r>
            <w:r w:rsidRPr="00E76766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</w:tbl>
    <w:p w14:paraId="3C34CA83" w14:textId="77777777" w:rsidR="00EF50AE" w:rsidRPr="00D210D0" w:rsidRDefault="00EF50AE" w:rsidP="00EF50AE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50AE" w:rsidRPr="00D210D0" w14:paraId="3A84905F" w14:textId="77777777" w:rsidTr="00050FE8">
        <w:tc>
          <w:tcPr>
            <w:tcW w:w="9062" w:type="dxa"/>
            <w:shd w:val="clear" w:color="auto" w:fill="C0D7F1" w:themeFill="text2" w:themeFillTint="33"/>
          </w:tcPr>
          <w:p w14:paraId="5049CE84" w14:textId="70231A36" w:rsidR="00EF50AE" w:rsidRPr="00D210D0" w:rsidRDefault="00EF50AE" w:rsidP="00A3755D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  <w:highlight w:val="red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lastRenderedPageBreak/>
              <w:t>Součinitel prostupu tepla pro měněné stavební prvky vyjma oken, na něž se vztahuje podpora ≤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RQ</w:t>
            </w:r>
          </w:p>
        </w:tc>
      </w:tr>
      <w:tr w:rsidR="00EF50AE" w:rsidRPr="00D210D0" w14:paraId="0BF7A954" w14:textId="77777777" w:rsidTr="00A3755D">
        <w:tc>
          <w:tcPr>
            <w:tcW w:w="9062" w:type="dxa"/>
            <w:shd w:val="clear" w:color="auto" w:fill="auto"/>
          </w:tcPr>
          <w:p w14:paraId="17A0B976" w14:textId="645DC18A" w:rsidR="00EF50AE" w:rsidRPr="00050FE8" w:rsidRDefault="00EF50AE" w:rsidP="00883053">
            <w:pPr>
              <w:suppressAutoHyphens/>
              <w:spacing w:before="120" w:after="120" w:line="271" w:lineRule="auto"/>
              <w:jc w:val="both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Součinitel prostupu tepla pro měněné stavební prvky vyjma oken, na něž se vztahuje podpora ≤ U</w:t>
            </w:r>
            <w:r w:rsidRPr="00D210D0">
              <w:rPr>
                <w:rFonts w:ascii="Arial" w:eastAsia="Calibri" w:hAnsi="Arial" w:cs="Arial"/>
                <w:bCs/>
                <w:vertAlign w:val="subscript"/>
              </w:rPr>
              <w:t xml:space="preserve">RQ </w:t>
            </w:r>
            <w:r w:rsidRPr="00050FE8">
              <w:rPr>
                <w:rFonts w:ascii="Arial" w:eastAsia="Calibri" w:hAnsi="Arial" w:cs="Arial"/>
                <w:bCs/>
              </w:rPr>
              <w:t xml:space="preserve">dle odst. 6, přílohy č. 1 vyhlášky </w:t>
            </w:r>
            <w:r w:rsidR="00050FE8" w:rsidRPr="00050FE8">
              <w:rPr>
                <w:rFonts w:ascii="Arial" w:eastAsia="Calibri" w:hAnsi="Arial" w:cs="Arial"/>
                <w:bCs/>
              </w:rPr>
              <w:t xml:space="preserve">č. </w:t>
            </w:r>
            <w:r w:rsidRPr="00050FE8">
              <w:rPr>
                <w:rFonts w:ascii="Arial" w:eastAsia="Calibri" w:hAnsi="Arial" w:cs="Arial"/>
                <w:bCs/>
              </w:rPr>
              <w:t>264/2020 Sb.</w:t>
            </w:r>
          </w:p>
        </w:tc>
      </w:tr>
    </w:tbl>
    <w:p w14:paraId="3727BD9A" w14:textId="77777777" w:rsidR="00EF50AE" w:rsidRPr="00D210D0" w:rsidRDefault="00EF50AE" w:rsidP="00E76766">
      <w:pPr>
        <w:suppressAutoHyphens/>
        <w:spacing w:after="0" w:line="271" w:lineRule="auto"/>
        <w:rPr>
          <w:rFonts w:ascii="Arial" w:eastAsia="Calibri" w:hAnsi="Arial" w:cs="Arial"/>
          <w:b/>
          <w:bCs/>
          <w:highlight w:val="red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50AE" w:rsidRPr="00D210D0" w14:paraId="755320FB" w14:textId="77777777" w:rsidTr="00322218">
        <w:tc>
          <w:tcPr>
            <w:tcW w:w="9062" w:type="dxa"/>
            <w:shd w:val="clear" w:color="auto" w:fill="C0D7F1" w:themeFill="text2" w:themeFillTint="33"/>
            <w:vAlign w:val="center"/>
          </w:tcPr>
          <w:p w14:paraId="0AA19EBB" w14:textId="2905B0A5" w:rsidR="00EF50AE" w:rsidRPr="00D210D0" w:rsidRDefault="00EF50AE" w:rsidP="00A3755D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  <w:highlight w:val="red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Součinitel prostupu tepla oken, na něž se vztahuje podpora ≤ 0,60 x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R </w:t>
            </w:r>
          </w:p>
        </w:tc>
      </w:tr>
      <w:tr w:rsidR="00EF50AE" w:rsidRPr="00D210D0" w14:paraId="4DEC470F" w14:textId="77777777" w:rsidTr="00A3755D">
        <w:tc>
          <w:tcPr>
            <w:tcW w:w="9062" w:type="dxa"/>
            <w:shd w:val="clear" w:color="auto" w:fill="auto"/>
            <w:vAlign w:val="center"/>
          </w:tcPr>
          <w:p w14:paraId="262754C8" w14:textId="7BD6C3D7" w:rsidR="00EF50AE" w:rsidRPr="00322218" w:rsidRDefault="00EF50AE" w:rsidP="00883053">
            <w:pPr>
              <w:suppressAutoHyphens/>
              <w:spacing w:before="120" w:after="120" w:line="271" w:lineRule="auto"/>
              <w:jc w:val="both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Součinitel prostupu tepla oken, na něž se vztahuje podpora</w:t>
            </w:r>
            <w:r w:rsidR="00322218">
              <w:rPr>
                <w:rFonts w:ascii="Arial" w:eastAsia="Calibri" w:hAnsi="Arial" w:cs="Arial"/>
                <w:bCs/>
              </w:rPr>
              <w:t xml:space="preserve"> </w:t>
            </w:r>
            <w:r w:rsidRPr="00D210D0">
              <w:rPr>
                <w:rFonts w:ascii="Arial" w:eastAsia="Calibri" w:hAnsi="Arial" w:cs="Arial"/>
                <w:bCs/>
              </w:rPr>
              <w:t>≤ 0,60 x U</w:t>
            </w:r>
            <w:r w:rsidRPr="00322218">
              <w:rPr>
                <w:rFonts w:ascii="Arial" w:eastAsia="Calibri" w:hAnsi="Arial" w:cs="Arial"/>
                <w:bCs/>
                <w:vertAlign w:val="subscript"/>
              </w:rPr>
              <w:t>R</w:t>
            </w:r>
            <w:r w:rsidRPr="00D210D0">
              <w:rPr>
                <w:rFonts w:ascii="Arial" w:eastAsia="Calibri" w:hAnsi="Arial" w:cs="Arial"/>
                <w:bCs/>
              </w:rPr>
              <w:t xml:space="preserve"> </w:t>
            </w:r>
            <w:r w:rsidRPr="00322218">
              <w:rPr>
                <w:rFonts w:ascii="Arial" w:eastAsia="Calibri" w:hAnsi="Arial" w:cs="Arial"/>
                <w:bCs/>
              </w:rPr>
              <w:t xml:space="preserve">dle odst. 6, přílohy č. 1 vyhlášky </w:t>
            </w:r>
            <w:r w:rsidR="00322218">
              <w:rPr>
                <w:rFonts w:ascii="Arial" w:eastAsia="Calibri" w:hAnsi="Arial" w:cs="Arial"/>
                <w:bCs/>
              </w:rPr>
              <w:t xml:space="preserve">č. </w:t>
            </w:r>
            <w:r w:rsidRPr="00322218">
              <w:rPr>
                <w:rFonts w:ascii="Arial" w:eastAsia="Calibri" w:hAnsi="Arial" w:cs="Arial"/>
                <w:bCs/>
              </w:rPr>
              <w:t>264/2020 Sb.</w:t>
            </w:r>
          </w:p>
        </w:tc>
      </w:tr>
    </w:tbl>
    <w:p w14:paraId="7C6EF272" w14:textId="77777777" w:rsidR="00EF50AE" w:rsidRPr="00D210D0" w:rsidRDefault="00EF50AE" w:rsidP="00E76766">
      <w:pPr>
        <w:suppressAutoHyphens/>
        <w:spacing w:after="0" w:line="271" w:lineRule="auto"/>
        <w:rPr>
          <w:rFonts w:ascii="Arial" w:eastAsia="Times New Roman" w:hAnsi="Arial" w:cs="Arial"/>
          <w:b/>
          <w:color w:val="404040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50AE" w:rsidRPr="00D210D0" w14:paraId="16A29A63" w14:textId="77777777" w:rsidTr="00C6487F">
        <w:tc>
          <w:tcPr>
            <w:tcW w:w="9062" w:type="dxa"/>
            <w:shd w:val="clear" w:color="auto" w:fill="C0D7F1" w:themeFill="text2" w:themeFillTint="33"/>
          </w:tcPr>
          <w:p w14:paraId="4758041D" w14:textId="0DB1700C" w:rsidR="00EF50AE" w:rsidRPr="00D210D0" w:rsidRDefault="00EF50AE" w:rsidP="00A3755D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Nejvyšší denní teplota vzduchu v místnosti v letním období ≤ Ɵ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op,max,RQ</w:t>
            </w:r>
          </w:p>
        </w:tc>
      </w:tr>
      <w:tr w:rsidR="00EF50AE" w:rsidRPr="00D210D0" w14:paraId="45FBDFBE" w14:textId="77777777" w:rsidTr="00A3755D">
        <w:tc>
          <w:tcPr>
            <w:tcW w:w="9062" w:type="dxa"/>
          </w:tcPr>
          <w:p w14:paraId="7709973C" w14:textId="77777777" w:rsidR="00EF50AE" w:rsidRPr="00D210D0" w:rsidRDefault="00EF50AE" w:rsidP="00883053">
            <w:pPr>
              <w:spacing w:before="120" w:after="120" w:line="271" w:lineRule="auto"/>
              <w:jc w:val="both"/>
              <w:rPr>
                <w:rFonts w:ascii="Arial" w:eastAsia="Calibri" w:hAnsi="Arial" w:cs="Arial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Stanovuje se výpočtem na základě typického způsobu užívání zohledňujícího navržený koncept větrání.</w:t>
            </w:r>
          </w:p>
        </w:tc>
      </w:tr>
    </w:tbl>
    <w:p w14:paraId="6AC35B1B" w14:textId="77777777" w:rsidR="00EF50AE" w:rsidRPr="00D210D0" w:rsidRDefault="00EF50AE" w:rsidP="00E76766">
      <w:pPr>
        <w:suppressAutoHyphens/>
        <w:spacing w:after="0" w:line="271" w:lineRule="auto"/>
        <w:rPr>
          <w:rFonts w:ascii="Arial" w:eastAsia="Times New Roman" w:hAnsi="Arial" w:cs="Arial"/>
          <w:b/>
          <w:color w:val="404040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50AE" w:rsidRPr="00D210D0" w14:paraId="67BB14BD" w14:textId="77777777" w:rsidTr="00852C39">
        <w:tc>
          <w:tcPr>
            <w:tcW w:w="9062" w:type="dxa"/>
            <w:shd w:val="clear" w:color="auto" w:fill="C0D7F1" w:themeFill="text2" w:themeFillTint="33"/>
          </w:tcPr>
          <w:p w14:paraId="638B07E7" w14:textId="3F7504A1" w:rsidR="00EF50AE" w:rsidRPr="00D210D0" w:rsidRDefault="00EF50AE" w:rsidP="00A3755D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Zajištěna trvalá koncentrace CO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2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≤ 1500 ppm v obytných a pobytových místnostech v souladu s pravidlem správné praxe HK ČR r.č. HKCR/4/17/01 ze dne 16. 8. 2017, TPW 170 01</w:t>
            </w:r>
          </w:p>
        </w:tc>
      </w:tr>
      <w:tr w:rsidR="00EF50AE" w:rsidRPr="00D210D0" w14:paraId="137436F5" w14:textId="77777777" w:rsidTr="00A3755D">
        <w:tc>
          <w:tcPr>
            <w:tcW w:w="9062" w:type="dxa"/>
          </w:tcPr>
          <w:p w14:paraId="0F177F1D" w14:textId="2333B6B6" w:rsidR="00EF50AE" w:rsidRPr="00D210D0" w:rsidRDefault="00EF50AE" w:rsidP="00883053">
            <w:pPr>
              <w:suppressAutoHyphens/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52C39">
              <w:rPr>
                <w:rFonts w:ascii="Arial" w:eastAsia="Times New Roman" w:hAnsi="Arial" w:cs="Arial"/>
                <w:bCs/>
                <w:lang w:eastAsia="cs-CZ"/>
              </w:rPr>
              <w:t xml:space="preserve">Splnění </w:t>
            </w:r>
            <w:r w:rsidR="00852C39" w:rsidRPr="00852C39">
              <w:rPr>
                <w:rFonts w:ascii="Arial" w:eastAsia="Times New Roman" w:hAnsi="Arial" w:cs="Arial"/>
                <w:bCs/>
                <w:lang w:eastAsia="cs-CZ"/>
              </w:rPr>
              <w:t>ukazatele</w:t>
            </w:r>
            <w:r w:rsidRPr="00852C39">
              <w:rPr>
                <w:rFonts w:ascii="Arial" w:eastAsia="Times New Roman" w:hAnsi="Arial" w:cs="Arial"/>
                <w:bCs/>
                <w:lang w:eastAsia="cs-CZ"/>
              </w:rPr>
              <w:t xml:space="preserve"> se posuzuje prohlášením autorizované osoby v oboru technika vnitřního prostředí (</w:t>
            </w:r>
            <w:r w:rsidR="00852C39">
              <w:rPr>
                <w:rFonts w:ascii="Arial" w:eastAsia="Times New Roman" w:hAnsi="Arial" w:cs="Arial"/>
                <w:bCs/>
                <w:lang w:eastAsia="cs-CZ"/>
              </w:rPr>
              <w:t xml:space="preserve">doloženým jako 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povinná příloha </w:t>
            </w:r>
            <w:r w:rsidR="00852C39" w:rsidRPr="00D210D0">
              <w:rPr>
                <w:rFonts w:ascii="Arial" w:eastAsia="Times New Roman" w:hAnsi="Arial" w:cs="Arial"/>
                <w:lang w:eastAsia="cs-CZ"/>
              </w:rPr>
              <w:t xml:space="preserve">žádosti o podporu 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č. </w:t>
            </w:r>
            <w:r w:rsidR="008E54F5">
              <w:rPr>
                <w:rFonts w:ascii="Arial" w:eastAsia="Times New Roman" w:hAnsi="Arial" w:cs="Arial"/>
                <w:lang w:eastAsia="cs-CZ"/>
              </w:rPr>
              <w:t>20</w:t>
            </w:r>
            <w:r w:rsidRPr="00D210D0">
              <w:rPr>
                <w:rFonts w:ascii="Arial" w:eastAsia="Times New Roman" w:hAnsi="Arial" w:cs="Arial"/>
                <w:lang w:eastAsia="cs-CZ"/>
              </w:rPr>
              <w:t>) s uvedením výpisu obytných a pobytových místností v posuzované budově a popisu zajištění konceptu větrání ve vazbě na projektovou dokumentaci a popis souladu s pravidlem správné praxe HK ČR r. č. HKCR/4/17/01 ze dne 16. 8. 2017, TPW 170 01</w:t>
            </w:r>
            <w:r w:rsidR="00883053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</w:tbl>
    <w:p w14:paraId="38D131C1" w14:textId="65D006C2" w:rsidR="008D3C62" w:rsidRPr="00A92DAC" w:rsidRDefault="008D3C62" w:rsidP="00E76766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0" w:name="_Toc125699332"/>
      <w:r>
        <w:rPr>
          <w:rFonts w:ascii="Arial" w:hAnsi="Arial" w:cs="Arial"/>
          <w:caps/>
          <w:sz w:val="26"/>
          <w:szCs w:val="26"/>
        </w:rPr>
        <w:t>Výstavba nových</w:t>
      </w:r>
      <w:r w:rsidRPr="00A92DAC">
        <w:rPr>
          <w:rFonts w:ascii="Arial" w:hAnsi="Arial" w:cs="Arial"/>
          <w:caps/>
          <w:sz w:val="26"/>
          <w:szCs w:val="26"/>
        </w:rPr>
        <w:t xml:space="preserve"> budov</w:t>
      </w:r>
      <w:bookmarkEnd w:id="10"/>
    </w:p>
    <w:p w14:paraId="6125D610" w14:textId="07F8D3C8" w:rsidR="00370671" w:rsidRPr="00370671" w:rsidRDefault="00370671" w:rsidP="00370671">
      <w:pPr>
        <w:suppressAutoHyphens/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370671">
        <w:rPr>
          <w:rFonts w:ascii="Arial" w:eastAsia="Times New Roman" w:hAnsi="Arial" w:cs="Arial"/>
          <w:lang w:eastAsia="cs-CZ"/>
        </w:rPr>
        <w:t xml:space="preserve">U výstavby nové </w:t>
      </w:r>
      <w:r w:rsidR="001222DE">
        <w:rPr>
          <w:rFonts w:ascii="Arial" w:eastAsia="Times New Roman" w:hAnsi="Arial" w:cs="Arial"/>
          <w:lang w:eastAsia="cs-CZ"/>
        </w:rPr>
        <w:t xml:space="preserve">samostatné </w:t>
      </w:r>
      <w:r w:rsidR="0033110C" w:rsidRPr="00BF6914">
        <w:rPr>
          <w:rFonts w:ascii="Arial" w:eastAsia="Times New Roman" w:hAnsi="Arial" w:cs="Arial"/>
          <w:lang w:eastAsia="cs-CZ"/>
        </w:rPr>
        <w:t>provozní</w:t>
      </w:r>
      <w:r w:rsidR="0033110C">
        <w:rPr>
          <w:rFonts w:ascii="Arial" w:eastAsia="Times New Roman" w:hAnsi="Arial" w:cs="Arial"/>
          <w:lang w:eastAsia="cs-CZ"/>
        </w:rPr>
        <w:t xml:space="preserve"> </w:t>
      </w:r>
      <w:r w:rsidRPr="00370671">
        <w:rPr>
          <w:rFonts w:ascii="Arial" w:eastAsia="Times New Roman" w:hAnsi="Arial" w:cs="Arial"/>
          <w:lang w:eastAsia="cs-CZ"/>
        </w:rPr>
        <w:t xml:space="preserve">budovy </w:t>
      </w:r>
      <w:r>
        <w:rPr>
          <w:rFonts w:ascii="Arial" w:eastAsia="Times New Roman" w:hAnsi="Arial" w:cs="Arial"/>
          <w:lang w:eastAsia="cs-CZ"/>
        </w:rPr>
        <w:t xml:space="preserve">musí být </w:t>
      </w:r>
      <w:r w:rsidRPr="00370671">
        <w:rPr>
          <w:rFonts w:ascii="Arial" w:eastAsia="Times New Roman" w:hAnsi="Arial" w:cs="Arial"/>
          <w:lang w:eastAsia="cs-CZ"/>
        </w:rPr>
        <w:t xml:space="preserve">splněny požadavky pasivního standardu. V případech, u kterých s ohledem na specifický typ provozování nelze docílit pasivního standardu, </w:t>
      </w:r>
      <w:r>
        <w:rPr>
          <w:rFonts w:ascii="Arial" w:eastAsia="Times New Roman" w:hAnsi="Arial" w:cs="Arial"/>
          <w:lang w:eastAsia="cs-CZ"/>
        </w:rPr>
        <w:t>musí být splněny požadavky</w:t>
      </w:r>
      <w:r w:rsidRPr="00370671">
        <w:rPr>
          <w:rFonts w:ascii="Arial" w:eastAsia="Times New Roman" w:hAnsi="Arial" w:cs="Arial"/>
          <w:lang w:eastAsia="cs-CZ"/>
        </w:rPr>
        <w:t xml:space="preserve"> tzv. vysok</w:t>
      </w:r>
      <w:r>
        <w:rPr>
          <w:rFonts w:ascii="Arial" w:eastAsia="Times New Roman" w:hAnsi="Arial" w:cs="Arial"/>
          <w:lang w:eastAsia="cs-CZ"/>
        </w:rPr>
        <w:t>ého</w:t>
      </w:r>
      <w:r w:rsidRPr="00370671">
        <w:rPr>
          <w:rFonts w:ascii="Arial" w:eastAsia="Times New Roman" w:hAnsi="Arial" w:cs="Arial"/>
          <w:lang w:eastAsia="cs-CZ"/>
        </w:rPr>
        <w:t xml:space="preserve"> energetick</w:t>
      </w:r>
      <w:r>
        <w:rPr>
          <w:rFonts w:ascii="Arial" w:eastAsia="Times New Roman" w:hAnsi="Arial" w:cs="Arial"/>
          <w:lang w:eastAsia="cs-CZ"/>
        </w:rPr>
        <w:t xml:space="preserve">ého </w:t>
      </w:r>
      <w:r w:rsidRPr="00370671">
        <w:rPr>
          <w:rFonts w:ascii="Arial" w:eastAsia="Times New Roman" w:hAnsi="Arial" w:cs="Arial"/>
          <w:lang w:eastAsia="cs-CZ"/>
        </w:rPr>
        <w:t>standard</w:t>
      </w:r>
      <w:r>
        <w:rPr>
          <w:rFonts w:ascii="Arial" w:eastAsia="Times New Roman" w:hAnsi="Arial" w:cs="Arial"/>
          <w:lang w:eastAsia="cs-CZ"/>
        </w:rPr>
        <w:t>u</w:t>
      </w:r>
      <w:r w:rsidRPr="00370671">
        <w:rPr>
          <w:rFonts w:ascii="Arial" w:eastAsia="Times New Roman" w:hAnsi="Arial" w:cs="Arial"/>
          <w:lang w:eastAsia="cs-CZ"/>
        </w:rPr>
        <w:t>.</w:t>
      </w:r>
    </w:p>
    <w:p w14:paraId="48CE436C" w14:textId="180D7FB3" w:rsidR="00242C27" w:rsidRDefault="00883053" w:rsidP="008D3C62">
      <w:pPr>
        <w:spacing w:before="120" w:after="120" w:line="271" w:lineRule="auto"/>
        <w:jc w:val="both"/>
        <w:rPr>
          <w:rFonts w:ascii="Arial" w:eastAsia="Times New Roman" w:hAnsi="Arial" w:cs="Arial"/>
          <w:noProof/>
          <w:color w:val="000000"/>
          <w:lang w:eastAsia="cs-CZ"/>
        </w:rPr>
      </w:pPr>
      <w:r w:rsidRPr="00883053">
        <w:rPr>
          <w:rFonts w:ascii="Arial" w:eastAsia="Times New Roman" w:hAnsi="Arial" w:cs="Arial"/>
          <w:noProof/>
          <w:color w:val="000000"/>
          <w:lang w:eastAsia="cs-CZ"/>
        </w:rPr>
        <w:t xml:space="preserve">Požadavky s odůvodněním zařazení do kategorie vysokého energetického standardu musí být jednoznačně uvedeny v </w:t>
      </w:r>
      <w:r w:rsidR="00242C27">
        <w:rPr>
          <w:rFonts w:ascii="Arial" w:eastAsia="Times New Roman" w:hAnsi="Arial" w:cs="Arial"/>
          <w:noProof/>
          <w:color w:val="000000"/>
          <w:lang w:eastAsia="cs-CZ"/>
        </w:rPr>
        <w:t>e</w:t>
      </w:r>
      <w:r w:rsidRPr="00883053">
        <w:rPr>
          <w:rFonts w:ascii="Arial" w:eastAsia="Times New Roman" w:hAnsi="Arial" w:cs="Arial"/>
          <w:noProof/>
          <w:color w:val="000000"/>
          <w:lang w:eastAsia="cs-CZ"/>
        </w:rPr>
        <w:t>nergetickém posudku zpracovaném dle § 9a, odst. 1, písm. d) zákona č. 406/2000 Sb.</w:t>
      </w:r>
      <w:r w:rsidR="00DB1E37">
        <w:rPr>
          <w:rFonts w:ascii="Arial" w:eastAsia="Times New Roman" w:hAnsi="Arial" w:cs="Arial"/>
          <w:noProof/>
          <w:color w:val="000000"/>
          <w:lang w:eastAsia="cs-CZ"/>
        </w:rPr>
        <w:t>,</w:t>
      </w:r>
      <w:r w:rsidRPr="00883053">
        <w:rPr>
          <w:rFonts w:ascii="Arial" w:eastAsia="Times New Roman" w:hAnsi="Arial" w:cs="Arial"/>
          <w:noProof/>
          <w:color w:val="000000"/>
          <w:lang w:eastAsia="cs-CZ"/>
        </w:rPr>
        <w:t xml:space="preserve"> o hospodaření energií, ve znění pozdějších předpisů, a vyhlášky č.</w:t>
      </w:r>
      <w:r w:rsidR="00A902B2">
        <w:rPr>
          <w:rFonts w:ascii="Arial" w:eastAsia="Times New Roman" w:hAnsi="Arial" w:cs="Arial"/>
          <w:noProof/>
          <w:color w:val="000000"/>
          <w:lang w:eastAsia="cs-CZ"/>
        </w:rPr>
        <w:t> </w:t>
      </w:r>
      <w:r w:rsidRPr="00883053">
        <w:rPr>
          <w:rFonts w:ascii="Arial" w:eastAsia="Times New Roman" w:hAnsi="Arial" w:cs="Arial"/>
          <w:noProof/>
          <w:color w:val="000000"/>
          <w:lang w:eastAsia="cs-CZ"/>
        </w:rPr>
        <w:t>141/2021 Sb.</w:t>
      </w:r>
      <w:r w:rsidR="00B60B8A">
        <w:rPr>
          <w:rFonts w:ascii="Arial" w:eastAsia="Times New Roman" w:hAnsi="Arial" w:cs="Arial"/>
          <w:noProof/>
          <w:color w:val="000000"/>
          <w:lang w:eastAsia="cs-CZ"/>
        </w:rPr>
        <w:t>,</w:t>
      </w:r>
      <w:r w:rsidRPr="00883053">
        <w:rPr>
          <w:rFonts w:ascii="Arial" w:eastAsia="Times New Roman" w:hAnsi="Arial" w:cs="Arial"/>
          <w:noProof/>
          <w:color w:val="000000"/>
          <w:lang w:eastAsia="cs-CZ"/>
        </w:rPr>
        <w:t xml:space="preserve"> o energetickém posudku a o údajích vedených v Systému monitoringu spotřeby energie, který je zajištěn žadatelem. Žadatel posudek přikládá jako povinnou přílohu žádosti o podporu č. </w:t>
      </w:r>
      <w:r w:rsidR="00242C27">
        <w:rPr>
          <w:rFonts w:ascii="Arial" w:eastAsia="Times New Roman" w:hAnsi="Arial" w:cs="Arial"/>
          <w:noProof/>
          <w:color w:val="000000"/>
          <w:lang w:eastAsia="cs-CZ"/>
        </w:rPr>
        <w:t>2</w:t>
      </w:r>
      <w:r w:rsidRPr="00883053">
        <w:rPr>
          <w:rFonts w:ascii="Arial" w:eastAsia="Times New Roman" w:hAnsi="Arial" w:cs="Arial"/>
          <w:noProof/>
          <w:color w:val="000000"/>
          <w:lang w:eastAsia="cs-CZ"/>
        </w:rPr>
        <w:t>1</w:t>
      </w:r>
      <w:r w:rsidR="00242C27">
        <w:rPr>
          <w:rFonts w:ascii="Arial" w:eastAsia="Times New Roman" w:hAnsi="Arial" w:cs="Arial"/>
          <w:noProof/>
          <w:color w:val="000000"/>
          <w:lang w:eastAsia="cs-CZ"/>
        </w:rPr>
        <w:t>.</w:t>
      </w:r>
    </w:p>
    <w:p w14:paraId="4C6E949A" w14:textId="45577FCA" w:rsidR="008D3C62" w:rsidRPr="00D210D0" w:rsidRDefault="008D3C62" w:rsidP="008D3C62">
      <w:pPr>
        <w:spacing w:before="120" w:after="120" w:line="271" w:lineRule="auto"/>
        <w:jc w:val="both"/>
        <w:rPr>
          <w:rFonts w:ascii="Arial" w:eastAsia="Times New Roman" w:hAnsi="Arial" w:cs="Arial"/>
          <w:noProof/>
          <w:color w:val="000000"/>
          <w:lang w:eastAsia="cs-CZ"/>
        </w:rPr>
      </w:pPr>
      <w:r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 </w:t>
      </w:r>
    </w:p>
    <w:p w14:paraId="15B27927" w14:textId="77777777" w:rsidR="00EF50AE" w:rsidRDefault="00EF50AE" w:rsidP="00FA5D9B">
      <w:pPr>
        <w:spacing w:before="120"/>
        <w:jc w:val="both"/>
        <w:rPr>
          <w:rFonts w:ascii="Arial" w:hAnsi="Arial" w:cs="Arial"/>
        </w:rPr>
      </w:pPr>
    </w:p>
    <w:p w14:paraId="40B5EB53" w14:textId="293FE0A3" w:rsidR="003832F1" w:rsidRDefault="003832F1" w:rsidP="003832F1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1" w:name="_Toc125699333"/>
      <w:r>
        <w:rPr>
          <w:rFonts w:ascii="Arial" w:hAnsi="Arial" w:cs="Arial"/>
          <w:caps/>
          <w:sz w:val="22"/>
          <w:szCs w:val="22"/>
        </w:rPr>
        <w:lastRenderedPageBreak/>
        <w:t>3</w:t>
      </w:r>
      <w:r w:rsidR="005A02AC" w:rsidRPr="00C321D5">
        <w:rPr>
          <w:rFonts w:ascii="Arial" w:hAnsi="Arial" w:cs="Arial"/>
          <w:caps/>
          <w:sz w:val="22"/>
          <w:szCs w:val="22"/>
        </w:rPr>
        <w:t>.</w:t>
      </w:r>
      <w:r w:rsidR="00BE4B19">
        <w:rPr>
          <w:rFonts w:ascii="Arial" w:hAnsi="Arial" w:cs="Arial"/>
          <w:caps/>
          <w:sz w:val="22"/>
          <w:szCs w:val="22"/>
        </w:rPr>
        <w:t>1</w:t>
      </w:r>
      <w:r w:rsidR="005A02AC"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3832F1">
        <w:rPr>
          <w:rFonts w:ascii="Arial" w:hAnsi="Arial" w:cs="Arial"/>
          <w:caps/>
          <w:sz w:val="22"/>
          <w:szCs w:val="22"/>
        </w:rPr>
        <w:t>NOVÁ BUDOVA V PASIVNÍM ENERGETICKÉM STANDARDU (TÝKÁ SE I PŘÍSTAVEB A NÁSTAVEB)</w:t>
      </w:r>
      <w:bookmarkEnd w:id="11"/>
    </w:p>
    <w:p w14:paraId="1299A303" w14:textId="77777777" w:rsidR="003832F1" w:rsidRPr="003832F1" w:rsidRDefault="003832F1" w:rsidP="00E76766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832F1" w:rsidRPr="00D210D0" w14:paraId="23932C38" w14:textId="77777777" w:rsidTr="00872A9E">
        <w:tc>
          <w:tcPr>
            <w:tcW w:w="9062" w:type="dxa"/>
            <w:shd w:val="clear" w:color="auto" w:fill="BDD6EE"/>
          </w:tcPr>
          <w:p w14:paraId="1E119523" w14:textId="7A92AAAA" w:rsidR="003832F1" w:rsidRPr="00D210D0" w:rsidRDefault="003832F1" w:rsidP="00872A9E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Průvzdušnost obálky budovy při tlakovém rozdílu 50 Pa n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50 </w:t>
            </w:r>
            <w:r w:rsidRPr="00D210D0">
              <w:rPr>
                <w:rFonts w:ascii="Arial" w:eastAsia="Calibri" w:hAnsi="Arial" w:cs="Arial"/>
                <w:b/>
                <w:bCs/>
              </w:rPr>
              <w:t>≤</w:t>
            </w:r>
            <w:r w:rsidR="00AD7DC4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Pr="00D210D0">
              <w:rPr>
                <w:rFonts w:ascii="Arial" w:eastAsia="Calibri" w:hAnsi="Arial" w:cs="Arial"/>
                <w:b/>
                <w:bCs/>
              </w:rPr>
              <w:t>0,6.h</w:t>
            </w:r>
            <w:r w:rsidR="00D7499F">
              <w:rPr>
                <w:rFonts w:ascii="Arial" w:eastAsia="Calibri" w:hAnsi="Arial" w:cs="Arial"/>
                <w:b/>
                <w:bCs/>
                <w:vertAlign w:val="superscript"/>
              </w:rPr>
              <w:t>-1</w:t>
            </w:r>
          </w:p>
        </w:tc>
      </w:tr>
      <w:tr w:rsidR="003832F1" w:rsidRPr="00D210D0" w14:paraId="7FE6F2D3" w14:textId="77777777" w:rsidTr="00872A9E">
        <w:tc>
          <w:tcPr>
            <w:tcW w:w="9062" w:type="dxa"/>
          </w:tcPr>
          <w:p w14:paraId="60142547" w14:textId="77777777" w:rsidR="003832F1" w:rsidRPr="00D210D0" w:rsidRDefault="003832F1" w:rsidP="00872A9E">
            <w:pPr>
              <w:spacing w:before="120" w:after="120" w:line="271" w:lineRule="auto"/>
              <w:jc w:val="both"/>
              <w:rPr>
                <w:rFonts w:ascii="Arial" w:eastAsia="Calibri" w:hAnsi="Arial" w:cs="Arial"/>
              </w:rPr>
            </w:pPr>
            <w:r w:rsidRPr="00D210D0">
              <w:rPr>
                <w:rFonts w:ascii="Arial" w:eastAsia="Calibri" w:hAnsi="Arial" w:cs="Arial"/>
              </w:rPr>
              <w:t xml:space="preserve">Dokládá se po realizaci navržených opatření protokolem o měření průvzdušnosti obálky budovy. Měření musí být provedeno v souladu s ČSN EN ISO 9972 Tepelné chování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Stanovení průvzdušnosti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Tlaková metoda dle metody 1. K žádosti o podporu se požadavek prokazuje pouze uvedením závazku ve stavební dokumentaci.</w:t>
            </w:r>
          </w:p>
        </w:tc>
      </w:tr>
    </w:tbl>
    <w:p w14:paraId="59FE8748" w14:textId="77777777" w:rsidR="003832F1" w:rsidRPr="00D210D0" w:rsidRDefault="003832F1" w:rsidP="00E76766">
      <w:pPr>
        <w:suppressAutoHyphens/>
        <w:spacing w:after="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832F1" w:rsidRPr="00D210D0" w14:paraId="405BBFDC" w14:textId="77777777" w:rsidTr="00872A9E">
        <w:tc>
          <w:tcPr>
            <w:tcW w:w="9062" w:type="dxa"/>
            <w:shd w:val="clear" w:color="auto" w:fill="BDD6EE"/>
          </w:tcPr>
          <w:p w14:paraId="1498AE19" w14:textId="77777777" w:rsidR="003832F1" w:rsidRPr="00D210D0" w:rsidRDefault="003832F1" w:rsidP="00872A9E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Průměrný součinitel prostupu tepla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≤ 0,35 W.m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-2</w:t>
            </w:r>
            <w:r w:rsidRPr="00D210D0">
              <w:rPr>
                <w:rFonts w:ascii="Arial" w:eastAsia="Calibri" w:hAnsi="Arial" w:cs="Arial"/>
                <w:b/>
                <w:bCs/>
              </w:rPr>
              <w:t>K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-1</w:t>
            </w:r>
          </w:p>
        </w:tc>
      </w:tr>
    </w:tbl>
    <w:p w14:paraId="1ADC3F67" w14:textId="77777777" w:rsidR="003832F1" w:rsidRPr="00D210D0" w:rsidRDefault="003832F1" w:rsidP="00E76766">
      <w:pPr>
        <w:suppressAutoHyphens/>
        <w:spacing w:after="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832F1" w:rsidRPr="00D210D0" w14:paraId="5AC01833" w14:textId="77777777" w:rsidTr="00872A9E">
        <w:tc>
          <w:tcPr>
            <w:tcW w:w="9062" w:type="dxa"/>
            <w:shd w:val="clear" w:color="auto" w:fill="BDD6EE"/>
          </w:tcPr>
          <w:p w14:paraId="0E791C27" w14:textId="34DA511E" w:rsidR="003832F1" w:rsidRPr="00D210D0" w:rsidRDefault="003832F1" w:rsidP="00872A9E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Měrná potřeba tepla na vytápění (průměrná výška budovy ≤ 4 m)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 15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  <w:p w14:paraId="5739AD74" w14:textId="5F9413E2" w:rsidR="003832F1" w:rsidRPr="00D210D0" w:rsidRDefault="003832F1" w:rsidP="00872A9E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Měrná potřeba tepla na vytápění (průměrn</w:t>
            </w:r>
            <w:r w:rsidR="004C7C2A">
              <w:rPr>
                <w:rFonts w:ascii="Arial" w:eastAsia="Calibri" w:hAnsi="Arial" w:cs="Arial"/>
                <w:b/>
                <w:bCs/>
              </w:rPr>
              <w:t>á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výš</w:t>
            </w:r>
            <w:r w:rsidR="004C7C2A">
              <w:rPr>
                <w:rFonts w:ascii="Arial" w:eastAsia="Calibri" w:hAnsi="Arial" w:cs="Arial"/>
                <w:b/>
                <w:bCs/>
              </w:rPr>
              <w:t>ka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budovy ≥ 8 m)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 ≤ 20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</w:tc>
      </w:tr>
      <w:tr w:rsidR="003832F1" w:rsidRPr="00D210D0" w14:paraId="49043539" w14:textId="77777777" w:rsidTr="00872A9E">
        <w:tc>
          <w:tcPr>
            <w:tcW w:w="9062" w:type="dxa"/>
          </w:tcPr>
          <w:p w14:paraId="166D4D4C" w14:textId="496FE670" w:rsidR="003832F1" w:rsidRPr="00D210D0" w:rsidRDefault="003832F1" w:rsidP="004C7C2A">
            <w:pPr>
              <w:suppressAutoHyphens/>
              <w:spacing w:before="120" w:after="120" w:line="271" w:lineRule="auto"/>
              <w:jc w:val="both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Výsledek výpočtu měrné potřeby tepla na vytápění se zaokrouhluje na celé číslo. Požadavek na měrnou potřebu tepla na vytápění</w:t>
            </w:r>
            <w:r w:rsidR="004C7C2A">
              <w:rPr>
                <w:rFonts w:ascii="Arial" w:eastAsia="Calibri" w:hAnsi="Arial" w:cs="Arial"/>
                <w:bCs/>
              </w:rPr>
              <w:t xml:space="preserve"> </w:t>
            </w:r>
            <w:r w:rsidRPr="00D210D0">
              <w:rPr>
                <w:rFonts w:ascii="Arial" w:eastAsia="Calibri" w:hAnsi="Arial" w:cs="Arial"/>
                <w:bCs/>
              </w:rPr>
              <w:t>u budov s průměrnou výškou mezi 4 m až 8 m je definován lineární závislostí mezi body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[4 m, 15 kWh.m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-1</w:t>
            </w:r>
            <w:r w:rsidRPr="00D210D0">
              <w:rPr>
                <w:rFonts w:ascii="Arial" w:eastAsia="Times New Roman" w:hAnsi="Arial" w:cs="Arial"/>
                <w:lang w:eastAsia="cs-CZ"/>
              </w:rPr>
              <w:t>] a [8 m, 20 kWh.m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-1</w:t>
            </w:r>
            <w:r w:rsidRPr="00D210D0">
              <w:rPr>
                <w:rFonts w:ascii="Arial" w:eastAsia="Times New Roman" w:hAnsi="Arial" w:cs="Arial"/>
                <w:lang w:eastAsia="cs-CZ"/>
              </w:rPr>
              <w:t>]</w:t>
            </w:r>
            <w:r w:rsidRPr="00D210D0">
              <w:rPr>
                <w:rFonts w:ascii="Arial" w:eastAsia="Calibri" w:hAnsi="Arial" w:cs="Arial"/>
                <w:bCs/>
              </w:rPr>
              <w:t>.</w:t>
            </w:r>
          </w:p>
          <w:p w14:paraId="7A3B1E3E" w14:textId="64E8255C" w:rsidR="003832F1" w:rsidRPr="00D210D0" w:rsidRDefault="003832F1" w:rsidP="004C7C2A">
            <w:pPr>
              <w:suppressAutoHyphens/>
              <w:spacing w:before="120" w:after="120" w:line="271" w:lineRule="auto"/>
              <w:jc w:val="both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Pozn.</w:t>
            </w:r>
            <w:r w:rsidR="004C7C2A">
              <w:rPr>
                <w:rFonts w:ascii="Arial" w:eastAsia="Calibri" w:hAnsi="Arial" w:cs="Arial"/>
                <w:bCs/>
              </w:rPr>
              <w:t>:</w:t>
            </w:r>
            <w:r w:rsidRPr="00D210D0">
              <w:rPr>
                <w:rFonts w:ascii="Arial" w:eastAsia="Calibri" w:hAnsi="Arial" w:cs="Arial"/>
                <w:bCs/>
              </w:rPr>
              <w:t xml:space="preserve"> Průměrnou výšku budovy uvede projektant v projektové dokumentaci.</w:t>
            </w:r>
          </w:p>
        </w:tc>
      </w:tr>
    </w:tbl>
    <w:p w14:paraId="417A998F" w14:textId="77777777" w:rsidR="003832F1" w:rsidRPr="00D210D0" w:rsidRDefault="003832F1" w:rsidP="00E76766">
      <w:pPr>
        <w:suppressAutoHyphens/>
        <w:spacing w:after="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832F1" w:rsidRPr="00D210D0" w14:paraId="1ECAB54B" w14:textId="77777777" w:rsidTr="00872A9E">
        <w:tc>
          <w:tcPr>
            <w:tcW w:w="9062" w:type="dxa"/>
            <w:shd w:val="clear" w:color="auto" w:fill="BDD6EE"/>
          </w:tcPr>
          <w:p w14:paraId="1761D23A" w14:textId="77777777" w:rsidR="003832F1" w:rsidRPr="00D210D0" w:rsidRDefault="003832F1" w:rsidP="00872A9E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Měrná potřeba tepla na chlazení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 15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</w:tc>
      </w:tr>
    </w:tbl>
    <w:p w14:paraId="6199B6E4" w14:textId="77777777" w:rsidR="003832F1" w:rsidRPr="00D210D0" w:rsidRDefault="003832F1" w:rsidP="00E76766">
      <w:pPr>
        <w:suppressAutoHyphens/>
        <w:spacing w:after="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832F1" w:rsidRPr="00D210D0" w14:paraId="5EB83695" w14:textId="77777777" w:rsidTr="00872A9E">
        <w:tc>
          <w:tcPr>
            <w:tcW w:w="9062" w:type="dxa"/>
            <w:shd w:val="clear" w:color="auto" w:fill="BDD6EE"/>
          </w:tcPr>
          <w:p w14:paraId="610A2EF4" w14:textId="77777777" w:rsidR="003832F1" w:rsidRPr="00D210D0" w:rsidRDefault="003832F1" w:rsidP="00872A9E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 Ɵ</w:t>
            </w:r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ai,max,N</w:t>
            </w:r>
          </w:p>
        </w:tc>
      </w:tr>
      <w:tr w:rsidR="003832F1" w:rsidRPr="00D210D0" w14:paraId="5A49E231" w14:textId="77777777" w:rsidTr="00872A9E">
        <w:tc>
          <w:tcPr>
            <w:tcW w:w="9062" w:type="dxa"/>
            <w:shd w:val="clear" w:color="auto" w:fill="auto"/>
          </w:tcPr>
          <w:p w14:paraId="5C12DA34" w14:textId="77777777" w:rsidR="003832F1" w:rsidRPr="00D210D0" w:rsidRDefault="003832F1" w:rsidP="00872A9E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Stanovuje se výpočtem na základě typického způsobu užívání zohledňujícího navržený koncept větrání.</w:t>
            </w:r>
          </w:p>
        </w:tc>
      </w:tr>
    </w:tbl>
    <w:p w14:paraId="5F7761D1" w14:textId="77777777" w:rsidR="003832F1" w:rsidRPr="00D210D0" w:rsidRDefault="003832F1" w:rsidP="00E76766">
      <w:pPr>
        <w:suppressAutoHyphens/>
        <w:spacing w:after="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832F1" w:rsidRPr="00D210D0" w14:paraId="021D7448" w14:textId="77777777" w:rsidTr="00872A9E">
        <w:tc>
          <w:tcPr>
            <w:tcW w:w="9062" w:type="dxa"/>
            <w:shd w:val="clear" w:color="auto" w:fill="BDD6EE"/>
          </w:tcPr>
          <w:p w14:paraId="01F07DF9" w14:textId="77777777" w:rsidR="003832F1" w:rsidRPr="00D210D0" w:rsidRDefault="003832F1" w:rsidP="00872A9E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Primární energie z neobnovitelných zdrojů 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pN,A </w:t>
            </w:r>
            <w:r w:rsidRPr="00D210D0">
              <w:rPr>
                <w:rFonts w:ascii="Arial" w:eastAsia="Calibri" w:hAnsi="Arial" w:cs="Arial"/>
                <w:b/>
                <w:bCs/>
              </w:rPr>
              <w:t>≤ 0,80 . 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</w:p>
        </w:tc>
      </w:tr>
    </w:tbl>
    <w:p w14:paraId="48724BDD" w14:textId="64F8327B" w:rsidR="003832F1" w:rsidRDefault="003832F1" w:rsidP="003832F1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2" w:name="_Toc125699334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 w:rsidR="00DB1E37"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DB1E37" w:rsidRPr="00DB1E37">
        <w:rPr>
          <w:rFonts w:ascii="Arial" w:hAnsi="Arial" w:cs="Arial"/>
          <w:caps/>
          <w:sz w:val="22"/>
          <w:szCs w:val="22"/>
        </w:rPr>
        <w:t>NOVÁ BUDOVA V</w:t>
      </w:r>
      <w:r w:rsidR="00DB1E37">
        <w:rPr>
          <w:rFonts w:ascii="Arial" w:hAnsi="Arial" w:cs="Arial"/>
          <w:caps/>
          <w:sz w:val="22"/>
          <w:szCs w:val="22"/>
        </w:rPr>
        <w:t>e vysoké</w:t>
      </w:r>
      <w:r w:rsidR="00DB1E37" w:rsidRPr="00DB1E37">
        <w:rPr>
          <w:rFonts w:ascii="Arial" w:hAnsi="Arial" w:cs="Arial"/>
          <w:caps/>
          <w:sz w:val="22"/>
          <w:szCs w:val="22"/>
        </w:rPr>
        <w:t>M ENERGETICKÉM STANDARDU (TÝKÁ SE I PŘÍSTAVEB A NÁSTAVEB)</w:t>
      </w:r>
      <w:bookmarkEnd w:id="12"/>
    </w:p>
    <w:p w14:paraId="6336C981" w14:textId="1753161E" w:rsidR="00DB1E37" w:rsidRPr="00D210D0" w:rsidRDefault="00DB1E37" w:rsidP="00E76766">
      <w:pPr>
        <w:suppressAutoHyphens/>
        <w:spacing w:after="0" w:line="271" w:lineRule="auto"/>
        <w:jc w:val="both"/>
        <w:rPr>
          <w:rFonts w:ascii="Arial" w:eastAsia="Times New Roman" w:hAnsi="Arial" w:cs="Arial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1E37" w:rsidRPr="00D210D0" w14:paraId="102BA2FE" w14:textId="77777777" w:rsidTr="00872A9E">
        <w:tc>
          <w:tcPr>
            <w:tcW w:w="9062" w:type="dxa"/>
            <w:shd w:val="clear" w:color="auto" w:fill="BDD6EE"/>
          </w:tcPr>
          <w:p w14:paraId="47DD4EFA" w14:textId="5DBF5D9D" w:rsidR="00DB1E37" w:rsidRPr="00D210D0" w:rsidRDefault="00DB1E37" w:rsidP="00872A9E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Průvzdušnost obálky budovy při tlakovém rozdílu 50 Pa</w:t>
            </w:r>
            <w:r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Pr="00D210D0">
              <w:rPr>
                <w:rFonts w:ascii="Arial" w:eastAsia="Calibri" w:hAnsi="Arial" w:cs="Arial"/>
                <w:b/>
                <w:bCs/>
              </w:rPr>
              <w:t>n</w:t>
            </w:r>
            <w:r w:rsidRPr="00DB1E37">
              <w:rPr>
                <w:rFonts w:ascii="Arial" w:eastAsia="Calibri" w:hAnsi="Arial" w:cs="Arial"/>
                <w:b/>
                <w:bCs/>
                <w:vertAlign w:val="subscript"/>
              </w:rPr>
              <w:t>50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≤ 0,6.h</w:t>
            </w:r>
            <w:r w:rsidR="0058677D">
              <w:rPr>
                <w:rFonts w:ascii="Arial" w:eastAsia="Calibri" w:hAnsi="Arial" w:cs="Arial"/>
                <w:b/>
                <w:bCs/>
                <w:vertAlign w:val="superscript"/>
              </w:rPr>
              <w:t>-1</w:t>
            </w:r>
          </w:p>
        </w:tc>
      </w:tr>
      <w:tr w:rsidR="00DB1E37" w:rsidRPr="00D210D0" w14:paraId="4BC1E7EC" w14:textId="77777777" w:rsidTr="00872A9E">
        <w:tc>
          <w:tcPr>
            <w:tcW w:w="9062" w:type="dxa"/>
          </w:tcPr>
          <w:p w14:paraId="75189967" w14:textId="77777777" w:rsidR="00DB1E37" w:rsidRPr="00D210D0" w:rsidRDefault="00DB1E37" w:rsidP="0058677D">
            <w:pPr>
              <w:suppressAutoHyphens/>
              <w:spacing w:before="120" w:after="120" w:line="271" w:lineRule="auto"/>
              <w:jc w:val="both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</w:rPr>
              <w:t xml:space="preserve">Dokládá se po realizaci navržených opatření protokolem o měření průvzdušnosti obálky budovy. Měření musí být provedeno v souladu s ČSN EN ISO 9972 Tepelné chování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Stanovení průvzdušnosti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Tlaková metoda dle metody 1. K žádosti o podporu se požadavek prokazuje pouze uvedením závazku ve stavební dokumentaci.</w:t>
            </w:r>
          </w:p>
        </w:tc>
      </w:tr>
    </w:tbl>
    <w:p w14:paraId="68EB2AF7" w14:textId="77777777" w:rsidR="00DB1E37" w:rsidRPr="00D210D0" w:rsidRDefault="00DB1E37" w:rsidP="00DB1E37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1E37" w:rsidRPr="00D210D0" w14:paraId="38748D0C" w14:textId="77777777" w:rsidTr="00872A9E">
        <w:tc>
          <w:tcPr>
            <w:tcW w:w="9062" w:type="dxa"/>
            <w:shd w:val="clear" w:color="auto" w:fill="BDD6EE"/>
          </w:tcPr>
          <w:p w14:paraId="20DC2498" w14:textId="77777777" w:rsidR="00DB1E37" w:rsidRPr="00D210D0" w:rsidRDefault="00DB1E37" w:rsidP="00872A9E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lastRenderedPageBreak/>
              <w:t>Průměrný součinitel prostupu tepla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≤ 0,35 W.m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-2</w:t>
            </w:r>
            <w:r w:rsidRPr="00D210D0">
              <w:rPr>
                <w:rFonts w:ascii="Arial" w:eastAsia="Calibri" w:hAnsi="Arial" w:cs="Arial"/>
                <w:b/>
                <w:bCs/>
              </w:rPr>
              <w:t>K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-1</w:t>
            </w:r>
          </w:p>
        </w:tc>
      </w:tr>
    </w:tbl>
    <w:p w14:paraId="6A53D72E" w14:textId="77777777" w:rsidR="00DB1E37" w:rsidRPr="00D210D0" w:rsidRDefault="00DB1E37" w:rsidP="00E76766">
      <w:pPr>
        <w:suppressAutoHyphens/>
        <w:spacing w:after="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1E37" w:rsidRPr="00D210D0" w14:paraId="2C16309E" w14:textId="77777777" w:rsidTr="00872A9E">
        <w:tc>
          <w:tcPr>
            <w:tcW w:w="9062" w:type="dxa"/>
            <w:shd w:val="clear" w:color="auto" w:fill="BDD6EE"/>
          </w:tcPr>
          <w:p w14:paraId="2D72E70A" w14:textId="77777777" w:rsidR="00DB1E37" w:rsidRPr="00D210D0" w:rsidRDefault="00DB1E37" w:rsidP="00872A9E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 Ɵ</w:t>
            </w:r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ai,max,N</w:t>
            </w:r>
          </w:p>
        </w:tc>
      </w:tr>
    </w:tbl>
    <w:p w14:paraId="6A53E9E6" w14:textId="77777777" w:rsidR="00DB1E37" w:rsidRPr="00D210D0" w:rsidRDefault="00DB1E37" w:rsidP="00E76766">
      <w:pPr>
        <w:suppressAutoHyphens/>
        <w:spacing w:after="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1E37" w:rsidRPr="00D210D0" w14:paraId="49D7143B" w14:textId="77777777" w:rsidTr="00872A9E">
        <w:tc>
          <w:tcPr>
            <w:tcW w:w="9062" w:type="dxa"/>
            <w:shd w:val="clear" w:color="auto" w:fill="BDD6EE"/>
          </w:tcPr>
          <w:p w14:paraId="304107DA" w14:textId="77777777" w:rsidR="00DB1E37" w:rsidRPr="00D210D0" w:rsidRDefault="00DB1E37" w:rsidP="00872A9E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Primární energie z neobnovitelných zdrojů 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pN,A </w:t>
            </w:r>
            <w:r w:rsidRPr="00D210D0">
              <w:rPr>
                <w:rFonts w:ascii="Arial" w:eastAsia="Calibri" w:hAnsi="Arial" w:cs="Arial"/>
                <w:b/>
                <w:bCs/>
              </w:rPr>
              <w:t>≤ 0,80 . 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</w:p>
        </w:tc>
      </w:tr>
      <w:tr w:rsidR="00DB1E37" w:rsidRPr="00D210D0" w14:paraId="59A4F2D1" w14:textId="77777777" w:rsidTr="00872A9E">
        <w:tc>
          <w:tcPr>
            <w:tcW w:w="9062" w:type="dxa"/>
            <w:shd w:val="clear" w:color="auto" w:fill="auto"/>
          </w:tcPr>
          <w:p w14:paraId="5B2FF3B3" w14:textId="5F6A1D07" w:rsidR="00DB1E37" w:rsidRPr="00D210D0" w:rsidRDefault="00DB1E37" w:rsidP="0031275F">
            <w:pPr>
              <w:suppressAutoHyphens/>
              <w:spacing w:before="120" w:after="120" w:line="271" w:lineRule="auto"/>
              <w:jc w:val="both"/>
              <w:rPr>
                <w:rFonts w:ascii="Arial" w:eastAsia="Times New Roman" w:hAnsi="Arial" w:cs="Arial"/>
                <w:b/>
                <w:vertAlign w:val="subscript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 xml:space="preserve">V části I – přehled plnění závazných požadavků vyhlášky </w:t>
            </w:r>
            <w:r w:rsidR="0031275F">
              <w:rPr>
                <w:rFonts w:ascii="Arial" w:eastAsia="Times New Roman" w:hAnsi="Arial" w:cs="Arial"/>
                <w:lang w:eastAsia="cs-CZ"/>
              </w:rPr>
              <w:t>– m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usí být hodnota primární energie z neobnovitelných zdrojů pro hodnocenou budovu nižší </w:t>
            </w:r>
            <w:r w:rsidR="0031275F">
              <w:rPr>
                <w:rFonts w:ascii="Arial" w:eastAsia="Times New Roman" w:hAnsi="Arial" w:cs="Arial"/>
                <w:lang w:eastAsia="cs-CZ"/>
              </w:rPr>
              <w:t xml:space="preserve">než </w:t>
            </w:r>
            <w:r w:rsidRPr="00D210D0">
              <w:rPr>
                <w:rFonts w:ascii="Arial" w:eastAsia="Times New Roman" w:hAnsi="Arial" w:cs="Arial"/>
                <w:lang w:eastAsia="cs-CZ"/>
              </w:rPr>
              <w:t>nebo rovna 0,8násobk</w:t>
            </w:r>
            <w:r w:rsidR="0031275F">
              <w:rPr>
                <w:rFonts w:ascii="Arial" w:eastAsia="Times New Roman" w:hAnsi="Arial" w:cs="Arial"/>
                <w:lang w:eastAsia="cs-CZ"/>
              </w:rPr>
              <w:t>u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hodnoty pro referenční budovu.</w:t>
            </w:r>
          </w:p>
        </w:tc>
      </w:tr>
    </w:tbl>
    <w:p w14:paraId="79015474" w14:textId="4E531DDE" w:rsidR="00CE6A6A" w:rsidRDefault="00CE6A6A" w:rsidP="00EB13B0">
      <w:pPr>
        <w:spacing w:before="120"/>
        <w:jc w:val="both"/>
        <w:rPr>
          <w:rFonts w:ascii="Arial" w:hAnsi="Arial" w:cs="Arial"/>
        </w:rPr>
      </w:pPr>
    </w:p>
    <w:sectPr w:rsidR="00CE6A6A" w:rsidSect="00C321D5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299CD" w14:textId="77777777" w:rsidR="004C4F7E" w:rsidRDefault="004C4F7E" w:rsidP="00634381">
      <w:pPr>
        <w:spacing w:after="0" w:line="240" w:lineRule="auto"/>
      </w:pPr>
      <w:r>
        <w:separator/>
      </w:r>
    </w:p>
  </w:endnote>
  <w:endnote w:type="continuationSeparator" w:id="0">
    <w:p w14:paraId="27DE6BC5" w14:textId="77777777" w:rsidR="004C4F7E" w:rsidRDefault="004C4F7E" w:rsidP="00634381">
      <w:pPr>
        <w:spacing w:after="0" w:line="240" w:lineRule="auto"/>
      </w:pPr>
      <w:r>
        <w:continuationSeparator/>
      </w:r>
    </w:p>
  </w:endnote>
  <w:endnote w:type="continuationNotice" w:id="1">
    <w:p w14:paraId="17BB15CE" w14:textId="77777777" w:rsidR="004C4F7E" w:rsidRDefault="004C4F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99EBE" w14:textId="77777777" w:rsidR="004C4F7E" w:rsidRDefault="004C4F7E" w:rsidP="00634381">
      <w:pPr>
        <w:spacing w:after="0" w:line="240" w:lineRule="auto"/>
      </w:pPr>
      <w:r>
        <w:separator/>
      </w:r>
    </w:p>
  </w:footnote>
  <w:footnote w:type="continuationSeparator" w:id="0">
    <w:p w14:paraId="2C11FFF1" w14:textId="77777777" w:rsidR="004C4F7E" w:rsidRDefault="004C4F7E" w:rsidP="00634381">
      <w:pPr>
        <w:spacing w:after="0" w:line="240" w:lineRule="auto"/>
      </w:pPr>
      <w:r>
        <w:continuationSeparator/>
      </w:r>
    </w:p>
  </w:footnote>
  <w:footnote w:type="continuationNotice" w:id="1">
    <w:p w14:paraId="6116EC7D" w14:textId="77777777" w:rsidR="004C4F7E" w:rsidRDefault="004C4F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07450DB8"/>
    <w:multiLevelType w:val="hybridMultilevel"/>
    <w:tmpl w:val="036A6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D4C3A"/>
    <w:multiLevelType w:val="hybridMultilevel"/>
    <w:tmpl w:val="26B8D4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9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C7321B"/>
    <w:multiLevelType w:val="multilevel"/>
    <w:tmpl w:val="C6A67EB8"/>
    <w:lvl w:ilvl="0">
      <w:start w:val="1"/>
      <w:numFmt w:val="decimal"/>
      <w:lvlText w:val="%1.   "/>
      <w:lvlJc w:val="right"/>
      <w:pPr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722288569">
    <w:abstractNumId w:val="24"/>
  </w:num>
  <w:num w:numId="2" w16cid:durableId="1073888528">
    <w:abstractNumId w:val="25"/>
  </w:num>
  <w:num w:numId="3" w16cid:durableId="1851022336">
    <w:abstractNumId w:val="29"/>
  </w:num>
  <w:num w:numId="4" w16cid:durableId="94331808">
    <w:abstractNumId w:val="46"/>
  </w:num>
  <w:num w:numId="5" w16cid:durableId="88162854">
    <w:abstractNumId w:val="13"/>
  </w:num>
  <w:num w:numId="6" w16cid:durableId="181483159">
    <w:abstractNumId w:val="37"/>
  </w:num>
  <w:num w:numId="7" w16cid:durableId="1830562148">
    <w:abstractNumId w:val="15"/>
  </w:num>
  <w:num w:numId="8" w16cid:durableId="1187410020">
    <w:abstractNumId w:val="17"/>
  </w:num>
  <w:num w:numId="9" w16cid:durableId="784933775">
    <w:abstractNumId w:val="30"/>
  </w:num>
  <w:num w:numId="10" w16cid:durableId="176696634">
    <w:abstractNumId w:val="8"/>
  </w:num>
  <w:num w:numId="11" w16cid:durableId="892157366">
    <w:abstractNumId w:val="48"/>
  </w:num>
  <w:num w:numId="12" w16cid:durableId="485585016">
    <w:abstractNumId w:val="33"/>
  </w:num>
  <w:num w:numId="13" w16cid:durableId="255676442">
    <w:abstractNumId w:val="15"/>
    <w:lvlOverride w:ilvl="0">
      <w:startOverride w:val="1"/>
    </w:lvlOverride>
  </w:num>
  <w:num w:numId="14" w16cid:durableId="1341733260">
    <w:abstractNumId w:val="38"/>
  </w:num>
  <w:num w:numId="15" w16cid:durableId="1805734869">
    <w:abstractNumId w:val="18"/>
  </w:num>
  <w:num w:numId="16" w16cid:durableId="189731466">
    <w:abstractNumId w:val="36"/>
  </w:num>
  <w:num w:numId="17" w16cid:durableId="918253359">
    <w:abstractNumId w:val="35"/>
  </w:num>
  <w:num w:numId="18" w16cid:durableId="1648782657">
    <w:abstractNumId w:val="23"/>
  </w:num>
  <w:num w:numId="19" w16cid:durableId="741759464">
    <w:abstractNumId w:val="39"/>
  </w:num>
  <w:num w:numId="20" w16cid:durableId="1315452066">
    <w:abstractNumId w:val="47"/>
  </w:num>
  <w:num w:numId="21" w16cid:durableId="122047018">
    <w:abstractNumId w:val="20"/>
  </w:num>
  <w:num w:numId="22" w16cid:durableId="259796846">
    <w:abstractNumId w:val="27"/>
  </w:num>
  <w:num w:numId="23" w16cid:durableId="2124766594">
    <w:abstractNumId w:val="21"/>
  </w:num>
  <w:num w:numId="24" w16cid:durableId="481124732">
    <w:abstractNumId w:val="42"/>
  </w:num>
  <w:num w:numId="25" w16cid:durableId="693456087">
    <w:abstractNumId w:val="50"/>
  </w:num>
  <w:num w:numId="26" w16cid:durableId="820852731">
    <w:abstractNumId w:val="5"/>
  </w:num>
  <w:num w:numId="27" w16cid:durableId="497816055">
    <w:abstractNumId w:val="44"/>
  </w:num>
  <w:num w:numId="28" w16cid:durableId="1353413545">
    <w:abstractNumId w:val="1"/>
  </w:num>
  <w:num w:numId="29" w16cid:durableId="605381870">
    <w:abstractNumId w:val="31"/>
  </w:num>
  <w:num w:numId="30" w16cid:durableId="893849663">
    <w:abstractNumId w:val="32"/>
  </w:num>
  <w:num w:numId="31" w16cid:durableId="1550603294">
    <w:abstractNumId w:val="22"/>
  </w:num>
  <w:num w:numId="32" w16cid:durableId="1126855109">
    <w:abstractNumId w:val="34"/>
  </w:num>
  <w:num w:numId="33" w16cid:durableId="1853181590">
    <w:abstractNumId w:val="19"/>
  </w:num>
  <w:num w:numId="34" w16cid:durableId="577402962">
    <w:abstractNumId w:val="6"/>
  </w:num>
  <w:num w:numId="35" w16cid:durableId="683558861">
    <w:abstractNumId w:val="12"/>
  </w:num>
  <w:num w:numId="36" w16cid:durableId="1276912234">
    <w:abstractNumId w:val="10"/>
  </w:num>
  <w:num w:numId="37" w16cid:durableId="227348716">
    <w:abstractNumId w:val="41"/>
  </w:num>
  <w:num w:numId="38" w16cid:durableId="1226529721">
    <w:abstractNumId w:val="26"/>
  </w:num>
  <w:num w:numId="39" w16cid:durableId="690179826">
    <w:abstractNumId w:val="28"/>
  </w:num>
  <w:num w:numId="40" w16cid:durableId="514459692">
    <w:abstractNumId w:val="11"/>
  </w:num>
  <w:num w:numId="41" w16cid:durableId="109320280">
    <w:abstractNumId w:val="0"/>
  </w:num>
  <w:num w:numId="42" w16cid:durableId="104232509">
    <w:abstractNumId w:val="45"/>
  </w:num>
  <w:num w:numId="43" w16cid:durableId="219830098">
    <w:abstractNumId w:val="52"/>
  </w:num>
  <w:num w:numId="44" w16cid:durableId="500198674">
    <w:abstractNumId w:val="4"/>
  </w:num>
  <w:num w:numId="45" w16cid:durableId="1546483642">
    <w:abstractNumId w:val="14"/>
  </w:num>
  <w:num w:numId="46" w16cid:durableId="2008750398">
    <w:abstractNumId w:val="43"/>
  </w:num>
  <w:num w:numId="47" w16cid:durableId="1915506522">
    <w:abstractNumId w:val="49"/>
  </w:num>
  <w:num w:numId="48" w16cid:durableId="1505516476">
    <w:abstractNumId w:val="16"/>
  </w:num>
  <w:num w:numId="49" w16cid:durableId="1766221899">
    <w:abstractNumId w:val="40"/>
  </w:num>
  <w:num w:numId="50" w16cid:durableId="1631208949">
    <w:abstractNumId w:val="2"/>
  </w:num>
  <w:num w:numId="51" w16cid:durableId="158470607">
    <w:abstractNumId w:val="9"/>
  </w:num>
  <w:num w:numId="52" w16cid:durableId="1392267655">
    <w:abstractNumId w:val="7"/>
  </w:num>
  <w:num w:numId="53" w16cid:durableId="373119584">
    <w:abstractNumId w:val="3"/>
  </w:num>
  <w:num w:numId="54" w16cid:durableId="1989817721">
    <w:abstractNumId w:val="5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0FE8"/>
    <w:rsid w:val="000515F1"/>
    <w:rsid w:val="0005186A"/>
    <w:rsid w:val="000542DC"/>
    <w:rsid w:val="00054877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1DA8"/>
    <w:rsid w:val="001222DE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465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F31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2C27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231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65F2"/>
    <w:rsid w:val="002D724C"/>
    <w:rsid w:val="002D7293"/>
    <w:rsid w:val="002D7895"/>
    <w:rsid w:val="002E0558"/>
    <w:rsid w:val="002E1614"/>
    <w:rsid w:val="002E2DED"/>
    <w:rsid w:val="002E2E28"/>
    <w:rsid w:val="002E3B74"/>
    <w:rsid w:val="002E3EA6"/>
    <w:rsid w:val="002E43AE"/>
    <w:rsid w:val="002E488A"/>
    <w:rsid w:val="002E5888"/>
    <w:rsid w:val="002E63EC"/>
    <w:rsid w:val="002E78C5"/>
    <w:rsid w:val="002F072D"/>
    <w:rsid w:val="002F1323"/>
    <w:rsid w:val="002F1B04"/>
    <w:rsid w:val="002F1D77"/>
    <w:rsid w:val="002F2287"/>
    <w:rsid w:val="002F2C11"/>
    <w:rsid w:val="002F3A7E"/>
    <w:rsid w:val="002F4139"/>
    <w:rsid w:val="002F4E46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75F"/>
    <w:rsid w:val="00312E26"/>
    <w:rsid w:val="00312F23"/>
    <w:rsid w:val="00312F7F"/>
    <w:rsid w:val="0031410F"/>
    <w:rsid w:val="00315AA4"/>
    <w:rsid w:val="00315E5E"/>
    <w:rsid w:val="00320082"/>
    <w:rsid w:val="00322218"/>
    <w:rsid w:val="00323796"/>
    <w:rsid w:val="003237D1"/>
    <w:rsid w:val="00323FBA"/>
    <w:rsid w:val="0033110C"/>
    <w:rsid w:val="003322E8"/>
    <w:rsid w:val="00333092"/>
    <w:rsid w:val="00333EB0"/>
    <w:rsid w:val="003367D2"/>
    <w:rsid w:val="003370F9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671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32F1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0CC0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4F7E"/>
    <w:rsid w:val="004C5090"/>
    <w:rsid w:val="004C6C22"/>
    <w:rsid w:val="004C7C2A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677D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2A8"/>
    <w:rsid w:val="005B29CE"/>
    <w:rsid w:val="005B3839"/>
    <w:rsid w:val="005B3A51"/>
    <w:rsid w:val="005B3B27"/>
    <w:rsid w:val="005B3D27"/>
    <w:rsid w:val="005B49B9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B34"/>
    <w:rsid w:val="0065217B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57C9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6F6C90"/>
    <w:rsid w:val="0070095D"/>
    <w:rsid w:val="0070111A"/>
    <w:rsid w:val="007041AD"/>
    <w:rsid w:val="00705AD4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039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194D"/>
    <w:rsid w:val="00752664"/>
    <w:rsid w:val="00753740"/>
    <w:rsid w:val="00755BB0"/>
    <w:rsid w:val="00755C17"/>
    <w:rsid w:val="007570CE"/>
    <w:rsid w:val="0075715C"/>
    <w:rsid w:val="00757238"/>
    <w:rsid w:val="0076056D"/>
    <w:rsid w:val="007606A3"/>
    <w:rsid w:val="0076224A"/>
    <w:rsid w:val="0076431E"/>
    <w:rsid w:val="007648ED"/>
    <w:rsid w:val="007655D1"/>
    <w:rsid w:val="00770EFF"/>
    <w:rsid w:val="00771304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9FE"/>
    <w:rsid w:val="007A4FD3"/>
    <w:rsid w:val="007A55E5"/>
    <w:rsid w:val="007A669A"/>
    <w:rsid w:val="007A6926"/>
    <w:rsid w:val="007A6FA4"/>
    <w:rsid w:val="007B4D7B"/>
    <w:rsid w:val="007B7066"/>
    <w:rsid w:val="007B72CA"/>
    <w:rsid w:val="007C0AB0"/>
    <w:rsid w:val="007C0D87"/>
    <w:rsid w:val="007C2DF3"/>
    <w:rsid w:val="007C2E6A"/>
    <w:rsid w:val="007C312C"/>
    <w:rsid w:val="007C5E57"/>
    <w:rsid w:val="007C6C5A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B5A"/>
    <w:rsid w:val="00852C39"/>
    <w:rsid w:val="00852D28"/>
    <w:rsid w:val="00854FF5"/>
    <w:rsid w:val="00856395"/>
    <w:rsid w:val="00860FEE"/>
    <w:rsid w:val="0086246E"/>
    <w:rsid w:val="0086300C"/>
    <w:rsid w:val="00864C7E"/>
    <w:rsid w:val="00865952"/>
    <w:rsid w:val="00866277"/>
    <w:rsid w:val="00866B40"/>
    <w:rsid w:val="0086722C"/>
    <w:rsid w:val="00867C5D"/>
    <w:rsid w:val="00870C95"/>
    <w:rsid w:val="00870CA4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05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3C62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E54F5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A36"/>
    <w:rsid w:val="00905BBA"/>
    <w:rsid w:val="009066E9"/>
    <w:rsid w:val="00907177"/>
    <w:rsid w:val="0091081D"/>
    <w:rsid w:val="00913C4D"/>
    <w:rsid w:val="00914A08"/>
    <w:rsid w:val="00914A50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56E4"/>
    <w:rsid w:val="00957947"/>
    <w:rsid w:val="009607CF"/>
    <w:rsid w:val="0096106F"/>
    <w:rsid w:val="00961249"/>
    <w:rsid w:val="00961ADD"/>
    <w:rsid w:val="00963410"/>
    <w:rsid w:val="0096386D"/>
    <w:rsid w:val="00963AFF"/>
    <w:rsid w:val="00964210"/>
    <w:rsid w:val="0096584B"/>
    <w:rsid w:val="0096682A"/>
    <w:rsid w:val="00970081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CCA"/>
    <w:rsid w:val="00994393"/>
    <w:rsid w:val="0099454C"/>
    <w:rsid w:val="00994EE3"/>
    <w:rsid w:val="0099524C"/>
    <w:rsid w:val="00996084"/>
    <w:rsid w:val="009A01D0"/>
    <w:rsid w:val="009A06ED"/>
    <w:rsid w:val="009A2578"/>
    <w:rsid w:val="009A313B"/>
    <w:rsid w:val="009A32B0"/>
    <w:rsid w:val="009A33D6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6667"/>
    <w:rsid w:val="00A50B8C"/>
    <w:rsid w:val="00A524D9"/>
    <w:rsid w:val="00A54643"/>
    <w:rsid w:val="00A54747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2B2"/>
    <w:rsid w:val="00A90BDF"/>
    <w:rsid w:val="00A9101B"/>
    <w:rsid w:val="00A9226E"/>
    <w:rsid w:val="00A92415"/>
    <w:rsid w:val="00A927A9"/>
    <w:rsid w:val="00A92DAC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C6D4A"/>
    <w:rsid w:val="00AD053D"/>
    <w:rsid w:val="00AD2919"/>
    <w:rsid w:val="00AD2955"/>
    <w:rsid w:val="00AD31AF"/>
    <w:rsid w:val="00AD330F"/>
    <w:rsid w:val="00AD376B"/>
    <w:rsid w:val="00AD38D5"/>
    <w:rsid w:val="00AD4C7E"/>
    <w:rsid w:val="00AD6632"/>
    <w:rsid w:val="00AD6B01"/>
    <w:rsid w:val="00AD6C69"/>
    <w:rsid w:val="00AD7DC4"/>
    <w:rsid w:val="00AD7F4F"/>
    <w:rsid w:val="00AE0612"/>
    <w:rsid w:val="00AE120D"/>
    <w:rsid w:val="00AE27FC"/>
    <w:rsid w:val="00AE3044"/>
    <w:rsid w:val="00AE3A32"/>
    <w:rsid w:val="00AE3B5A"/>
    <w:rsid w:val="00AE5249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5883"/>
    <w:rsid w:val="00B07079"/>
    <w:rsid w:val="00B12CCE"/>
    <w:rsid w:val="00B140C1"/>
    <w:rsid w:val="00B16B1D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0B8A"/>
    <w:rsid w:val="00B61331"/>
    <w:rsid w:val="00B62A7B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B5C"/>
    <w:rsid w:val="00BF0316"/>
    <w:rsid w:val="00BF1187"/>
    <w:rsid w:val="00BF165A"/>
    <w:rsid w:val="00BF1F40"/>
    <w:rsid w:val="00BF670E"/>
    <w:rsid w:val="00BF6734"/>
    <w:rsid w:val="00BF691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450"/>
    <w:rsid w:val="00C210BE"/>
    <w:rsid w:val="00C21F82"/>
    <w:rsid w:val="00C22B49"/>
    <w:rsid w:val="00C23F14"/>
    <w:rsid w:val="00C24C22"/>
    <w:rsid w:val="00C24C75"/>
    <w:rsid w:val="00C263D2"/>
    <w:rsid w:val="00C267F6"/>
    <w:rsid w:val="00C26E23"/>
    <w:rsid w:val="00C3024A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4865"/>
    <w:rsid w:val="00C6487F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276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C04DC"/>
    <w:rsid w:val="00CC21DF"/>
    <w:rsid w:val="00CC7690"/>
    <w:rsid w:val="00CD1CE7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1669D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6C0E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283"/>
    <w:rsid w:val="00D7451B"/>
    <w:rsid w:val="00D7499F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440"/>
    <w:rsid w:val="00D86F8D"/>
    <w:rsid w:val="00D87C4A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1E37"/>
    <w:rsid w:val="00DB20F3"/>
    <w:rsid w:val="00DB280A"/>
    <w:rsid w:val="00DB4F4A"/>
    <w:rsid w:val="00DB5C0A"/>
    <w:rsid w:val="00DB64EA"/>
    <w:rsid w:val="00DB67F9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7EC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348C"/>
    <w:rsid w:val="00E74589"/>
    <w:rsid w:val="00E74B55"/>
    <w:rsid w:val="00E75022"/>
    <w:rsid w:val="00E7639B"/>
    <w:rsid w:val="00E76766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F0B6F"/>
    <w:rsid w:val="00EF1967"/>
    <w:rsid w:val="00EF25C8"/>
    <w:rsid w:val="00EF50AE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B64A7"/>
    <w:rsid w:val="00FC1A89"/>
    <w:rsid w:val="00FC2854"/>
    <w:rsid w:val="00FC692B"/>
    <w:rsid w:val="00FD09FB"/>
    <w:rsid w:val="00FD56E3"/>
    <w:rsid w:val="00FD5D20"/>
    <w:rsid w:val="00FD5FD2"/>
    <w:rsid w:val="00FD6706"/>
    <w:rsid w:val="00FD6A45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3960</TotalTime>
  <Pages>7</Pages>
  <Words>1498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484</cp:revision>
  <cp:lastPrinted>2022-04-14T06:45:00Z</cp:lastPrinted>
  <dcterms:created xsi:type="dcterms:W3CDTF">2022-04-25T09:24:00Z</dcterms:created>
  <dcterms:modified xsi:type="dcterms:W3CDTF">2023-04-27T12:59:00Z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