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44E1F7AF" w:rsidR="00F23FC9" w:rsidRPr="000F6082" w:rsidRDefault="00F23FC9" w:rsidP="00F23FC9">
      <w:pPr>
        <w:spacing w:before="240"/>
        <w:jc w:val="center"/>
        <w:rPr>
          <w:rFonts w:ascii="Arial" w:hAnsi="Arial" w:cs="Arial"/>
          <w:b/>
          <w:bCs/>
          <w:caps/>
          <w:color w:val="214F87"/>
          <w:sz w:val="44"/>
          <w:szCs w:val="44"/>
        </w:rPr>
      </w:pPr>
      <w:r w:rsidRPr="00E33678">
        <w:rPr>
          <w:rFonts w:ascii="Arial" w:hAnsi="Arial" w:cs="Arial"/>
          <w:b/>
          <w:bCs/>
          <w:caps/>
          <w:color w:val="214F87"/>
          <w:sz w:val="44"/>
          <w:szCs w:val="44"/>
        </w:rPr>
        <w:t xml:space="preserve">PŘÍLOHA </w:t>
      </w:r>
      <w:r w:rsidR="000F6082" w:rsidRPr="00E33678">
        <w:rPr>
          <w:rFonts w:ascii="Arial" w:hAnsi="Arial" w:cs="Arial"/>
          <w:b/>
          <w:bCs/>
          <w:caps/>
          <w:color w:val="214F87"/>
          <w:sz w:val="44"/>
          <w:szCs w:val="44"/>
        </w:rPr>
        <w:t>3</w:t>
      </w:r>
      <w:r w:rsidR="00A52757">
        <w:rPr>
          <w:rFonts w:ascii="Arial" w:hAnsi="Arial" w:cs="Arial"/>
          <w:b/>
          <w:bCs/>
          <w:caps/>
          <w:color w:val="214F87"/>
          <w:sz w:val="44"/>
          <w:szCs w:val="44"/>
        </w:rPr>
        <w:t>C</w:t>
      </w:r>
    </w:p>
    <w:p w14:paraId="3D6858A4" w14:textId="53F92636" w:rsidR="0068431B" w:rsidRPr="00A52757"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r w:rsidR="00A52757">
        <w:rPr>
          <w:rFonts w:ascii="Arial" w:hAnsi="Arial" w:cs="Arial"/>
          <w:b/>
          <w:bCs/>
          <w:caps/>
          <w:color w:val="214F87"/>
          <w:sz w:val="44"/>
          <w:szCs w:val="44"/>
        </w:rPr>
        <w:t xml:space="preserve"> </w:t>
      </w:r>
      <w:r w:rsidR="00A52757">
        <w:rPr>
          <w:rFonts w:ascii="Arial" w:hAnsi="Arial" w:cs="Arial"/>
          <w:b/>
          <w:bCs/>
          <w:color w:val="214F87"/>
          <w:sz w:val="44"/>
          <w:szCs w:val="44"/>
        </w:rPr>
        <w:t>(mimo režim VP)</w:t>
      </w:r>
    </w:p>
    <w:p w14:paraId="567ED278" w14:textId="77777777" w:rsidR="00E33678" w:rsidRPr="00AF58CC" w:rsidRDefault="00E33678" w:rsidP="00E33678">
      <w:pPr>
        <w:pStyle w:val="Zkladnodstavec"/>
        <w:jc w:val="center"/>
        <w:rPr>
          <w:rFonts w:ascii="Arial" w:hAnsi="Arial" w:cs="Arial"/>
          <w:caps/>
          <w:color w:val="auto"/>
          <w:sz w:val="32"/>
          <w:szCs w:val="32"/>
        </w:rPr>
      </w:pPr>
      <w:r w:rsidRPr="00AF58CC">
        <w:rPr>
          <w:rFonts w:ascii="Arial" w:hAnsi="Arial" w:cs="Arial"/>
          <w:sz w:val="32"/>
          <w:szCs w:val="32"/>
        </w:rPr>
        <w:t xml:space="preserve">3. VÝZVA IROP </w:t>
      </w:r>
      <w:r w:rsidRPr="00AF58CC">
        <w:rPr>
          <w:rFonts w:ascii="Arial" w:hAnsi="Arial" w:cs="Arial"/>
          <w:b/>
          <w:color w:val="0B5394"/>
          <w:sz w:val="32"/>
          <w:szCs w:val="32"/>
        </w:rPr>
        <w:t>–</w:t>
      </w:r>
      <w:r w:rsidRPr="00AF58CC">
        <w:rPr>
          <w:rFonts w:ascii="Arial" w:hAnsi="Arial" w:cs="Arial"/>
          <w:sz w:val="32"/>
          <w:szCs w:val="32"/>
        </w:rPr>
        <w:t xml:space="preserve"> KYBERNETICKÁ BEZPEČNOST </w:t>
      </w:r>
      <w:r w:rsidRPr="00AF58CC">
        <w:rPr>
          <w:rFonts w:ascii="Arial" w:hAnsi="Arial" w:cs="Arial"/>
          <w:b/>
          <w:color w:val="0B5394"/>
          <w:sz w:val="32"/>
          <w:szCs w:val="32"/>
        </w:rPr>
        <w:t>–</w:t>
      </w:r>
      <w:r w:rsidRPr="00AF58CC">
        <w:rPr>
          <w:rFonts w:ascii="Arial" w:hAnsi="Arial" w:cs="Arial"/>
          <w:sz w:val="32"/>
          <w:szCs w:val="32"/>
        </w:rPr>
        <w:tab/>
        <w:t>SC 1.1 (MRR)</w:t>
      </w:r>
    </w:p>
    <w:p w14:paraId="5A5D2E0B" w14:textId="77777777" w:rsidR="00E33678" w:rsidRPr="00AF58CC" w:rsidRDefault="00E33678" w:rsidP="00E33678">
      <w:pPr>
        <w:pStyle w:val="Zkladnodstavec"/>
        <w:jc w:val="center"/>
        <w:rPr>
          <w:rFonts w:ascii="Arial" w:hAnsi="Arial" w:cs="Arial"/>
          <w:color w:val="auto"/>
          <w:sz w:val="32"/>
          <w:szCs w:val="32"/>
        </w:rPr>
      </w:pPr>
      <w:r w:rsidRPr="00AF58CC">
        <w:rPr>
          <w:rFonts w:ascii="Arial" w:hAnsi="Arial" w:cs="Arial"/>
          <w:color w:val="auto"/>
          <w:sz w:val="32"/>
          <w:szCs w:val="32"/>
        </w:rPr>
        <w:t>4.</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 (PR)</w:t>
      </w:r>
    </w:p>
    <w:p w14:paraId="43BC3DC7" w14:textId="77777777" w:rsidR="00E33678" w:rsidRPr="00AF58CC" w:rsidRDefault="00E33678" w:rsidP="00E33678">
      <w:pPr>
        <w:pStyle w:val="Zkladnodstavec"/>
        <w:ind w:left="709" w:hanging="709"/>
        <w:jc w:val="center"/>
        <w:rPr>
          <w:rFonts w:ascii="Arial" w:hAnsi="Arial" w:cs="Arial"/>
          <w:caps/>
          <w:color w:val="auto"/>
          <w:sz w:val="32"/>
          <w:szCs w:val="32"/>
        </w:rPr>
      </w:pPr>
      <w:r w:rsidRPr="00AF58CC">
        <w:rPr>
          <w:rFonts w:ascii="Arial" w:hAnsi="Arial" w:cs="Arial"/>
          <w:color w:val="auto"/>
          <w:sz w:val="32"/>
          <w:szCs w:val="32"/>
        </w:rPr>
        <w:t>5.</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w:t>
      </w:r>
      <w:r>
        <w:rPr>
          <w:rFonts w:ascii="Arial" w:hAnsi="Arial" w:cs="Arial"/>
          <w:color w:val="auto"/>
          <w:sz w:val="32"/>
          <w:szCs w:val="32"/>
        </w:rPr>
        <w:t xml:space="preserve"> </w:t>
      </w:r>
      <w:r w:rsidRPr="00AF58CC">
        <w:rPr>
          <w:rFonts w:ascii="Arial" w:hAnsi="Arial" w:cs="Arial"/>
          <w:color w:val="auto"/>
          <w:sz w:val="32"/>
          <w:szCs w:val="32"/>
        </w:rPr>
        <w:t>(ČR)</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2636450" w:rsidR="009132E6" w:rsidRPr="00B02E83" w:rsidRDefault="47CE1C4C">
      <w:pPr>
        <w:pStyle w:val="Zkladntext3"/>
        <w:numPr>
          <w:ilvl w:val="0"/>
          <w:numId w:val="4"/>
        </w:numPr>
        <w:tabs>
          <w:tab w:val="clear" w:pos="786"/>
          <w:tab w:val="left" w:pos="360"/>
        </w:tabs>
        <w:spacing w:before="120" w:line="271" w:lineRule="auto"/>
        <w:ind w:left="357" w:hanging="357"/>
        <w:jc w:val="both"/>
        <w:rPr>
          <w:rFonts w:ascii="Arial" w:eastAsia="Arial" w:hAnsi="Arial" w:cs="Arial"/>
          <w:sz w:val="22"/>
          <w:szCs w:val="22"/>
          <w:vertAlign w:val="superscript"/>
        </w:rPr>
      </w:pPr>
      <w:r w:rsidRPr="001D0A31">
        <w:rPr>
          <w:rFonts w:ascii="Arial" w:hAnsi="Arial" w:cs="Arial"/>
          <w:sz w:val="22"/>
          <w:szCs w:val="22"/>
        </w:rPr>
        <w:t>Výdaje na financování projektu</w:t>
      </w:r>
      <w:r w:rsidR="00983F38" w:rsidRPr="001D0A31">
        <w:rPr>
          <w:rStyle w:val="Znakapoznpodarou"/>
          <w:rFonts w:ascii="Arial" w:hAnsi="Arial" w:cs="Arial"/>
          <w:bCs/>
          <w:sz w:val="22"/>
          <w:szCs w:val="22"/>
        </w:rPr>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 xml:space="preserve">Stanovení výdajů na financování akce organizační složky státu </w:t>
      </w:r>
      <w:proofErr w:type="gramStart"/>
      <w:r w:rsidR="00887868" w:rsidRPr="00B02E83">
        <w:rPr>
          <w:rFonts w:ascii="Arial" w:hAnsi="Arial" w:cs="Arial"/>
          <w:sz w:val="22"/>
          <w:szCs w:val="22"/>
        </w:rPr>
        <w:t>č.j.</w:t>
      </w:r>
      <w:proofErr w:type="gramEnd"/>
      <w:r w:rsidR="00887868" w:rsidRPr="00B02E83">
        <w:rPr>
          <w:rFonts w:ascii="Arial" w:hAnsi="Arial" w:cs="Arial"/>
          <w:sz w:val="22"/>
          <w:szCs w:val="22"/>
        </w:rPr>
        <w:t xml:space="preserve"> ……………..ze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w:t>
      </w:r>
      <w:r w:rsidRPr="000A7894">
        <w:rPr>
          <w:rFonts w:ascii="Arial" w:hAnsi="Arial" w:cs="Arial"/>
          <w:sz w:val="22"/>
          <w:szCs w:val="22"/>
        </w:rPr>
        <w:lastRenderedPageBreak/>
        <w:t xml:space="preserve">výdajů, musí být vždy za celý projekt zachovány procentní podíly jednotlivých zdrojů financování. </w:t>
      </w:r>
    </w:p>
    <w:p w14:paraId="5CDFF91A" w14:textId="32E96B8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A52757">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1218B6DB"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52757">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41758E77"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A52757">
              <w:rPr>
                <w:rFonts w:ascii="Arial" w:hAnsi="Arial" w:cs="Arial"/>
                <w:sz w:val="22"/>
                <w:szCs w:val="22"/>
              </w:rPr>
              <w:t> </w:t>
            </w:r>
            <w:r w:rsidRPr="06C22262">
              <w:rPr>
                <w:rFonts w:ascii="Arial" w:hAnsi="Arial" w:cs="Arial"/>
                <w:sz w:val="22"/>
                <w:szCs w:val="22"/>
              </w:rPr>
              <w:t xml:space="preserve">realizaci projektu, činí finanční oprava </w:t>
            </w:r>
            <w:r w:rsidRPr="06C22262">
              <w:rPr>
                <w:rFonts w:ascii="Arial" w:hAnsi="Arial" w:cs="Arial"/>
                <w:sz w:val="22"/>
                <w:szCs w:val="22"/>
              </w:rPr>
              <w:lastRenderedPageBreak/>
              <w:t>100</w:t>
            </w:r>
            <w:r w:rsidR="00A52757">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2351C0B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52757">
              <w:rPr>
                <w:rFonts w:ascii="Arial" w:hAnsi="Arial" w:cs="Arial"/>
                <w:sz w:val="22"/>
                <w:szCs w:val="22"/>
              </w:rPr>
              <w:t> </w:t>
            </w:r>
            <w:r w:rsidRPr="00BF657C">
              <w:rPr>
                <w:rFonts w:ascii="Arial" w:hAnsi="Arial" w:cs="Arial"/>
                <w:sz w:val="22"/>
                <w:szCs w:val="22"/>
              </w:rPr>
              <w:t>dokumenty uvedenými v části I odst. 3 Podmínek.</w:t>
            </w:r>
          </w:p>
          <w:p w14:paraId="0200BDAC" w14:textId="51F5C2E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52757">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13DEDC0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52757">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w:t>
            </w:r>
            <w:bookmarkStart w:id="7" w:name="_GoBack"/>
            <w:bookmarkEnd w:id="7"/>
            <w:r w:rsidRPr="00BF657C">
              <w:rPr>
                <w:rFonts w:ascii="Arial" w:hAnsi="Arial" w:cs="Arial"/>
                <w:sz w:val="22"/>
                <w:szCs w:val="22"/>
              </w:rPr>
              <w:t xml:space="preserve">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w:t>
            </w:r>
            <w:r w:rsidRPr="00BF657C">
              <w:rPr>
                <w:rFonts w:ascii="Arial" w:hAnsi="Arial" w:cs="Arial"/>
                <w:snapToGrid w:val="0"/>
                <w:sz w:val="22"/>
                <w:szCs w:val="22"/>
              </w:rPr>
              <w:lastRenderedPageBreak/>
              <w:t xml:space="preserve">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16C647B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 xml:space="preserve">Finanční oprava bude stanovena v souladu s Pokyny Evropské komise ke stanovení </w:t>
            </w:r>
            <w:r w:rsidRPr="00BF657C">
              <w:rPr>
                <w:rFonts w:ascii="Arial" w:hAnsi="Arial" w:cs="Arial"/>
                <w:snapToGrid w:val="0"/>
                <w:sz w:val="22"/>
                <w:szCs w:val="22"/>
              </w:rPr>
              <w:lastRenderedPageBreak/>
              <w:t>finančních oprav, jež mají být provedeny u</w:t>
            </w:r>
            <w:r w:rsidR="00A52757">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40E9A8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52757">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9337FB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52757">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310D7C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52757">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1A9957CA"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A52757">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5E0030A6"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A52757">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r w:rsidRPr="00BF657C">
              <w:rPr>
                <w:rFonts w:ascii="Arial" w:hAnsi="Arial" w:cs="Arial"/>
                <w:snapToGrid w:val="0"/>
                <w:sz w:val="22"/>
                <w:szCs w:val="22"/>
                <w:lang w:eastAsia="zh-CN" w:bidi="ar"/>
              </w:rPr>
              <w:lastRenderedPageBreak/>
              <w:t xml:space="preserve">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59660FB"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A52757">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E67EB">
              <w:rPr>
                <w:rFonts w:ascii="Arial" w:hAnsi="Arial" w:cs="Arial"/>
                <w:b/>
                <w:bCs/>
                <w:snapToGrid w:val="0"/>
                <w:sz w:val="22"/>
                <w:szCs w:val="22"/>
              </w:rPr>
              <w:t>Plnění indikátorů</w:t>
            </w:r>
          </w:p>
        </w:tc>
      </w:tr>
      <w:tr w:rsidR="009132E6" w:rsidRPr="00BF657C" w14:paraId="50E37ED5" w14:textId="77777777" w:rsidTr="255D11FC">
        <w:trPr>
          <w:trHeight w:val="1266"/>
        </w:trPr>
        <w:tc>
          <w:tcPr>
            <w:tcW w:w="4533" w:type="dxa"/>
          </w:tcPr>
          <w:p w14:paraId="26D041E5" w14:textId="58B6FC36" w:rsidR="003E67EB" w:rsidRPr="00BF657C" w:rsidRDefault="003E67EB" w:rsidP="003E67E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Pr>
                <w:rFonts w:ascii="Arial" w:hAnsi="Arial" w:cs="Arial"/>
                <w:snapToGrid w:val="0"/>
                <w:sz w:val="22"/>
                <w:szCs w:val="22"/>
              </w:rPr>
              <w:t>,</w:t>
            </w:r>
            <w:r w:rsidRPr="00A67B07">
              <w:rPr>
                <w:rFonts w:ascii="Arial" w:hAnsi="Arial" w:cs="Arial"/>
                <w:snapToGrid w:val="0"/>
                <w:sz w:val="22"/>
                <w:szCs w:val="22"/>
              </w:rPr>
              <w:t xml:space="preserve"> že indikátor </w:t>
            </w:r>
            <w:r w:rsidRPr="00A52757">
              <w:rPr>
                <w:rFonts w:ascii="Arial" w:hAnsi="Arial" w:cs="Arial"/>
                <w:i/>
                <w:iCs/>
                <w:snapToGrid w:val="0"/>
                <w:sz w:val="22"/>
                <w:szCs w:val="22"/>
              </w:rPr>
              <w:t>I.</w:t>
            </w:r>
            <w:r>
              <w:rPr>
                <w:rFonts w:ascii="Arial" w:hAnsi="Arial" w:cs="Arial"/>
                <w:snapToGrid w:val="0"/>
                <w:sz w:val="22"/>
                <w:szCs w:val="22"/>
              </w:rPr>
              <w:t xml:space="preserve"> </w:t>
            </w:r>
            <w:r w:rsidRPr="00A67B07">
              <w:rPr>
                <w:rFonts w:ascii="Arial" w:hAnsi="Arial" w:cs="Arial"/>
                <w:snapToGrid w:val="0"/>
                <w:sz w:val="22"/>
                <w:szCs w:val="22"/>
              </w:rPr>
              <w:t>byl naplněn</w:t>
            </w:r>
            <w:r w:rsidRPr="00BF657C">
              <w:rPr>
                <w:rFonts w:ascii="Arial" w:hAnsi="Arial" w:cs="Arial"/>
                <w:snapToGrid w:val="0"/>
                <w:sz w:val="22"/>
                <w:szCs w:val="22"/>
              </w:rPr>
              <w:t xml:space="preserve"> v termínu a cílové hodnotě uvedené </w:t>
            </w:r>
            <w:r>
              <w:rPr>
                <w:rFonts w:ascii="Arial" w:hAnsi="Arial" w:cs="Arial"/>
                <w:snapToGrid w:val="0"/>
                <w:sz w:val="22"/>
                <w:szCs w:val="22"/>
              </w:rPr>
              <w:t>ve Stanovení výdajů</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w:t>
            </w:r>
          </w:p>
          <w:p w14:paraId="1E7CB839" w14:textId="4BE592F6" w:rsidR="003E67EB" w:rsidRPr="00A67B07" w:rsidRDefault="003E67EB" w:rsidP="003E67E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4576B3">
              <w:rPr>
                <w:rFonts w:ascii="Arial" w:hAnsi="Arial" w:cs="Arial"/>
                <w:snapToGrid w:val="0"/>
                <w:sz w:val="22"/>
                <w:szCs w:val="22"/>
              </w:rPr>
              <w:t>y</w:t>
            </w:r>
            <w:r w:rsidRPr="00A67B07">
              <w:rPr>
                <w:rFonts w:ascii="Arial" w:hAnsi="Arial" w:cs="Arial"/>
                <w:snapToGrid w:val="0"/>
                <w:sz w:val="22"/>
                <w:szCs w:val="22"/>
              </w:rPr>
              <w:t>:</w:t>
            </w:r>
          </w:p>
          <w:p w14:paraId="31B427DE" w14:textId="77777777" w:rsidR="003E67EB" w:rsidRPr="0075000D" w:rsidRDefault="003E67EB" w:rsidP="003E67EB">
            <w:pPr>
              <w:pStyle w:val="Odstavecseseznamem"/>
              <w:numPr>
                <w:ilvl w:val="0"/>
                <w:numId w:val="32"/>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676A3C39" w14:textId="3E750F93" w:rsidR="003E67EB" w:rsidRPr="00BF657C" w:rsidRDefault="003E67EB" w:rsidP="003E67E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Pr>
                <w:rFonts w:ascii="Arial" w:hAnsi="Arial" w:cs="Arial"/>
                <w:snapToGrid w:val="0"/>
                <w:sz w:val="22"/>
                <w:szCs w:val="22"/>
              </w:rPr>
              <w:t>e Stanovení výdajů</w:t>
            </w:r>
            <w:r w:rsidRPr="00BF657C">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3DB13E8A" w14:textId="77777777" w:rsidR="003E67EB" w:rsidRPr="00BF657C" w:rsidRDefault="003E67EB" w:rsidP="003E67E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stanovena za nenaplnění cílové hodnoty indikátor</w:t>
            </w:r>
            <w:r>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53B9061A" w14:textId="77777777" w:rsidR="003E67EB" w:rsidRPr="000C678D" w:rsidRDefault="003E67EB" w:rsidP="003E67EB">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na 100 %</w:t>
            </w:r>
            <w:r>
              <w:rPr>
                <w:rFonts w:ascii="Arial" w:hAnsi="Arial" w:cs="Arial"/>
                <w:snapToGrid w:val="0"/>
                <w:sz w:val="22"/>
                <w:szCs w:val="22"/>
                <w:lang w:eastAsia="zh-CN" w:bidi="ar"/>
              </w:rPr>
              <w:t>.</w:t>
            </w:r>
          </w:p>
          <w:p w14:paraId="7C2C08B4" w14:textId="77777777" w:rsidR="003E67EB" w:rsidRPr="00BF657C" w:rsidRDefault="003E67EB" w:rsidP="003E67E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onkrétní výše finanční opravy bude vypočítána následovně:</w:t>
            </w:r>
          </w:p>
          <w:p w14:paraId="4056EBDC" w14:textId="77777777" w:rsidR="003E67EB" w:rsidRPr="000C678D" w:rsidRDefault="003E67EB" w:rsidP="003E67EB">
            <w:pPr>
              <w:pStyle w:val="Odstavecseseznamem"/>
              <w:numPr>
                <w:ilvl w:val="1"/>
                <w:numId w:val="16"/>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snapToGrid w:val="0"/>
                <w:sz w:val="22"/>
                <w:szCs w:val="22"/>
                <w:lang w:eastAsia="zh-CN" w:bidi="ar"/>
              </w:rPr>
              <w:t xml:space="preserve">u </w:t>
            </w:r>
            <w:r w:rsidRPr="00A52757">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w:t>
            </w:r>
            <w:r w:rsidRPr="00277403">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v poměrné výši zohledňující cílovou hodnotu indikátoru a dosaženou hodnotu indikátoru</w:t>
            </w:r>
            <w:r>
              <w:rPr>
                <w:rFonts w:ascii="Arial" w:hAnsi="Arial" w:cs="Arial"/>
                <w:snapToGrid w:val="0"/>
                <w:sz w:val="22"/>
                <w:szCs w:val="22"/>
                <w:lang w:eastAsia="zh-CN" w:bidi="ar"/>
              </w:rPr>
              <w:t>.</w:t>
            </w:r>
          </w:p>
          <w:p w14:paraId="408BDE7F" w14:textId="45568F57" w:rsidR="009132E6" w:rsidRPr="00BF657C" w:rsidRDefault="003E67EB" w:rsidP="003E67EB">
            <w:pPr>
              <w:spacing w:before="120" w:after="120" w:line="271" w:lineRule="auto"/>
              <w:jc w:val="both"/>
              <w:rPr>
                <w:rFonts w:ascii="Arial" w:hAnsi="Arial" w:cs="Arial"/>
                <w:sz w:val="22"/>
                <w:szCs w:val="22"/>
              </w:rPr>
            </w:pPr>
            <w:r w:rsidRPr="003E67EB">
              <w:rPr>
                <w:rFonts w:ascii="Arial" w:hAnsi="Arial" w:cs="Arial"/>
                <w:snapToGrid w:val="0"/>
                <w:sz w:val="22"/>
                <w:szCs w:val="22"/>
              </w:rPr>
              <w:t>Překročení cílové hodnoty indikátoru nepodléhá finanční opravě</w:t>
            </w:r>
            <w:r>
              <w:rPr>
                <w:rStyle w:val="Znakapoznpodarou"/>
                <w:rFonts w:ascii="Arial" w:hAnsi="Arial" w:cs="Arial"/>
                <w:snapToGrid w:val="0"/>
                <w:sz w:val="22"/>
                <w:szCs w:val="22"/>
              </w:rPr>
              <w:footnoteReference w:id="12"/>
            </w:r>
            <w:r w:rsidRPr="003E67EB">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lastRenderedPageBreak/>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lastRenderedPageBreak/>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E67EB">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56EDB0DB" w14:textId="77777777" w:rsidR="003E67EB" w:rsidRPr="00BF657C" w:rsidRDefault="003E67EB" w:rsidP="003E67E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udržet </w:t>
            </w:r>
            <w:r>
              <w:rPr>
                <w:rFonts w:ascii="Arial" w:hAnsi="Arial" w:cs="Arial"/>
                <w:snapToGrid w:val="0"/>
                <w:sz w:val="22"/>
                <w:szCs w:val="22"/>
              </w:rPr>
              <w:t>cílovou</w:t>
            </w:r>
            <w:r w:rsidRPr="00BF657C">
              <w:rPr>
                <w:rFonts w:ascii="Arial" w:hAnsi="Arial" w:cs="Arial"/>
                <w:snapToGrid w:val="0"/>
                <w:sz w:val="22"/>
                <w:szCs w:val="22"/>
              </w:rPr>
              <w:t xml:space="preserve"> hodnot</w:t>
            </w:r>
            <w:r>
              <w:rPr>
                <w:rFonts w:ascii="Arial" w:hAnsi="Arial" w:cs="Arial"/>
                <w:snapToGrid w:val="0"/>
                <w:sz w:val="22"/>
                <w:szCs w:val="22"/>
              </w:rPr>
              <w:t>u</w:t>
            </w:r>
            <w:r w:rsidRPr="00BF657C">
              <w:rPr>
                <w:rFonts w:ascii="Arial" w:hAnsi="Arial" w:cs="Arial"/>
                <w:snapToGrid w:val="0"/>
                <w:sz w:val="22"/>
                <w:szCs w:val="22"/>
              </w:rPr>
              <w:t xml:space="preserve"> indikátor</w:t>
            </w:r>
            <w:r>
              <w:rPr>
                <w:rFonts w:ascii="Arial" w:hAnsi="Arial" w:cs="Arial"/>
                <w:snapToGrid w:val="0"/>
                <w:sz w:val="22"/>
                <w:szCs w:val="22"/>
              </w:rPr>
              <w:t>u</w:t>
            </w:r>
            <w:r w:rsidRPr="00BF657C">
              <w:rPr>
                <w:rFonts w:ascii="Arial" w:hAnsi="Arial" w:cs="Arial"/>
                <w:snapToGrid w:val="0"/>
                <w:sz w:val="22"/>
                <w:szCs w:val="22"/>
              </w:rPr>
              <w:t xml:space="preserve"> uveden</w:t>
            </w:r>
            <w:r>
              <w:rPr>
                <w:rFonts w:ascii="Arial" w:hAnsi="Arial" w:cs="Arial"/>
                <w:snapToGrid w:val="0"/>
                <w:sz w:val="22"/>
                <w:szCs w:val="22"/>
              </w:rPr>
              <w:t>ou</w:t>
            </w:r>
            <w:r w:rsidRPr="00BF657C">
              <w:rPr>
                <w:rFonts w:ascii="Arial" w:hAnsi="Arial" w:cs="Arial"/>
                <w:snapToGrid w:val="0"/>
                <w:sz w:val="22"/>
                <w:szCs w:val="22"/>
              </w:rPr>
              <w:t xml:space="preserve"> v MS2021+.</w:t>
            </w:r>
          </w:p>
          <w:p w14:paraId="77A69F11" w14:textId="4143B3F2" w:rsidR="003E67EB" w:rsidRPr="00A67B07" w:rsidRDefault="003E67EB" w:rsidP="003E67E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r w:rsidR="004576B3">
              <w:rPr>
                <w:rFonts w:ascii="Arial" w:hAnsi="Arial" w:cs="Arial"/>
                <w:snapToGrid w:val="0"/>
                <w:sz w:val="22"/>
                <w:szCs w:val="22"/>
              </w:rPr>
              <w:t>y</w:t>
            </w:r>
            <w:r w:rsidRPr="00A67B07">
              <w:rPr>
                <w:rFonts w:ascii="Arial" w:hAnsi="Arial" w:cs="Arial"/>
                <w:snapToGrid w:val="0"/>
                <w:sz w:val="22"/>
                <w:szCs w:val="22"/>
              </w:rPr>
              <w:t>:</w:t>
            </w:r>
          </w:p>
          <w:p w14:paraId="4E314364" w14:textId="77777777" w:rsidR="003E67EB" w:rsidRPr="0075000D" w:rsidRDefault="003E67EB" w:rsidP="003E67EB">
            <w:pPr>
              <w:pStyle w:val="Odstavecseseznamem"/>
              <w:numPr>
                <w:ilvl w:val="0"/>
                <w:numId w:val="34"/>
              </w:numPr>
              <w:jc w:val="both"/>
              <w:rPr>
                <w:rFonts w:ascii="Arial" w:hAnsi="Arial" w:cs="Arial"/>
                <w:i/>
                <w:iCs/>
                <w:snapToGrid w:val="0"/>
                <w:sz w:val="22"/>
                <w:szCs w:val="22"/>
              </w:rPr>
            </w:pPr>
            <w:r w:rsidRPr="0075000D">
              <w:rPr>
                <w:rFonts w:ascii="Arial" w:hAnsi="Arial" w:cs="Arial"/>
                <w:i/>
                <w:iCs/>
                <w:snapToGrid w:val="0"/>
                <w:sz w:val="22"/>
                <w:szCs w:val="22"/>
              </w:rPr>
              <w:t>304 002 - Nové nebo modernizované prvky k zajištění standardů kybernetické bezpečnosti</w:t>
            </w:r>
          </w:p>
          <w:p w14:paraId="2BA0D56F" w14:textId="2612FE94" w:rsidR="009132E6" w:rsidRPr="00BF657C" w:rsidRDefault="003E67EB" w:rsidP="003E67E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Pr>
                <w:rFonts w:ascii="Arial" w:hAnsi="Arial" w:cs="Arial"/>
                <w:snapToGrid w:val="0"/>
                <w:sz w:val="22"/>
                <w:szCs w:val="22"/>
              </w:rPr>
              <w:t>e Stanovení výdajů</w:t>
            </w:r>
            <w:r w:rsidRPr="00BF657C">
              <w:rPr>
                <w:rFonts w:ascii="Arial" w:hAnsi="Arial" w:cs="Arial"/>
                <w:snapToGrid w:val="0"/>
                <w:sz w:val="22"/>
                <w:szCs w:val="22"/>
              </w:rPr>
              <w:t>.</w:t>
            </w:r>
          </w:p>
        </w:tc>
        <w:tc>
          <w:tcPr>
            <w:tcW w:w="4534" w:type="dxa"/>
          </w:tcPr>
          <w:p w14:paraId="69EEE911" w14:textId="07EA0AD0" w:rsidR="003E67EB" w:rsidRPr="00BF657C" w:rsidRDefault="003E67EB" w:rsidP="003E67E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za neudržení </w:t>
            </w:r>
            <w:r w:rsidR="00EB37A9">
              <w:rPr>
                <w:rFonts w:ascii="Arial" w:hAnsi="Arial" w:cs="Arial"/>
                <w:snapToGrid w:val="0"/>
                <w:sz w:val="22"/>
                <w:szCs w:val="22"/>
                <w:lang w:eastAsia="zh-CN" w:bidi="ar"/>
              </w:rPr>
              <w:t>dosažené</w:t>
            </w:r>
            <w:r w:rsidRPr="00BF657C">
              <w:rPr>
                <w:rFonts w:ascii="Arial" w:hAnsi="Arial" w:cs="Arial"/>
                <w:snapToGrid w:val="0"/>
                <w:sz w:val="22"/>
                <w:szCs w:val="22"/>
                <w:lang w:eastAsia="zh-CN" w:bidi="ar"/>
              </w:rPr>
              <w:t xml:space="preserve"> hodnoty indikátor</w:t>
            </w:r>
            <w:r>
              <w:rPr>
                <w:rFonts w:ascii="Arial" w:hAnsi="Arial" w:cs="Arial"/>
                <w:snapToGrid w:val="0"/>
                <w:sz w:val="22"/>
                <w:szCs w:val="22"/>
                <w:lang w:eastAsia="zh-CN" w:bidi="ar"/>
              </w:rPr>
              <w:t>u</w:t>
            </w:r>
            <w:r w:rsidRPr="00BF657C">
              <w:rPr>
                <w:rFonts w:ascii="Arial" w:hAnsi="Arial" w:cs="Arial"/>
                <w:snapToGrid w:val="0"/>
                <w:sz w:val="22"/>
                <w:szCs w:val="22"/>
                <w:lang w:eastAsia="zh-CN" w:bidi="ar"/>
              </w:rPr>
              <w:t>:</w:t>
            </w:r>
          </w:p>
          <w:p w14:paraId="0D702C83" w14:textId="77777777" w:rsidR="003E67EB" w:rsidRPr="00E65AF2" w:rsidRDefault="003E67EB" w:rsidP="00E65AF2">
            <w:pPr>
              <w:pStyle w:val="Odstavecseseznamem"/>
              <w:numPr>
                <w:ilvl w:val="0"/>
                <w:numId w:val="15"/>
              </w:numPr>
              <w:spacing w:before="120" w:after="120" w:line="271" w:lineRule="auto"/>
              <w:ind w:left="338" w:hanging="283"/>
              <w:jc w:val="both"/>
              <w:rPr>
                <w:rFonts w:ascii="Arial" w:hAnsi="Arial" w:cs="Arial"/>
                <w:i/>
                <w:iCs/>
                <w:snapToGrid w:val="0"/>
                <w:sz w:val="22"/>
                <w:szCs w:val="22"/>
                <w:lang w:eastAsia="zh-CN" w:bidi="ar"/>
              </w:rPr>
            </w:pPr>
            <w:r w:rsidRPr="00277403">
              <w:rPr>
                <w:rFonts w:ascii="Arial" w:hAnsi="Arial" w:cs="Arial"/>
                <w:i/>
                <w:iCs/>
                <w:snapToGrid w:val="0"/>
                <w:sz w:val="22"/>
                <w:szCs w:val="22"/>
                <w:lang w:eastAsia="zh-CN" w:bidi="ar"/>
              </w:rPr>
              <w:t>I.</w:t>
            </w:r>
            <w:r w:rsidRPr="00E65AF2">
              <w:rPr>
                <w:rFonts w:ascii="Arial" w:hAnsi="Arial" w:cs="Arial"/>
                <w:i/>
                <w:iCs/>
                <w:snapToGrid w:val="0"/>
                <w:sz w:val="22"/>
                <w:szCs w:val="22"/>
                <w:lang w:eastAsia="zh-CN" w:bidi="ar"/>
              </w:rPr>
              <w:t xml:space="preserve"> </w:t>
            </w:r>
            <w:r w:rsidRPr="00A52757">
              <w:rPr>
                <w:rFonts w:ascii="Arial" w:hAnsi="Arial" w:cs="Arial"/>
                <w:snapToGrid w:val="0"/>
                <w:sz w:val="22"/>
                <w:szCs w:val="22"/>
                <w:lang w:eastAsia="zh-CN" w:bidi="ar"/>
              </w:rPr>
              <w:t>na 100 %.</w:t>
            </w:r>
          </w:p>
          <w:p w14:paraId="23685052" w14:textId="77777777" w:rsidR="003E67EB" w:rsidRPr="00BF657C" w:rsidRDefault="003E67EB" w:rsidP="003E67E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onkrétní výše finanční opravy bude vypočítána následovně:</w:t>
            </w:r>
          </w:p>
          <w:p w14:paraId="73DE0C23" w14:textId="61609CA3" w:rsidR="003E67EB" w:rsidRPr="00351B32" w:rsidRDefault="003E67EB" w:rsidP="003E67EB">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A52757">
              <w:rPr>
                <w:rFonts w:ascii="Arial" w:hAnsi="Arial" w:cs="Arial"/>
                <w:snapToGrid w:val="0"/>
                <w:sz w:val="22"/>
                <w:szCs w:val="22"/>
                <w:lang w:eastAsia="zh-CN" w:bidi="ar"/>
              </w:rPr>
              <w:t>u indikátoru</w:t>
            </w:r>
            <w:r w:rsidRPr="00351B32">
              <w:rPr>
                <w:rFonts w:ascii="Arial" w:hAnsi="Arial" w:cs="Arial"/>
                <w:i/>
                <w:iCs/>
                <w:snapToGrid w:val="0"/>
                <w:sz w:val="22"/>
                <w:szCs w:val="22"/>
                <w:lang w:eastAsia="zh-CN" w:bidi="ar"/>
              </w:rPr>
              <w:t xml:space="preserve"> I. </w:t>
            </w:r>
            <w:r w:rsidRPr="00351B32">
              <w:rPr>
                <w:rFonts w:ascii="Arial" w:hAnsi="Arial" w:cs="Arial"/>
                <w:snapToGrid w:val="0"/>
                <w:sz w:val="22"/>
                <w:szCs w:val="22"/>
                <w:lang w:eastAsia="zh-CN" w:bidi="ar"/>
              </w:rPr>
              <w:t xml:space="preserve">v poměrné výši zohledňující </w:t>
            </w:r>
            <w:r w:rsidR="00EB37A9">
              <w:rPr>
                <w:rFonts w:ascii="Arial" w:hAnsi="Arial" w:cs="Arial"/>
                <w:snapToGrid w:val="0"/>
                <w:sz w:val="22"/>
                <w:szCs w:val="22"/>
                <w:lang w:eastAsia="zh-CN" w:bidi="ar"/>
              </w:rPr>
              <w:t>dosaženou</w:t>
            </w:r>
            <w:r w:rsidRPr="00351B32">
              <w:rPr>
                <w:rFonts w:ascii="Arial" w:hAnsi="Arial" w:cs="Arial"/>
                <w:snapToGrid w:val="0"/>
                <w:sz w:val="22"/>
                <w:szCs w:val="22"/>
                <w:lang w:eastAsia="zh-CN" w:bidi="ar"/>
              </w:rPr>
              <w:t xml:space="preserve"> hodnotu indikátoru a skutečně udrženou hodnotu indikátoru</w:t>
            </w:r>
            <w:r>
              <w:rPr>
                <w:rFonts w:ascii="Arial" w:hAnsi="Arial" w:cs="Arial"/>
                <w:snapToGrid w:val="0"/>
                <w:sz w:val="22"/>
                <w:szCs w:val="22"/>
                <w:lang w:eastAsia="zh-CN" w:bidi="ar"/>
              </w:rPr>
              <w:t>.</w:t>
            </w:r>
          </w:p>
          <w:p w14:paraId="28849D51" w14:textId="77777777" w:rsidR="003E67EB" w:rsidRPr="00BF657C" w:rsidRDefault="003E67EB" w:rsidP="003E67E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 neudržel.</w:t>
            </w:r>
            <w:r w:rsidRPr="00BF657C">
              <w:rPr>
                <w:rFonts w:ascii="Arial" w:hAnsi="Arial" w:cs="Arial"/>
                <w:sz w:val="22"/>
                <w:szCs w:val="22"/>
              </w:rPr>
              <w:t xml:space="preserve"> </w:t>
            </w:r>
          </w:p>
          <w:p w14:paraId="52A97C33" w14:textId="04C3DB82" w:rsidR="009132E6" w:rsidRPr="00BF657C" w:rsidRDefault="003E67EB" w:rsidP="003E67E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než cílové hodnoty či další zlepšení dosažené hodnoty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A52757">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4"/>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078830F3"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A52757">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0D08C72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A52757">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5"/>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5005B0E7"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AOPK, PO nebo AO poskytnout veškeré informace o výsledcích těchto kontrol a</w:t>
            </w:r>
            <w:r w:rsidR="00A52757">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617E8C5C"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A52757">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563518EF"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A52757">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 xml:space="preserve">poskytnout informaci o všech skutečných </w:t>
            </w:r>
            <w:r w:rsidRPr="00E21F60">
              <w:rPr>
                <w:rFonts w:ascii="Arial" w:hAnsi="Arial" w:cs="Arial"/>
                <w:sz w:val="22"/>
                <w:szCs w:val="22"/>
              </w:rPr>
              <w:lastRenderedPageBreak/>
              <w:t>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7F1EC96F"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A52757">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12"/>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0F24DE1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52757">
              <w:rPr>
                <w:rFonts w:ascii="Arial" w:hAnsi="Arial" w:cs="Arial"/>
                <w:snapToGrid w:val="0"/>
                <w:sz w:val="22"/>
                <w:szCs w:val="22"/>
              </w:rPr>
              <w:t>–</w:t>
            </w:r>
            <w:r w:rsidRPr="00E21F60">
              <w:rPr>
                <w:rFonts w:ascii="Arial" w:hAnsi="Arial" w:cs="Arial"/>
                <w:snapToGrid w:val="0"/>
                <w:sz w:val="22"/>
                <w:szCs w:val="22"/>
              </w:rPr>
              <w:t xml:space="preserve"> v</w:t>
            </w:r>
            <w:r w:rsidR="00A52757">
              <w:rPr>
                <w:rFonts w:ascii="Arial" w:hAnsi="Arial" w:cs="Arial"/>
                <w:snapToGrid w:val="0"/>
                <w:sz w:val="22"/>
                <w:szCs w:val="22"/>
              </w:rPr>
              <w:t> </w:t>
            </w:r>
            <w:r w:rsidRPr="00E21F60">
              <w:rPr>
                <w:rFonts w:ascii="Arial" w:hAnsi="Arial" w:cs="Arial"/>
                <w:snapToGrid w:val="0"/>
                <w:sz w:val="22"/>
                <w:szCs w:val="22"/>
              </w:rPr>
              <w:t xml:space="preserve">případě neprovedení opatření k nápravě ve stanovené lhůtě bude stanovena finanční oprava ve výši 0,1 %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9D133A">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2486832"/>
      <w:docPartObj>
        <w:docPartGallery w:val="Page Numbers (Bottom of Page)"/>
        <w:docPartUnique/>
      </w:docPartObj>
    </w:sdtPr>
    <w:sdtContent>
      <w:sdt>
        <w:sdtPr>
          <w:id w:val="-926646092"/>
          <w:docPartObj>
            <w:docPartGallery w:val="Page Numbers (Top of Page)"/>
            <w:docPartUnique/>
          </w:docPartObj>
        </w:sdtPr>
        <w:sdtContent>
          <w:p w14:paraId="69EE2219" w14:textId="5C418ABD" w:rsidR="00765398" w:rsidRDefault="00765398">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noProof/>
              </w:rPr>
              <w:t>14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14</w:t>
            </w:r>
            <w:r>
              <w:rPr>
                <w:b/>
                <w:bCs/>
                <w:sz w:val="24"/>
                <w:szCs w:val="24"/>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4587653"/>
      <w:docPartObj>
        <w:docPartGallery w:val="Page Numbers (Bottom of Page)"/>
        <w:docPartUnique/>
      </w:docPartObj>
    </w:sdtPr>
    <w:sdtContent>
      <w:sdt>
        <w:sdtPr>
          <w:id w:val="-1769616900"/>
          <w:docPartObj>
            <w:docPartGallery w:val="Page Numbers (Top of Page)"/>
            <w:docPartUnique/>
          </w:docPartObj>
        </w:sdtPr>
        <w:sdtContent>
          <w:p w14:paraId="2635575F" w14:textId="2D7516DA" w:rsidR="00765398" w:rsidRDefault="00765398">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14</w:t>
            </w:r>
            <w:r>
              <w:rPr>
                <w:b/>
                <w:bCs/>
                <w:sz w:val="24"/>
                <w:szCs w:val="24"/>
              </w:rPr>
              <w:fldChar w:fldCharType="end"/>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A52757">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483A0A7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52757">
        <w:rPr>
          <w:rFonts w:ascii="Arial" w:hAnsi="Arial" w:cs="Arial"/>
          <w:sz w:val="18"/>
          <w:szCs w:val="18"/>
        </w:rPr>
        <w:t> </w:t>
      </w:r>
      <w:r w:rsidRPr="0042247B">
        <w:rPr>
          <w:rFonts w:ascii="Arial" w:hAnsi="Arial" w:cs="Arial"/>
          <w:sz w:val="18"/>
          <w:szCs w:val="18"/>
        </w:rPr>
        <w:t>o</w:t>
      </w:r>
      <w:r w:rsidR="00A52757">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719548F8" w14:textId="46D5A4AA" w:rsidR="003E67EB" w:rsidRDefault="003E67EB" w:rsidP="003E67E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52757">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2">
    <w:p w14:paraId="4AAF903D" w14:textId="77777777" w:rsidR="003E67EB" w:rsidRPr="001F46DB" w:rsidRDefault="003E67EB" w:rsidP="003E67EB">
      <w:pPr>
        <w:pStyle w:val="Textpoznpodarou"/>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3">
    <w:p w14:paraId="0176CAC3" w14:textId="77777777" w:rsidR="003E67EB" w:rsidRDefault="003E67EB" w:rsidP="003E67EB">
      <w:pPr>
        <w:pStyle w:val="Textpoznpodarou"/>
      </w:pPr>
      <w:r>
        <w:rPr>
          <w:rStyle w:val="Znakapoznpodarou"/>
        </w:rPr>
        <w:footnoteRef/>
      </w:r>
      <w:r>
        <w:t xml:space="preserve"> </w:t>
      </w:r>
      <w:bookmarkStart w:id="10" w:name="_Hlk109895410"/>
      <w:bookmarkStart w:id="11" w:name="_Hlk109895616"/>
      <w:r w:rsidRPr="001F46DB">
        <w:rPr>
          <w:rFonts w:ascii="Arial" w:hAnsi="Arial" w:cs="Arial"/>
          <w:sz w:val="18"/>
          <w:szCs w:val="18"/>
        </w:rPr>
        <w:t>Vyšší než cílové hodnoty znamená udržování lepšího než plánovaného či dosaženého stavu.</w:t>
      </w:r>
      <w:bookmarkEnd w:id="10"/>
      <w:bookmarkEnd w:id="11"/>
    </w:p>
  </w:footnote>
  <w:footnote w:id="14">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5">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23D024DB"/>
    <w:lvl w:ilvl="0" w:tplc="D18A472E">
      <w:start w:val="1"/>
      <w:numFmt w:val="decimal"/>
      <w:lvlText w:val="%1."/>
      <w:lvlJc w:val="left"/>
      <w:pPr>
        <w:tabs>
          <w:tab w:val="left" w:pos="786"/>
        </w:tabs>
        <w:ind w:left="786" w:hanging="360"/>
      </w:pPr>
      <w:rPr>
        <w:b w:val="0"/>
        <w:color w:val="auto"/>
        <w:sz w:val="24"/>
        <w:szCs w:val="24"/>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3"/>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5F55"/>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7E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5D33"/>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6B3"/>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398"/>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33A"/>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757"/>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19A"/>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3678"/>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AF2"/>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7A9"/>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s:customData xmlns="http://www.wps.cn/officeDocument/2013/wpsCustomData" xmlns:s="http://www.wps.cn/officeDocument/2013/wpsCustomData">
  <customSectProps>
    <customSectPr/>
  </customSectProps>
</s:customDat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FD379-8136-4F37-AC6E-9DD0F59768C1}">
  <ds:schemaRefs>
    <ds:schemaRef ds:uri="http://schemas.openxmlformats.org/officeDocument/2006/bibliography"/>
  </ds:schemaRefs>
</ds:datastoreItem>
</file>

<file path=customXml/itemProps10.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1.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2.xml><?xml version="1.0" encoding="utf-8"?>
<ds:datastoreItem xmlns:ds="http://schemas.openxmlformats.org/officeDocument/2006/customXml" ds:itemID="{B5AECFE9-10E6-4AB0-8163-A72CF5DB0AE0}">
  <ds:schemaRefs>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96f83003-48fd-4f52-836f-d78a4dd9c06d"/>
    <ds:schemaRef ds:uri="38a97ebd-7b55-4e0a-b11e-b1f20907ee6a"/>
    <ds:schemaRef ds:uri="http://schemas.microsoft.com/office/infopath/2007/PartnerControls"/>
    <ds:schemaRef ds:uri="http://www.w3.org/XML/1998/namespace"/>
    <ds:schemaRef ds:uri="http://purl.org/dc/dcmitype/"/>
    <ds:schemaRef ds:uri="http://purl.org/dc/terms/"/>
  </ds:schemaRefs>
</ds:datastoreItem>
</file>

<file path=customXml/itemProps13.xml><?xml version="1.0" encoding="utf-8"?>
<ds:datastoreItem xmlns:ds="http://schemas.openxmlformats.org/officeDocument/2006/customXml" ds:itemID="{B76368FA-37ED-4259-B1B7-508C9C115BAD}">
  <ds:schemaRefs>
    <ds:schemaRef ds:uri="http://schemas.openxmlformats.org/officeDocument/2006/bibliography"/>
  </ds:schemaRefs>
</ds:datastoreItem>
</file>

<file path=customXml/itemProps14.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1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7.xml><?xml version="1.0" encoding="utf-8"?>
<ds:datastoreItem xmlns:ds="http://schemas.openxmlformats.org/officeDocument/2006/customXml" ds:itemID="{4580A428-A1D7-4225-9C29-03A68DF652D6}">
  <ds:schemaRefs>
    <ds:schemaRef ds:uri="http://schemas.openxmlformats.org/officeDocument/2006/bibliography"/>
  </ds:schemaRefs>
</ds:datastoreItem>
</file>

<file path=customXml/itemProps18.xml><?xml version="1.0" encoding="utf-8"?>
<ds:datastoreItem xmlns:ds="http://schemas.openxmlformats.org/officeDocument/2006/customXml" ds:itemID="{68EFF905-3244-4346-9803-631AB542681C}">
  <ds:schemaRefs>
    <ds:schemaRef ds:uri="http://schemas.openxmlformats.org/officeDocument/2006/bibliography"/>
  </ds:schemaRefs>
</ds:datastoreItem>
</file>

<file path=customXml/itemProps19.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0.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1.xml><?xml version="1.0" encoding="utf-8"?>
<ds:datastoreItem xmlns:ds="http://schemas.openxmlformats.org/officeDocument/2006/customXml" ds:itemID="{AF9B54B4-771D-45B2-90E2-A19F262FE1A7}">
  <ds:schemaRefs>
    <ds:schemaRef ds:uri="http://schemas.openxmlformats.org/officeDocument/2006/bibliography"/>
  </ds:schemaRefs>
</ds:datastoreItem>
</file>

<file path=customXml/itemProps22.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4.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25.xml><?xml version="1.0" encoding="utf-8"?>
<ds:datastoreItem xmlns:ds="http://schemas.openxmlformats.org/officeDocument/2006/customXml" ds:itemID="{DE4ACF15-684D-4274-9F3F-1DA4BEDB43AD}">
  <ds:schemaRefs>
    <ds:schemaRef ds:uri="http://schemas.openxmlformats.org/officeDocument/2006/bibliography"/>
  </ds:schemaRefs>
</ds:datastoreItem>
</file>

<file path=customXml/itemProps26.xml><?xml version="1.0" encoding="utf-8"?>
<ds:datastoreItem xmlns:ds="http://schemas.openxmlformats.org/officeDocument/2006/customXml" ds:itemID="{03294EF6-5837-48AA-ADC3-771DF262581D}">
  <ds:schemaRefs>
    <ds:schemaRef ds:uri="http://schemas.openxmlformats.org/officeDocument/2006/bibliography"/>
  </ds:schemaRefs>
</ds:datastoreItem>
</file>

<file path=customXml/itemProps3.xml><?xml version="1.0" encoding="utf-8"?>
<ds:datastoreItem xmlns:ds="http://schemas.openxmlformats.org/officeDocument/2006/customXml" ds:itemID="{7460EB51-7645-4A1B-A9EE-FC93D115956B}">
  <ds:schemaRefs>
    <ds:schemaRef ds:uri="http://schemas.openxmlformats.org/officeDocument/2006/bibliography"/>
  </ds:schemaRefs>
</ds:datastoreItem>
</file>

<file path=customXml/itemProps4.xml><?xml version="1.0" encoding="utf-8"?>
<ds:datastoreItem xmlns:ds="http://schemas.openxmlformats.org/officeDocument/2006/customXml" ds:itemID="{5EC8DC72-B5A1-41F8-9247-BEE6D352200A}">
  <ds:schemaRefs>
    <ds:schemaRef ds:uri="http://schemas.openxmlformats.org/officeDocument/2006/bibliography"/>
  </ds:schemaRefs>
</ds:datastoreItem>
</file>

<file path=customXml/itemProps5.xml><?xml version="1.0" encoding="utf-8"?>
<ds:datastoreItem xmlns:ds="http://schemas.openxmlformats.org/officeDocument/2006/customXml" ds:itemID="{62A5C2D4-7DD6-4ACE-829F-991C5F097636}">
  <ds:schemaRefs>
    <ds:schemaRef ds:uri="http://schemas.openxmlformats.org/officeDocument/2006/bibliography"/>
  </ds:schemaRefs>
</ds:datastoreItem>
</file>

<file path=customXml/itemProps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7.xml><?xml version="1.0" encoding="utf-8"?>
<ds:datastoreItem xmlns:ds="http://schemas.openxmlformats.org/officeDocument/2006/customXml" ds:itemID="{8DDDEF36-4A79-4E80-915C-13A04EBAA0F7}">
  <ds:schemaRefs>
    <ds:schemaRef ds:uri="http://schemas.openxmlformats.org/officeDocument/2006/bibliography"/>
  </ds:schemaRefs>
</ds:datastoreItem>
</file>

<file path=customXml/itemProps8.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9.xml><?xml version="1.0" encoding="utf-8"?>
<ds:datastoreItem xmlns:ds="http://schemas.openxmlformats.org/officeDocument/2006/customXml" ds:itemID="{686C7E89-332E-4466-9EBB-48D918F97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14</Pages>
  <Words>3358</Words>
  <Characters>19601</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15</cp:revision>
  <cp:lastPrinted>2022-07-27T19:25:00Z</cp:lastPrinted>
  <dcterms:created xsi:type="dcterms:W3CDTF">2022-08-08T12:02:00Z</dcterms:created>
  <dcterms:modified xsi:type="dcterms:W3CDTF">2022-08-16T08:36:00Z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