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923EF65"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proofErr w:type="gramStart"/>
      <w:r w:rsidR="000F6082" w:rsidRPr="00284A98">
        <w:rPr>
          <w:rFonts w:ascii="Arial" w:hAnsi="Arial" w:cs="Arial"/>
          <w:b/>
          <w:bCs/>
          <w:caps/>
          <w:color w:val="214F87"/>
          <w:sz w:val="44"/>
          <w:szCs w:val="44"/>
        </w:rPr>
        <w:t>3</w:t>
      </w:r>
      <w:r w:rsidR="00284A98" w:rsidRPr="00284A98">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058AB4A7" w:rsidR="00284A98" w:rsidRDefault="004B2D7C" w:rsidP="00284A98">
      <w:pPr>
        <w:pStyle w:val="Zkladnodstavec"/>
        <w:jc w:val="center"/>
        <w:rPr>
          <w:rFonts w:ascii="Arial" w:hAnsi="Arial" w:cs="Arial"/>
          <w:caps/>
          <w:color w:val="auto"/>
          <w:sz w:val="36"/>
          <w:szCs w:val="36"/>
        </w:rPr>
      </w:pPr>
      <w:r>
        <w:rPr>
          <w:rFonts w:ascii="Arial" w:hAnsi="Arial" w:cs="Arial"/>
          <w:caps/>
          <w:color w:val="auto"/>
          <w:sz w:val="36"/>
          <w:szCs w:val="36"/>
        </w:rPr>
        <w:t>30</w:t>
      </w:r>
      <w:r w:rsidR="00284A98">
        <w:rPr>
          <w:rFonts w:ascii="Arial" w:hAnsi="Arial" w:cs="Arial"/>
          <w:caps/>
          <w:color w:val="auto"/>
          <w:sz w:val="36"/>
          <w:szCs w:val="36"/>
        </w:rPr>
        <w:t xml:space="preserve">. výzva irop </w:t>
      </w:r>
      <w:r w:rsidR="00284A98">
        <w:rPr>
          <w:rFonts w:ascii="Arial" w:hAnsi="Arial" w:cs="Arial"/>
          <w:color w:val="auto"/>
          <w:sz w:val="36"/>
          <w:szCs w:val="36"/>
        </w:rPr>
        <w:t>–</w:t>
      </w:r>
      <w:r w:rsidR="00284A98">
        <w:rPr>
          <w:rFonts w:ascii="Arial" w:hAnsi="Arial" w:cs="Arial"/>
          <w:caps/>
          <w:color w:val="auto"/>
          <w:sz w:val="36"/>
          <w:szCs w:val="36"/>
        </w:rPr>
        <w:t xml:space="preserve"> Sociální služby </w:t>
      </w:r>
      <w:r w:rsidR="00284A98">
        <w:rPr>
          <w:rFonts w:ascii="Arial" w:hAnsi="Arial" w:cs="Arial"/>
          <w:color w:val="auto"/>
          <w:sz w:val="36"/>
          <w:szCs w:val="36"/>
        </w:rPr>
        <w:t>–</w:t>
      </w:r>
      <w:r w:rsidR="00284A98">
        <w:rPr>
          <w:rFonts w:ascii="Arial" w:hAnsi="Arial" w:cs="Arial"/>
          <w:caps/>
          <w:color w:val="auto"/>
          <w:sz w:val="36"/>
          <w:szCs w:val="36"/>
        </w:rPr>
        <w:t xml:space="preserve"> SC 4.2 (</w:t>
      </w:r>
      <w:r>
        <w:rPr>
          <w:rFonts w:ascii="Arial" w:hAnsi="Arial" w:cs="Arial"/>
          <w:caps/>
          <w:color w:val="auto"/>
          <w:sz w:val="36"/>
          <w:szCs w:val="36"/>
        </w:rPr>
        <w:t>ITI</w:t>
      </w:r>
      <w:r w:rsidR="00284A98">
        <w:rPr>
          <w:rFonts w:ascii="Arial" w:hAnsi="Arial" w:cs="Arial"/>
          <w:caps/>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D65A0DC"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93D65">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5A8E709">
        <w:trPr>
          <w:jc w:val="center"/>
        </w:trPr>
        <w:tc>
          <w:tcPr>
            <w:tcW w:w="2972" w:type="dxa"/>
          </w:tcPr>
          <w:p w14:paraId="58F8ACB9" w14:textId="10F5299E" w:rsidR="0068431B" w:rsidRPr="0068431B" w:rsidRDefault="560D1FE6" w:rsidP="05A8E709">
            <w:pPr>
              <w:spacing w:before="60" w:after="60" w:line="259" w:lineRule="auto"/>
              <w:rPr>
                <w:rFonts w:ascii="Arial" w:hAnsi="Arial" w:cs="Arial"/>
                <w:color w:val="000000" w:themeColor="text1"/>
                <w:sz w:val="20"/>
                <w:szCs w:val="20"/>
              </w:rPr>
            </w:pPr>
            <w:r w:rsidRPr="05A8E709">
              <w:rPr>
                <w:rFonts w:ascii="Arial" w:hAnsi="Arial" w:cs="Arial"/>
                <w:color w:val="000000" w:themeColor="text1"/>
                <w:sz w:val="20"/>
                <w:szCs w:val="20"/>
              </w:rPr>
              <w:t>Příjemce:</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5A8E709">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5A8E709">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364F97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364F97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2364F979">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364F97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364F97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364F97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364F97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364F97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84A598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5A8E709">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364F97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364F979">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364F97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364F97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364F97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364F979">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364F979">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364F97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364F97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2364F979">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77777777"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4F681A86"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w:t>
            </w:r>
            <w:r w:rsidRPr="05A8E709" w:rsidDel="00975D6B">
              <w:rPr>
                <w:rFonts w:ascii="Arial" w:hAnsi="Arial" w:cs="Arial"/>
                <w:sz w:val="22"/>
                <w:szCs w:val="22"/>
                <w:lang w:eastAsia="zh-CN" w:bidi="ar"/>
              </w:rPr>
              <w:t>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364F979">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364F979">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364F979">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364F979">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t>Udržení indikátorů</w:t>
            </w:r>
          </w:p>
        </w:tc>
      </w:tr>
      <w:tr w:rsidR="009132E6" w:rsidRPr="00BF657C" w14:paraId="4B0E91EF" w14:textId="77777777" w:rsidTr="2364F979">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77777777"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554 611 -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575FB3A8"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Pr="05A8E709" w:rsidDel="001C025D">
              <w:rPr>
                <w:rFonts w:ascii="Arial" w:hAnsi="Arial" w:cs="Arial"/>
                <w:sz w:val="22"/>
                <w:szCs w:val="22"/>
                <w:lang w:eastAsia="zh-CN" w:bidi="ar"/>
              </w:rPr>
              <w: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364F979">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364F979">
        <w:trPr>
          <w:trHeight w:val="720"/>
        </w:trPr>
        <w:tc>
          <w:tcPr>
            <w:tcW w:w="4533" w:type="dxa"/>
          </w:tcPr>
          <w:p w14:paraId="6A2503EA" w14:textId="31B097AD"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3A13F78D" w:rsidRPr="00E21F60">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364F979">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364F979">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364F979">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364F979">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364F97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364F979">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639A20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715E65E9" w:rsidRPr="00E21F60">
              <w:rPr>
                <w:rFonts w:ascii="Arial" w:hAnsi="Arial" w:cs="Arial"/>
                <w:snapToGrid w:val="0"/>
                <w:sz w:val="22"/>
                <w:szCs w:val="22"/>
              </w:rPr>
              <w:t xml:space="preserve">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364F979">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364F979">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364F979">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364F979">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364F979">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364F979">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364F979">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364F979">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364F979">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2364F979">
        <w:trPr>
          <w:trHeight w:val="410"/>
        </w:trPr>
        <w:tc>
          <w:tcPr>
            <w:tcW w:w="9067" w:type="dxa"/>
            <w:gridSpan w:val="2"/>
            <w:shd w:val="clear" w:color="auto" w:fill="D9D9D9" w:themeFill="background1" w:themeFillShade="D9"/>
          </w:tcPr>
          <w:p w14:paraId="12CE7C50" w14:textId="1FFE1E82" w:rsidR="00C76CB5" w:rsidRPr="00C76CB5" w:rsidRDefault="00C76CB5" w:rsidP="00C76CB5">
            <w:pPr>
              <w:pStyle w:val="Odstavecseseznamem"/>
              <w:numPr>
                <w:ilvl w:val="0"/>
                <w:numId w:val="25"/>
              </w:numPr>
              <w:spacing w:before="120" w:after="120" w:line="271" w:lineRule="auto"/>
              <w:jc w:val="both"/>
              <w:rPr>
                <w:rFonts w:ascii="Arial" w:hAnsi="Arial" w:cs="Arial"/>
                <w:sz w:val="22"/>
                <w:szCs w:val="22"/>
              </w:rPr>
            </w:pPr>
            <w:r w:rsidRPr="00C76CB5">
              <w:rPr>
                <w:rFonts w:ascii="Arial" w:hAnsi="Arial" w:cs="Arial"/>
                <w:b/>
                <w:bCs/>
                <w:snapToGrid w:val="0"/>
                <w:sz w:val="22"/>
                <w:szCs w:val="22"/>
              </w:rPr>
              <w:t>Služby obecného hospodářského zájmu</w:t>
            </w:r>
            <w:r>
              <w:rPr>
                <w:rFonts w:ascii="Arial" w:hAnsi="Arial" w:cs="Arial"/>
                <w:sz w:val="22"/>
                <w:szCs w:val="22"/>
              </w:rPr>
              <w:t xml:space="preserve"> </w:t>
            </w:r>
          </w:p>
        </w:tc>
      </w:tr>
      <w:tr w:rsidR="00C76CB5" w:rsidRPr="00E21F60" w14:paraId="58F41F01" w14:textId="77777777" w:rsidTr="2364F979">
        <w:trPr>
          <w:trHeight w:val="410"/>
        </w:trPr>
        <w:tc>
          <w:tcPr>
            <w:tcW w:w="4533" w:type="dxa"/>
          </w:tcPr>
          <w:p w14:paraId="08668D69" w14:textId="77777777" w:rsidR="00C91227" w:rsidRPr="00C91227" w:rsidRDefault="00C91227" w:rsidP="00C91227">
            <w:p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lastRenderedPageBreak/>
              <w:t>Poskytovatel služby obecného hospodářského zájmu (dále jen „SOHZ“) musí být pověřen k výkonu SOHZ v souladu s Rozhodnutím 2012/21/EU po celou dobu životnosti investice.</w:t>
            </w:r>
          </w:p>
          <w:p w14:paraId="331852BE" w14:textId="7E4AD006" w:rsidR="00C76CB5" w:rsidRPr="00E21F60" w:rsidRDefault="00C91227" w:rsidP="00C76CB5">
            <w:p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079E5CDC" w:rsidR="00C76CB5" w:rsidRPr="00E21F60" w:rsidRDefault="00C91227" w:rsidP="0042247B">
            <w:pPr>
              <w:spacing w:before="120" w:after="120" w:line="271" w:lineRule="auto"/>
              <w:jc w:val="both"/>
              <w:rPr>
                <w:rFonts w:ascii="Arial" w:hAnsi="Arial" w:cs="Arial"/>
                <w:sz w:val="22"/>
                <w:szCs w:val="22"/>
              </w:rPr>
            </w:pPr>
            <w:r w:rsidRPr="00C91227">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4D9D0BBE" w14:textId="5BDE8C9C" w:rsidR="00C91227" w:rsidRPr="00C91227" w:rsidRDefault="00C91227" w:rsidP="00C91227">
      <w:pPr>
        <w:keepNext/>
        <w:keepLines/>
        <w:numPr>
          <w:ilvl w:val="0"/>
          <w:numId w:val="35"/>
        </w:num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t>Výdaje na financování projektu převedené příjemci na realizaci projektu jsou uděleny v</w:t>
      </w:r>
      <w:r>
        <w:rPr>
          <w:rFonts w:ascii="Arial" w:hAnsi="Arial" w:cs="Arial"/>
          <w:snapToGrid w:val="0"/>
          <w:sz w:val="22"/>
          <w:szCs w:val="22"/>
        </w:rPr>
        <w:t> </w:t>
      </w:r>
      <w:r w:rsidRPr="00C91227">
        <w:rPr>
          <w:rFonts w:ascii="Arial" w:hAnsi="Arial" w:cs="Arial"/>
          <w:snapToGrid w:val="0"/>
          <w:sz w:val="22"/>
          <w:szCs w:val="22"/>
        </w:rPr>
        <w:t>souladu s Rozhodnutím Komise 2012/21/EU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1CD850BE" w14:textId="42676DDF" w:rsidR="00C91227" w:rsidRPr="00C91227" w:rsidRDefault="00C91227" w:rsidP="00C91227">
      <w:pPr>
        <w:keepNext/>
        <w:keepLines/>
        <w:numPr>
          <w:ilvl w:val="0"/>
          <w:numId w:val="35"/>
        </w:numPr>
        <w:spacing w:before="120" w:after="120" w:line="271" w:lineRule="auto"/>
        <w:jc w:val="both"/>
        <w:rPr>
          <w:rFonts w:ascii="Arial" w:hAnsi="Arial" w:cs="Arial"/>
          <w:snapToGrid w:val="0"/>
          <w:sz w:val="22"/>
          <w:szCs w:val="22"/>
        </w:rPr>
      </w:pPr>
      <w:r w:rsidRPr="00C91227">
        <w:rPr>
          <w:rFonts w:ascii="Arial" w:hAnsi="Arial" w:cs="Arial"/>
          <w:snapToGrid w:val="0"/>
          <w:sz w:val="22"/>
          <w:szCs w:val="22"/>
        </w:rPr>
        <w:t xml:space="preserve">Příjemce musí být zároveň poskytovatelem SOHZ. Příjemce jako poskytovatel SOHZ musí být pověřen k výkonu SOHZ v souladu s Rozhodnutím 2012/21/EU po celou dobu životnosti investice. </w:t>
      </w:r>
    </w:p>
    <w:p w14:paraId="319E3EE6" w14:textId="2B80FCEB" w:rsidR="00C91227" w:rsidRPr="00C91227" w:rsidRDefault="00C91227" w:rsidP="00C91227">
      <w:pPr>
        <w:keepNext/>
        <w:keepLines/>
        <w:numPr>
          <w:ilvl w:val="0"/>
          <w:numId w:val="35"/>
        </w:numPr>
        <w:spacing w:before="120" w:after="120" w:line="271" w:lineRule="auto"/>
        <w:ind w:left="357" w:hanging="357"/>
        <w:jc w:val="both"/>
        <w:rPr>
          <w:rFonts w:ascii="Arial" w:hAnsi="Arial" w:cs="Arial"/>
          <w:snapToGrid w:val="0"/>
          <w:sz w:val="22"/>
          <w:szCs w:val="22"/>
        </w:rPr>
      </w:pPr>
      <w:r w:rsidRPr="00C91227">
        <w:rPr>
          <w:rFonts w:ascii="Arial" w:hAnsi="Arial" w:cs="Arial"/>
          <w:snapToGrid w:val="0"/>
          <w:sz w:val="22"/>
          <w:szCs w:val="22"/>
        </w:rPr>
        <w:t>Příjemce se zavazuje vrátit poskytovateli bez zbytečného odkladu převedené výdaje na</w:t>
      </w:r>
      <w:r>
        <w:rPr>
          <w:rFonts w:ascii="Arial" w:hAnsi="Arial" w:cs="Arial"/>
          <w:snapToGrid w:val="0"/>
          <w:sz w:val="22"/>
          <w:szCs w:val="22"/>
        </w:rPr>
        <w:t> </w:t>
      </w:r>
      <w:r w:rsidRPr="00C91227">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w:t>
      </w:r>
      <w:r>
        <w:rPr>
          <w:rFonts w:ascii="Arial" w:hAnsi="Arial" w:cs="Arial"/>
          <w:snapToGrid w:val="0"/>
          <w:sz w:val="22"/>
          <w:szCs w:val="22"/>
        </w:rPr>
        <w:t> </w:t>
      </w:r>
      <w:r w:rsidRPr="00C91227">
        <w:rPr>
          <w:rFonts w:ascii="Arial" w:hAnsi="Arial" w:cs="Arial"/>
          <w:snapToGrid w:val="0"/>
          <w:sz w:val="22"/>
          <w:szCs w:val="22"/>
        </w:rPr>
        <w:t xml:space="preserve">financování projektu příjemci vyplacena.  </w:t>
      </w:r>
    </w:p>
    <w:p w14:paraId="292888CC" w14:textId="7FAE8879" w:rsidR="009132E6" w:rsidRPr="00B24D6D" w:rsidRDefault="00C91227" w:rsidP="00C91227">
      <w:pPr>
        <w:pStyle w:val="Prosttext"/>
        <w:spacing w:before="120" w:after="120" w:line="271" w:lineRule="auto"/>
        <w:ind w:left="357" w:hanging="357"/>
        <w:jc w:val="both"/>
        <w:rPr>
          <w:rFonts w:eastAsia="Times New Roman" w:cs="Arial"/>
          <w:snapToGrid w:val="0"/>
          <w:sz w:val="22"/>
          <w:szCs w:val="22"/>
          <w:lang w:eastAsia="cs-CZ"/>
        </w:rPr>
      </w:pPr>
      <w:r w:rsidRPr="00C91227">
        <w:rPr>
          <w:rFonts w:cs="Arial"/>
          <w:snapToGrid w:val="0"/>
          <w:sz w:val="22"/>
          <w:szCs w:val="22"/>
        </w:rPr>
        <w:t>4.</w:t>
      </w:r>
      <w:r w:rsidRPr="00C91227">
        <w:rPr>
          <w:rFonts w:cs="Arial"/>
          <w:snapToGrid w:val="0"/>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Pr>
          <w:rFonts w:cs="Arial"/>
          <w:snapToGrid w:val="0"/>
          <w:sz w:val="22"/>
          <w:szCs w:val="22"/>
        </w:rPr>
        <w:t> </w:t>
      </w:r>
      <w:r w:rsidRPr="00C91227">
        <w:rPr>
          <w:rFonts w:cs="Arial"/>
          <w:snapToGrid w:val="0"/>
          <w:sz w:val="22"/>
          <w:szCs w:val="22"/>
        </w:rPr>
        <w:t>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6B7B5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91382324">
    <w:abstractNumId w:val="20"/>
  </w:num>
  <w:num w:numId="2" w16cid:durableId="1241403175">
    <w:abstractNumId w:val="29"/>
  </w:num>
  <w:num w:numId="3" w16cid:durableId="1747536033">
    <w:abstractNumId w:val="2"/>
  </w:num>
  <w:num w:numId="4" w16cid:durableId="634065229">
    <w:abstractNumId w:val="7"/>
  </w:num>
  <w:num w:numId="5" w16cid:durableId="1298217661">
    <w:abstractNumId w:val="12"/>
  </w:num>
  <w:num w:numId="6" w16cid:durableId="513035078">
    <w:abstractNumId w:val="19"/>
  </w:num>
  <w:num w:numId="7" w16cid:durableId="282736285">
    <w:abstractNumId w:val="6"/>
  </w:num>
  <w:num w:numId="8" w16cid:durableId="1845320041">
    <w:abstractNumId w:val="25"/>
  </w:num>
  <w:num w:numId="9" w16cid:durableId="1773279664">
    <w:abstractNumId w:val="32"/>
  </w:num>
  <w:num w:numId="10" w16cid:durableId="1714385385">
    <w:abstractNumId w:val="28"/>
  </w:num>
  <w:num w:numId="11" w16cid:durableId="1309288336">
    <w:abstractNumId w:val="8"/>
  </w:num>
  <w:num w:numId="12" w16cid:durableId="1775781829">
    <w:abstractNumId w:val="10"/>
  </w:num>
  <w:num w:numId="13" w16cid:durableId="1879854316">
    <w:abstractNumId w:val="34"/>
  </w:num>
  <w:num w:numId="14" w16cid:durableId="941884251">
    <w:abstractNumId w:val="30"/>
  </w:num>
  <w:num w:numId="15" w16cid:durableId="697899956">
    <w:abstractNumId w:val="14"/>
  </w:num>
  <w:num w:numId="16" w16cid:durableId="1080831810">
    <w:abstractNumId w:val="21"/>
  </w:num>
  <w:num w:numId="17" w16cid:durableId="1982348846">
    <w:abstractNumId w:val="4"/>
  </w:num>
  <w:num w:numId="18" w16cid:durableId="2090882522">
    <w:abstractNumId w:val="16"/>
  </w:num>
  <w:num w:numId="19" w16cid:durableId="1324162436">
    <w:abstractNumId w:val="5"/>
  </w:num>
  <w:num w:numId="20" w16cid:durableId="1207647493">
    <w:abstractNumId w:val="17"/>
  </w:num>
  <w:num w:numId="21" w16cid:durableId="228880330">
    <w:abstractNumId w:val="18"/>
  </w:num>
  <w:num w:numId="22" w16cid:durableId="188757957">
    <w:abstractNumId w:val="15"/>
  </w:num>
  <w:num w:numId="23" w16cid:durableId="798298943">
    <w:abstractNumId w:val="24"/>
  </w:num>
  <w:num w:numId="24" w16cid:durableId="1892888312">
    <w:abstractNumId w:val="3"/>
  </w:num>
  <w:num w:numId="25" w16cid:durableId="645285764">
    <w:abstractNumId w:val="1"/>
  </w:num>
  <w:num w:numId="26" w16cid:durableId="1066295905">
    <w:abstractNumId w:val="27"/>
  </w:num>
  <w:num w:numId="27" w16cid:durableId="1773622181">
    <w:abstractNumId w:val="22"/>
  </w:num>
  <w:num w:numId="28" w16cid:durableId="657075698">
    <w:abstractNumId w:val="9"/>
  </w:num>
  <w:num w:numId="29" w16cid:durableId="1559897633">
    <w:abstractNumId w:val="26"/>
  </w:num>
  <w:num w:numId="30" w16cid:durableId="1372194538">
    <w:abstractNumId w:val="33"/>
  </w:num>
  <w:num w:numId="31" w16cid:durableId="1927302910">
    <w:abstractNumId w:val="23"/>
  </w:num>
  <w:num w:numId="32" w16cid:durableId="1724789529">
    <w:abstractNumId w:val="0"/>
  </w:num>
  <w:num w:numId="33" w16cid:durableId="1003896105">
    <w:abstractNumId w:val="11"/>
  </w:num>
  <w:num w:numId="34" w16cid:durableId="202908065">
    <w:abstractNumId w:val="31"/>
  </w:num>
  <w:num w:numId="35" w16cid:durableId="124147934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7C"/>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1227"/>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D65"/>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17F41"/>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A8E709"/>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55DD6A"/>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64F979"/>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13F78D"/>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0D1FE6"/>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A5ABC9"/>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711B5"/>
    <w:rsid w:val="714BA59D"/>
    <w:rsid w:val="714EC978"/>
    <w:rsid w:val="715E65E9"/>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046A-E021-4A42-B253-993033101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9.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3853</Words>
  <Characters>22429</Characters>
  <Application>Microsoft Office Word</Application>
  <DocSecurity>0</DocSecurity>
  <Lines>186</Lines>
  <Paragraphs>52</Paragraphs>
  <ScaleCrop>false</ScaleCrop>
  <Company>MMR</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11</cp:revision>
  <cp:lastPrinted>2022-07-27T19:25:00Z</cp:lastPrinted>
  <dcterms:created xsi:type="dcterms:W3CDTF">2022-09-15T08:53:00Z</dcterms:created>
  <dcterms:modified xsi:type="dcterms:W3CDTF">2023-08-20T17:56:00Z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