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3638CE" w:rsidRDefault="00F23FC9" w:rsidP="00F23FC9">
      <w:pPr>
        <w:spacing w:after="60"/>
        <w:jc w:val="center"/>
        <w:rPr>
          <w:rFonts w:ascii="Arial" w:hAnsi="Arial" w:cs="Arial"/>
          <w:b/>
          <w:color w:val="214F87"/>
          <w:sz w:val="20"/>
          <w:szCs w:val="20"/>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3638CE" w:rsidRDefault="006F7549">
      <w:pPr>
        <w:pStyle w:val="Zkladnodstavec"/>
        <w:rPr>
          <w:rFonts w:asciiTheme="majorHAnsi" w:hAnsiTheme="majorHAnsi" w:cs="MyriadPro-Black"/>
          <w:caps/>
          <w:color w:val="214F87"/>
          <w:sz w:val="32"/>
          <w:szCs w:val="32"/>
        </w:rPr>
      </w:pPr>
    </w:p>
    <w:p w14:paraId="4D403A74" w14:textId="6F728772" w:rsidR="00F23FC9" w:rsidRPr="000F6082" w:rsidRDefault="00F23FC9" w:rsidP="00F23FC9">
      <w:pPr>
        <w:spacing w:before="240"/>
        <w:jc w:val="center"/>
        <w:rPr>
          <w:rFonts w:ascii="Arial" w:hAnsi="Arial" w:cs="Arial"/>
          <w:b/>
          <w:bCs/>
          <w:caps/>
          <w:color w:val="214F87"/>
          <w:sz w:val="44"/>
          <w:szCs w:val="44"/>
        </w:rPr>
      </w:pPr>
      <w:r w:rsidRPr="003638CE">
        <w:rPr>
          <w:rFonts w:ascii="Arial" w:hAnsi="Arial" w:cs="Arial"/>
          <w:b/>
          <w:bCs/>
          <w:caps/>
          <w:color w:val="214F87"/>
          <w:sz w:val="44"/>
          <w:szCs w:val="44"/>
        </w:rPr>
        <w:t xml:space="preserve">PŘÍLOHA </w:t>
      </w:r>
      <w:proofErr w:type="gramStart"/>
      <w:r w:rsidR="00134472" w:rsidRPr="003638CE">
        <w:rPr>
          <w:rFonts w:ascii="Arial" w:hAnsi="Arial" w:cs="Arial"/>
          <w:b/>
          <w:bCs/>
          <w:caps/>
          <w:color w:val="214F87"/>
          <w:sz w:val="44"/>
          <w:szCs w:val="44"/>
        </w:rPr>
        <w:t>3</w:t>
      </w:r>
      <w:r w:rsidR="00134472">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4600A3F8" w14:textId="77777777" w:rsidR="003638CE" w:rsidRPr="00B74ACA" w:rsidRDefault="003638CE" w:rsidP="003638CE">
      <w:pPr>
        <w:pStyle w:val="Zkladnodstavec"/>
        <w:jc w:val="center"/>
        <w:rPr>
          <w:rFonts w:ascii="Arial" w:hAnsi="Arial" w:cs="Arial"/>
          <w:caps/>
          <w:sz w:val="36"/>
          <w:szCs w:val="36"/>
        </w:rPr>
      </w:pPr>
      <w:r>
        <w:rPr>
          <w:rFonts w:ascii="Arial" w:hAnsi="Arial" w:cs="Arial"/>
          <w:caps/>
          <w:sz w:val="36"/>
          <w:szCs w:val="36"/>
        </w:rPr>
        <w:t xml:space="preserve">54.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Telematika</w:t>
      </w:r>
      <w:proofErr w:type="gramEnd"/>
      <w:r w:rsidRPr="00192B39">
        <w:rPr>
          <w:rFonts w:ascii="Arial" w:hAnsi="Arial" w:cs="Arial"/>
          <w:caps/>
          <w:sz w:val="36"/>
          <w:szCs w:val="36"/>
        </w:rPr>
        <w:t xml:space="preserve">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7206F2A0" w14:textId="1DFD566E" w:rsidR="003638CE" w:rsidRPr="00B74ACA" w:rsidRDefault="003638CE" w:rsidP="003638CE">
      <w:pPr>
        <w:pStyle w:val="Zkladnodstavec"/>
        <w:jc w:val="center"/>
        <w:rPr>
          <w:rFonts w:ascii="Arial" w:hAnsi="Arial" w:cs="Arial"/>
          <w:caps/>
          <w:sz w:val="36"/>
          <w:szCs w:val="36"/>
        </w:rPr>
      </w:pPr>
      <w:r>
        <w:rPr>
          <w:rFonts w:ascii="Arial" w:hAnsi="Arial" w:cs="Arial"/>
          <w:caps/>
          <w:sz w:val="36"/>
          <w:szCs w:val="36"/>
        </w:rPr>
        <w:t xml:space="preserve">55.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Telematika</w:t>
      </w:r>
      <w:proofErr w:type="gramEnd"/>
      <w:r w:rsidRPr="00192B39">
        <w:rPr>
          <w:rFonts w:ascii="Arial" w:hAnsi="Arial" w:cs="Arial"/>
          <w:caps/>
          <w:sz w:val="36"/>
          <w:szCs w:val="36"/>
        </w:rPr>
        <w:t xml:space="preserve">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4C9D4818" w14:textId="77777777" w:rsidR="003638CE" w:rsidRDefault="003638CE" w:rsidP="003638CE">
      <w:pPr>
        <w:pStyle w:val="Zkladnodstavec"/>
        <w:jc w:val="center"/>
        <w:rPr>
          <w:rFonts w:ascii="Arial" w:hAnsi="Arial" w:cs="Arial"/>
          <w:caps/>
          <w:color w:val="A6A6A6" w:themeColor="background1" w:themeShade="A6"/>
          <w:sz w:val="18"/>
          <w:szCs w:val="18"/>
        </w:rPr>
      </w:pPr>
    </w:p>
    <w:p w14:paraId="1A1F1677" w14:textId="77777777" w:rsidR="003638CE" w:rsidRDefault="003638CE" w:rsidP="003638CE">
      <w:pPr>
        <w:pStyle w:val="Zkladnodstavec"/>
        <w:jc w:val="center"/>
        <w:rPr>
          <w:rFonts w:ascii="Arial" w:hAnsi="Arial" w:cs="Arial"/>
          <w:caps/>
          <w:color w:val="A6A6A6" w:themeColor="background1" w:themeShade="A6"/>
          <w:sz w:val="18"/>
          <w:szCs w:val="18"/>
        </w:rPr>
      </w:pPr>
    </w:p>
    <w:p w14:paraId="3DBD9D09" w14:textId="517A44DA" w:rsidR="003638CE" w:rsidRPr="003638CE" w:rsidRDefault="003638CE" w:rsidP="003638CE">
      <w:pPr>
        <w:pStyle w:val="Zkladnodstavec"/>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FE30BD">
        <w:rPr>
          <w:rFonts w:ascii="Arial" w:hAnsi="Arial" w:cs="Arial"/>
          <w:caps/>
          <w:color w:val="A6A6A6" w:themeColor="background1" w:themeShade="A6"/>
          <w:sz w:val="32"/>
          <w:szCs w:val="40"/>
        </w:rPr>
        <w:t>2</w:t>
      </w:r>
    </w:p>
    <w:p w14:paraId="0069E763" w14:textId="07F0D8E6"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A9590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9590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58C46430"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 xml:space="preserve">Příjemce je povinen nejpozději </w:t>
            </w:r>
            <w:bookmarkStart w:id="8" w:name="_Hlk97024462"/>
            <w:r w:rsidRPr="00A95902">
              <w:rPr>
                <w:rFonts w:ascii="Arial" w:hAnsi="Arial" w:cs="Arial"/>
                <w:snapToGrid w:val="0"/>
                <w:sz w:val="22"/>
                <w:szCs w:val="22"/>
              </w:rPr>
              <w:t xml:space="preserve">při podání závěrečné zprávy o realizaci projektu </w:t>
            </w:r>
            <w:bookmarkEnd w:id="8"/>
            <w:r w:rsidRPr="00A95902">
              <w:rPr>
                <w:rFonts w:ascii="Arial" w:hAnsi="Arial" w:cs="Arial"/>
                <w:snapToGrid w:val="0"/>
                <w:sz w:val="22"/>
                <w:szCs w:val="22"/>
              </w:rPr>
              <w:t>prokázat</w:t>
            </w:r>
            <w:r w:rsidR="00223557" w:rsidRPr="00A95902">
              <w:rPr>
                <w:rFonts w:ascii="Arial" w:hAnsi="Arial" w:cs="Arial"/>
                <w:snapToGrid w:val="0"/>
                <w:sz w:val="22"/>
                <w:szCs w:val="22"/>
              </w:rPr>
              <w:t>,</w:t>
            </w:r>
            <w:r w:rsidRPr="00A95902">
              <w:rPr>
                <w:rFonts w:ascii="Arial" w:hAnsi="Arial" w:cs="Arial"/>
                <w:snapToGrid w:val="0"/>
                <w:sz w:val="22"/>
                <w:szCs w:val="22"/>
              </w:rPr>
              <w:t xml:space="preserve"> že indikátory </w:t>
            </w:r>
            <w:r w:rsidR="00A67B07" w:rsidRPr="00A95902">
              <w:rPr>
                <w:rFonts w:ascii="Arial" w:hAnsi="Arial" w:cs="Arial"/>
                <w:i/>
                <w:iCs/>
                <w:snapToGrid w:val="0"/>
                <w:sz w:val="22"/>
                <w:szCs w:val="22"/>
              </w:rPr>
              <w:t>I. – II</w:t>
            </w:r>
            <w:r w:rsidR="00A67B07" w:rsidRPr="00A95902">
              <w:rPr>
                <w:rFonts w:ascii="Arial" w:hAnsi="Arial" w:cs="Arial"/>
                <w:snapToGrid w:val="0"/>
                <w:sz w:val="22"/>
                <w:szCs w:val="22"/>
              </w:rPr>
              <w:t xml:space="preserve">. </w:t>
            </w:r>
            <w:r w:rsidRPr="00A95902">
              <w:rPr>
                <w:rFonts w:ascii="Arial" w:hAnsi="Arial" w:cs="Arial"/>
                <w:snapToGrid w:val="0"/>
                <w:sz w:val="22"/>
                <w:szCs w:val="22"/>
              </w:rPr>
              <w:t>byly naplněny v termínu</w:t>
            </w:r>
            <w:r w:rsidR="00EC707A" w:rsidRPr="00A95902">
              <w:rPr>
                <w:rStyle w:val="Znakapoznpodarou"/>
                <w:rFonts w:ascii="Arial" w:hAnsi="Arial" w:cs="Arial"/>
                <w:snapToGrid w:val="0"/>
                <w:sz w:val="22"/>
                <w:szCs w:val="22"/>
              </w:rPr>
              <w:footnoteReference w:id="11"/>
            </w:r>
            <w:r w:rsidRPr="00A95902">
              <w:rPr>
                <w:rFonts w:ascii="Arial" w:hAnsi="Arial" w:cs="Arial"/>
                <w:snapToGrid w:val="0"/>
                <w:sz w:val="22"/>
                <w:szCs w:val="22"/>
              </w:rPr>
              <w:t xml:space="preserve"> a cílové hodnotě uvedené </w:t>
            </w:r>
            <w:r w:rsidR="00F13F4F" w:rsidRPr="00A95902">
              <w:rPr>
                <w:rFonts w:ascii="Arial" w:hAnsi="Arial" w:cs="Arial"/>
                <w:snapToGrid w:val="0"/>
                <w:sz w:val="22"/>
                <w:szCs w:val="22"/>
              </w:rPr>
              <w:t>ve Stanovení výdajů</w:t>
            </w:r>
            <w:r w:rsidRPr="00A95902">
              <w:rPr>
                <w:rFonts w:ascii="Arial" w:hAnsi="Arial" w:cs="Arial"/>
                <w:snapToGrid w:val="0"/>
                <w:sz w:val="22"/>
                <w:szCs w:val="22"/>
              </w:rPr>
              <w:t xml:space="preserve"> / v MS2021+</w:t>
            </w:r>
            <w:r w:rsidRPr="00A95902">
              <w:rPr>
                <w:rStyle w:val="Znakapoznpodarou"/>
                <w:rFonts w:ascii="Arial" w:hAnsi="Arial" w:cs="Arial"/>
                <w:snapToGrid w:val="0"/>
                <w:sz w:val="22"/>
                <w:szCs w:val="22"/>
              </w:rPr>
              <w:footnoteReference w:id="12"/>
            </w:r>
            <w:r w:rsidRPr="00A95902">
              <w:rPr>
                <w:rFonts w:ascii="Arial" w:hAnsi="Arial" w:cs="Arial"/>
                <w:snapToGrid w:val="0"/>
                <w:sz w:val="22"/>
                <w:szCs w:val="22"/>
              </w:rPr>
              <w:t xml:space="preserve">. </w:t>
            </w:r>
          </w:p>
          <w:p w14:paraId="4553DF32" w14:textId="77777777"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Indikátory:</w:t>
            </w:r>
          </w:p>
          <w:p w14:paraId="134AF00E" w14:textId="77777777" w:rsidR="00A95902" w:rsidRPr="00A95902" w:rsidRDefault="00A95902" w:rsidP="00A9590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95902">
              <w:rPr>
                <w:rFonts w:ascii="Arial" w:hAnsi="Arial" w:cs="Arial"/>
                <w:i/>
                <w:iCs/>
                <w:snapToGrid w:val="0"/>
                <w:sz w:val="22"/>
                <w:szCs w:val="22"/>
              </w:rPr>
              <w:t xml:space="preserve">704 001 - Města, která mají nové nebo modernizované digitalizované městské dopravní systémy </w:t>
            </w:r>
          </w:p>
          <w:p w14:paraId="3CE7FA64" w14:textId="77777777" w:rsidR="00A95902" w:rsidRPr="00A95902" w:rsidRDefault="00A95902" w:rsidP="00A9590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A95902">
              <w:rPr>
                <w:rFonts w:ascii="Arial" w:hAnsi="Arial" w:cs="Arial"/>
                <w:i/>
                <w:iCs/>
                <w:snapToGrid w:val="0"/>
                <w:sz w:val="22"/>
                <w:szCs w:val="22"/>
              </w:rPr>
              <w:t xml:space="preserve"> </w:t>
            </w:r>
          </w:p>
          <w:p w14:paraId="5001E994" w14:textId="5488CB6B"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Pro příjemce jsou závazné pouze indikátory uvedené v</w:t>
            </w:r>
            <w:r w:rsidR="00670130" w:rsidRPr="00A95902">
              <w:rPr>
                <w:rFonts w:ascii="Arial" w:hAnsi="Arial" w:cs="Arial"/>
                <w:snapToGrid w:val="0"/>
                <w:sz w:val="22"/>
                <w:szCs w:val="22"/>
              </w:rPr>
              <w:t>e Stanovení výdajů</w:t>
            </w:r>
            <w:r w:rsidRPr="00A95902">
              <w:rPr>
                <w:rFonts w:ascii="Arial" w:hAnsi="Arial" w:cs="Arial"/>
                <w:snapToGrid w:val="0"/>
                <w:sz w:val="22"/>
                <w:szCs w:val="22"/>
              </w:rPr>
              <w:t>.</w:t>
            </w:r>
          </w:p>
          <w:p w14:paraId="746ABC43" w14:textId="77777777" w:rsidR="009132E6" w:rsidRPr="00A95902" w:rsidRDefault="009132E6" w:rsidP="0042247B">
            <w:pPr>
              <w:spacing w:before="120" w:after="120" w:line="271" w:lineRule="auto"/>
              <w:ind w:right="-2"/>
              <w:jc w:val="both"/>
              <w:rPr>
                <w:rFonts w:ascii="Arial" w:hAnsi="Arial" w:cs="Arial"/>
                <w:snapToGrid w:val="0"/>
                <w:sz w:val="22"/>
                <w:szCs w:val="22"/>
              </w:rPr>
            </w:pPr>
          </w:p>
        </w:tc>
        <w:tc>
          <w:tcPr>
            <w:tcW w:w="4534" w:type="dxa"/>
          </w:tcPr>
          <w:p w14:paraId="52B9F611" w14:textId="725507AA" w:rsidR="00A95902" w:rsidRPr="0080483D" w:rsidRDefault="00A95902" w:rsidP="00A95902">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sidRPr="0080483D">
              <w:rPr>
                <w:rFonts w:ascii="Arial" w:hAnsi="Arial" w:cs="Arial"/>
                <w:snapToGrid w:val="0"/>
                <w:sz w:val="22"/>
                <w:szCs w:val="22"/>
                <w:lang w:eastAsia="zh-CN" w:bidi="ar"/>
              </w:rPr>
              <w:t>finanční oprav</w:t>
            </w:r>
            <w:r>
              <w:rPr>
                <w:rFonts w:ascii="Arial" w:hAnsi="Arial" w:cs="Arial"/>
                <w:snapToGrid w:val="0"/>
                <w:sz w:val="22"/>
                <w:szCs w:val="22"/>
                <w:lang w:eastAsia="zh-CN" w:bidi="ar"/>
              </w:rPr>
              <w:t>y bude stanovena u</w:t>
            </w:r>
            <w:r w:rsidR="00B1212B">
              <w:rPr>
                <w:rFonts w:ascii="Arial" w:hAnsi="Arial" w:cs="Arial"/>
                <w:snapToGrid w:val="0"/>
                <w:sz w:val="22"/>
                <w:szCs w:val="22"/>
                <w:lang w:eastAsia="zh-CN" w:bidi="ar"/>
              </w:rPr>
              <w:t xml:space="preserve"> </w:t>
            </w:r>
            <w:r w:rsidRPr="0080483D">
              <w:rPr>
                <w:rFonts w:ascii="Arial" w:hAnsi="Arial" w:cs="Arial"/>
                <w:snapToGrid w:val="0"/>
                <w:sz w:val="22"/>
                <w:szCs w:val="22"/>
                <w:lang w:eastAsia="zh-CN" w:bidi="ar"/>
              </w:rPr>
              <w:t xml:space="preserve">indikátorů </w:t>
            </w:r>
            <w:r w:rsidRPr="0080483D">
              <w:rPr>
                <w:rFonts w:ascii="Arial" w:hAnsi="Arial" w:cs="Arial"/>
                <w:i/>
                <w:iCs/>
                <w:snapToGrid w:val="0"/>
                <w:sz w:val="22"/>
                <w:szCs w:val="22"/>
                <w:lang w:eastAsia="zh-CN" w:bidi="ar"/>
              </w:rPr>
              <w:t>I.</w:t>
            </w:r>
            <w:r w:rsidRPr="0080483D">
              <w:rPr>
                <w:rFonts w:ascii="Arial" w:hAnsi="Arial" w:cs="Arial"/>
                <w:snapToGrid w:val="0"/>
                <w:sz w:val="22"/>
                <w:szCs w:val="22"/>
                <w:lang w:eastAsia="zh-CN" w:bidi="ar"/>
              </w:rPr>
              <w:t xml:space="preserve"> a </w:t>
            </w:r>
            <w:r w:rsidRPr="0080483D">
              <w:rPr>
                <w:rFonts w:ascii="Arial" w:hAnsi="Arial" w:cs="Arial"/>
                <w:i/>
                <w:iCs/>
                <w:snapToGrid w:val="0"/>
                <w:sz w:val="22"/>
                <w:szCs w:val="22"/>
                <w:lang w:eastAsia="zh-CN" w:bidi="ar"/>
              </w:rPr>
              <w:t>II.</w:t>
            </w:r>
            <w:r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408BDE7F" w14:textId="15EABCB9" w:rsidR="009132E6" w:rsidRPr="00A95902" w:rsidRDefault="009132E6" w:rsidP="00223557">
            <w:pPr>
              <w:spacing w:before="120" w:after="120" w:line="271" w:lineRule="auto"/>
              <w:jc w:val="both"/>
              <w:rPr>
                <w:rFonts w:ascii="Arial" w:hAnsi="Arial" w:cs="Arial"/>
                <w:sz w:val="22"/>
                <w:szCs w:val="22"/>
              </w:rPr>
            </w:pPr>
            <w:r w:rsidRPr="00A95902">
              <w:rPr>
                <w:rFonts w:ascii="Arial" w:hAnsi="Arial" w:cs="Arial"/>
                <w:snapToGrid w:val="0"/>
                <w:sz w:val="22"/>
                <w:szCs w:val="22"/>
              </w:rPr>
              <w:t>Překročení</w:t>
            </w:r>
            <w:r w:rsidR="002816D7" w:rsidRPr="00A95902">
              <w:rPr>
                <w:rStyle w:val="Znakapoznpodarou"/>
                <w:rFonts w:ascii="Arial" w:hAnsi="Arial" w:cs="Arial"/>
                <w:snapToGrid w:val="0"/>
                <w:sz w:val="22"/>
                <w:szCs w:val="22"/>
              </w:rPr>
              <w:footnoteReference w:id="13"/>
            </w:r>
            <w:r w:rsidRPr="00A95902">
              <w:rPr>
                <w:rFonts w:ascii="Arial" w:hAnsi="Arial" w:cs="Arial"/>
                <w:snapToGrid w:val="0"/>
                <w:sz w:val="22"/>
                <w:szCs w:val="22"/>
              </w:rPr>
              <w:t xml:space="preserve"> cílové hodnoty indikátorů nepodléhá finanční opravě</w:t>
            </w:r>
            <w:r w:rsidR="00933926" w:rsidRPr="00A9590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A9590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9590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 xml:space="preserve">Příjemce je povinen v době udržitelnosti </w:t>
            </w:r>
            <w:r w:rsidR="001C025D" w:rsidRPr="00A95902">
              <w:rPr>
                <w:rFonts w:ascii="Arial" w:hAnsi="Arial" w:cs="Arial"/>
                <w:snapToGrid w:val="0"/>
                <w:sz w:val="22"/>
                <w:szCs w:val="22"/>
              </w:rPr>
              <w:t xml:space="preserve">přinejmenším zachovat výši uvedených </w:t>
            </w:r>
            <w:r w:rsidRPr="00A95902">
              <w:rPr>
                <w:rFonts w:ascii="Arial" w:hAnsi="Arial" w:cs="Arial"/>
                <w:snapToGrid w:val="0"/>
                <w:sz w:val="22"/>
                <w:szCs w:val="22"/>
              </w:rPr>
              <w:t xml:space="preserve">indikátorů </w:t>
            </w:r>
            <w:r w:rsidR="001C025D" w:rsidRPr="00A95902">
              <w:rPr>
                <w:rFonts w:ascii="Arial" w:hAnsi="Arial" w:cs="Arial"/>
                <w:snapToGrid w:val="0"/>
                <w:sz w:val="22"/>
                <w:szCs w:val="22"/>
              </w:rPr>
              <w:t>dosaženou k Rozhodnému datu</w:t>
            </w:r>
            <w:r w:rsidRPr="00A95902">
              <w:rPr>
                <w:rFonts w:ascii="Arial" w:hAnsi="Arial" w:cs="Arial"/>
                <w:snapToGrid w:val="0"/>
                <w:sz w:val="22"/>
                <w:szCs w:val="22"/>
              </w:rPr>
              <w:t>.</w:t>
            </w:r>
            <w:r w:rsidR="001C025D" w:rsidRPr="00A95902">
              <w:rPr>
                <w:rStyle w:val="Znakapoznpodarou"/>
                <w:rFonts w:ascii="Arial" w:hAnsi="Arial" w:cs="Arial"/>
                <w:snapToGrid w:val="0"/>
                <w:sz w:val="22"/>
                <w:szCs w:val="22"/>
              </w:rPr>
              <w:footnoteReference w:id="14"/>
            </w:r>
          </w:p>
          <w:p w14:paraId="14AB43D3" w14:textId="77777777" w:rsidR="00277403" w:rsidRPr="00A95902" w:rsidRDefault="00277403" w:rsidP="00277403">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Indikátory:</w:t>
            </w:r>
          </w:p>
          <w:p w14:paraId="7E35B5B2" w14:textId="77777777" w:rsidR="00A95902" w:rsidRPr="00A95902" w:rsidRDefault="00A95902" w:rsidP="00A9590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95902">
              <w:rPr>
                <w:rFonts w:ascii="Arial" w:hAnsi="Arial" w:cs="Arial"/>
                <w:i/>
                <w:iCs/>
                <w:snapToGrid w:val="0"/>
                <w:sz w:val="22"/>
                <w:szCs w:val="22"/>
              </w:rPr>
              <w:t xml:space="preserve">704 001 - Města, která mají nové nebo modernizované digitalizované městské dopravní systémy </w:t>
            </w:r>
          </w:p>
          <w:p w14:paraId="6D8863AC" w14:textId="77777777" w:rsidR="00A95902" w:rsidRPr="00A95902" w:rsidRDefault="00A95902" w:rsidP="00A95902">
            <w:pPr>
              <w:pStyle w:val="Odstavecseseznamem"/>
              <w:numPr>
                <w:ilvl w:val="0"/>
                <w:numId w:val="35"/>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A95902">
              <w:rPr>
                <w:rFonts w:ascii="Arial" w:hAnsi="Arial" w:cs="Arial"/>
                <w:i/>
                <w:iCs/>
                <w:snapToGrid w:val="0"/>
                <w:sz w:val="22"/>
                <w:szCs w:val="22"/>
              </w:rPr>
              <w:t xml:space="preserve"> </w:t>
            </w:r>
          </w:p>
          <w:p w14:paraId="2BA0D56F" w14:textId="758AA685"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Pro příjemce jsou závazné pouze indikátory uvedené v</w:t>
            </w:r>
            <w:r w:rsidR="00670130" w:rsidRPr="00A95902">
              <w:rPr>
                <w:rFonts w:ascii="Arial" w:hAnsi="Arial" w:cs="Arial"/>
                <w:snapToGrid w:val="0"/>
                <w:sz w:val="22"/>
                <w:szCs w:val="22"/>
              </w:rPr>
              <w:t>e Stanovení výdajů</w:t>
            </w:r>
            <w:r w:rsidRPr="00A95902">
              <w:rPr>
                <w:rFonts w:ascii="Arial" w:hAnsi="Arial" w:cs="Arial"/>
                <w:snapToGrid w:val="0"/>
                <w:sz w:val="22"/>
                <w:szCs w:val="22"/>
              </w:rPr>
              <w:t>.</w:t>
            </w:r>
          </w:p>
        </w:tc>
        <w:tc>
          <w:tcPr>
            <w:tcW w:w="4534" w:type="dxa"/>
          </w:tcPr>
          <w:p w14:paraId="1635DAE9" w14:textId="2B184939" w:rsidR="00A95902" w:rsidRPr="0080483D" w:rsidRDefault="001C025D" w:rsidP="00A95902">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lang w:eastAsia="zh-CN" w:bidi="ar"/>
              </w:rPr>
              <w:t>Výše f</w:t>
            </w:r>
            <w:r w:rsidR="009132E6" w:rsidRPr="00A95902">
              <w:rPr>
                <w:rFonts w:ascii="Arial" w:hAnsi="Arial" w:cs="Arial"/>
                <w:snapToGrid w:val="0"/>
                <w:sz w:val="22"/>
                <w:szCs w:val="22"/>
                <w:lang w:eastAsia="zh-CN" w:bidi="ar"/>
              </w:rPr>
              <w:t>inanční oprav</w:t>
            </w:r>
            <w:r w:rsidRPr="00A95902">
              <w:rPr>
                <w:rFonts w:ascii="Arial" w:hAnsi="Arial" w:cs="Arial"/>
                <w:snapToGrid w:val="0"/>
                <w:sz w:val="22"/>
                <w:szCs w:val="22"/>
                <w:lang w:eastAsia="zh-CN" w:bidi="ar"/>
              </w:rPr>
              <w:t>y při neudržení dosažené hodnoty indikátorů k Rozhodnému datu</w:t>
            </w:r>
            <w:r w:rsidR="009132E6" w:rsidRPr="00A95902">
              <w:rPr>
                <w:rFonts w:ascii="Arial" w:hAnsi="Arial" w:cs="Arial"/>
                <w:snapToGrid w:val="0"/>
                <w:sz w:val="22"/>
                <w:szCs w:val="22"/>
                <w:lang w:eastAsia="zh-CN" w:bidi="ar"/>
              </w:rPr>
              <w:t xml:space="preserve"> bude vyčíslena v rozmezí 0–100 %</w:t>
            </w:r>
            <w:r w:rsidRPr="00A95902">
              <w:rPr>
                <w:rFonts w:ascii="Arial" w:hAnsi="Arial" w:cs="Arial"/>
                <w:snapToGrid w:val="0"/>
                <w:sz w:val="22"/>
                <w:szCs w:val="22"/>
                <w:lang w:eastAsia="zh-CN" w:bidi="ar"/>
              </w:rPr>
              <w:t>.</w:t>
            </w:r>
            <w:r w:rsidR="009132E6" w:rsidRPr="00A95902">
              <w:rPr>
                <w:rFonts w:ascii="Arial" w:hAnsi="Arial" w:cs="Arial"/>
                <w:snapToGrid w:val="0"/>
                <w:sz w:val="22"/>
                <w:szCs w:val="22"/>
                <w:lang w:eastAsia="zh-CN" w:bidi="ar"/>
              </w:rPr>
              <w:t xml:space="preserve"> </w:t>
            </w:r>
            <w:r w:rsidR="00A95902">
              <w:rPr>
                <w:rFonts w:ascii="Arial" w:hAnsi="Arial" w:cs="Arial"/>
                <w:snapToGrid w:val="0"/>
                <w:sz w:val="22"/>
                <w:szCs w:val="22"/>
                <w:lang w:eastAsia="zh-CN" w:bidi="ar"/>
              </w:rPr>
              <w:t>K</w:t>
            </w:r>
            <w:r w:rsidR="00A95902" w:rsidRPr="00BF657C">
              <w:rPr>
                <w:rFonts w:ascii="Arial" w:hAnsi="Arial" w:cs="Arial"/>
                <w:snapToGrid w:val="0"/>
                <w:sz w:val="22"/>
                <w:szCs w:val="22"/>
                <w:lang w:eastAsia="zh-CN" w:bidi="ar"/>
              </w:rPr>
              <w:t xml:space="preserve">onkrétní výše </w:t>
            </w:r>
            <w:r w:rsidR="00A95902" w:rsidRPr="0080483D">
              <w:rPr>
                <w:rFonts w:ascii="Arial" w:hAnsi="Arial" w:cs="Arial"/>
                <w:snapToGrid w:val="0"/>
                <w:sz w:val="22"/>
                <w:szCs w:val="22"/>
                <w:lang w:eastAsia="zh-CN" w:bidi="ar"/>
              </w:rPr>
              <w:t>finanční oprav</w:t>
            </w:r>
            <w:r w:rsidR="00A95902">
              <w:rPr>
                <w:rFonts w:ascii="Arial" w:hAnsi="Arial" w:cs="Arial"/>
                <w:snapToGrid w:val="0"/>
                <w:sz w:val="22"/>
                <w:szCs w:val="22"/>
                <w:lang w:eastAsia="zh-CN" w:bidi="ar"/>
              </w:rPr>
              <w:t xml:space="preserve">y bude stanovena u </w:t>
            </w:r>
            <w:r w:rsidR="00A95902" w:rsidRPr="0080483D">
              <w:rPr>
                <w:rFonts w:ascii="Arial" w:hAnsi="Arial" w:cs="Arial"/>
                <w:snapToGrid w:val="0"/>
                <w:sz w:val="22"/>
                <w:szCs w:val="22"/>
                <w:lang w:eastAsia="zh-CN" w:bidi="ar"/>
              </w:rPr>
              <w:t xml:space="preserve">indikátorů </w:t>
            </w:r>
            <w:r w:rsidR="00A95902" w:rsidRPr="0080483D">
              <w:rPr>
                <w:rFonts w:ascii="Arial" w:hAnsi="Arial" w:cs="Arial"/>
                <w:i/>
                <w:iCs/>
                <w:snapToGrid w:val="0"/>
                <w:sz w:val="22"/>
                <w:szCs w:val="22"/>
                <w:lang w:eastAsia="zh-CN" w:bidi="ar"/>
              </w:rPr>
              <w:t>I.</w:t>
            </w:r>
            <w:r w:rsidR="00A95902" w:rsidRPr="0080483D">
              <w:rPr>
                <w:rFonts w:ascii="Arial" w:hAnsi="Arial" w:cs="Arial"/>
                <w:snapToGrid w:val="0"/>
                <w:sz w:val="22"/>
                <w:szCs w:val="22"/>
                <w:lang w:eastAsia="zh-CN" w:bidi="ar"/>
              </w:rPr>
              <w:t xml:space="preserve"> a </w:t>
            </w:r>
            <w:r w:rsidR="00A95902" w:rsidRPr="0080483D">
              <w:rPr>
                <w:rFonts w:ascii="Arial" w:hAnsi="Arial" w:cs="Arial"/>
                <w:i/>
                <w:iCs/>
                <w:snapToGrid w:val="0"/>
                <w:sz w:val="22"/>
                <w:szCs w:val="22"/>
                <w:lang w:eastAsia="zh-CN" w:bidi="ar"/>
              </w:rPr>
              <w:t>II.</w:t>
            </w:r>
            <w:r w:rsidR="00A95902"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41B53062" w14:textId="2DCC4704" w:rsidR="00A95902" w:rsidRPr="00A95902" w:rsidRDefault="00A95902"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057EC479" w:rsidR="009132E6" w:rsidRPr="00A95902" w:rsidRDefault="009132E6" w:rsidP="0042247B">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rPr>
              <w:t>Udržování vyšší</w:t>
            </w:r>
            <w:r w:rsidR="00E74046" w:rsidRPr="00A95902">
              <w:rPr>
                <w:rStyle w:val="Znakapoznpodarou"/>
                <w:rFonts w:ascii="Arial" w:hAnsi="Arial" w:cs="Arial"/>
                <w:snapToGrid w:val="0"/>
                <w:sz w:val="22"/>
                <w:szCs w:val="22"/>
              </w:rPr>
              <w:footnoteReference w:id="15"/>
            </w:r>
            <w:r w:rsidRPr="00A95902">
              <w:rPr>
                <w:rFonts w:ascii="Arial" w:hAnsi="Arial" w:cs="Arial"/>
                <w:snapToGrid w:val="0"/>
                <w:sz w:val="22"/>
                <w:szCs w:val="22"/>
              </w:rPr>
              <w:t xml:space="preserve"> než cílové hodnoty či další zlepšení dosažené hodnoty </w:t>
            </w:r>
            <w:r w:rsidR="000D3583" w:rsidRPr="00A95902">
              <w:rPr>
                <w:rFonts w:ascii="Arial" w:hAnsi="Arial" w:cs="Arial"/>
                <w:snapToGrid w:val="0"/>
                <w:sz w:val="22"/>
                <w:szCs w:val="22"/>
              </w:rPr>
              <w:t xml:space="preserve">k Rozhodnému datu </w:t>
            </w:r>
            <w:r w:rsidRPr="00A95902">
              <w:rPr>
                <w:rFonts w:ascii="Arial" w:hAnsi="Arial" w:cs="Arial"/>
                <w:snapToGrid w:val="0"/>
                <w:sz w:val="22"/>
                <w:szCs w:val="22"/>
              </w:rPr>
              <w:t>v době udržitelnosti nepodléhá finanční opravě.</w:t>
            </w:r>
            <w:r w:rsidRPr="00A95902">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w:t>
            </w:r>
            <w:r w:rsidRPr="00E21F60">
              <w:rPr>
                <w:rFonts w:ascii="Arial" w:hAnsi="Arial" w:cs="Arial"/>
                <w:sz w:val="22"/>
                <w:szCs w:val="22"/>
              </w:rPr>
              <w:lastRenderedPageBreak/>
              <w:t>kvalitě a kvantitě pořídit opětovně z vlastních zdrojů.</w:t>
            </w:r>
          </w:p>
        </w:tc>
        <w:tc>
          <w:tcPr>
            <w:tcW w:w="4534" w:type="dxa"/>
          </w:tcPr>
          <w:p w14:paraId="29140FB6" w14:textId="77777777" w:rsidR="009132E6" w:rsidRPr="00EE51FC"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Finanční oprava bude stanovena v poměru odpovídajícímu výši částky proplacené </w:t>
            </w:r>
            <w:r w:rsidRPr="00E21F60">
              <w:rPr>
                <w:rFonts w:ascii="Arial" w:hAnsi="Arial" w:cs="Arial"/>
                <w:snapToGrid w:val="0"/>
                <w:sz w:val="22"/>
                <w:szCs w:val="22"/>
                <w:lang w:eastAsia="zh-CN" w:bidi="ar"/>
              </w:rPr>
              <w:lastRenderedPageBreak/>
              <w:t>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E51FC"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D5BE1F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E21F60">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F9611D">
              <w:rPr>
                <w:rFonts w:ascii="Arial" w:hAnsi="Arial" w:cs="Arial"/>
                <w:snapToGrid w:val="0"/>
                <w:sz w:val="22"/>
                <w:szCs w:val="22"/>
              </w:rPr>
              <w:br/>
            </w:r>
            <w:proofErr w:type="gramStart"/>
            <w:r w:rsidR="00F9611D" w:rsidRPr="00BF657C">
              <w:rPr>
                <w:rFonts w:ascii="Arial" w:hAnsi="Arial" w:cs="Arial"/>
                <w:snapToGrid w:val="0"/>
                <w:sz w:val="22"/>
                <w:szCs w:val="22"/>
              </w:rPr>
              <w:t>MF - 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lastRenderedPageBreak/>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0016D">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3638CE">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EBB1EED"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F9611D">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F9611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BE34DC"/>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53721865">
    <w:abstractNumId w:val="20"/>
  </w:num>
  <w:num w:numId="2" w16cid:durableId="766005271">
    <w:abstractNumId w:val="29"/>
  </w:num>
  <w:num w:numId="3" w16cid:durableId="853223092">
    <w:abstractNumId w:val="2"/>
  </w:num>
  <w:num w:numId="4" w16cid:durableId="91704334">
    <w:abstractNumId w:val="7"/>
  </w:num>
  <w:num w:numId="5" w16cid:durableId="315693303">
    <w:abstractNumId w:val="12"/>
  </w:num>
  <w:num w:numId="6" w16cid:durableId="1243637553">
    <w:abstractNumId w:val="19"/>
  </w:num>
  <w:num w:numId="7" w16cid:durableId="1139179288">
    <w:abstractNumId w:val="6"/>
  </w:num>
  <w:num w:numId="8" w16cid:durableId="1279877512">
    <w:abstractNumId w:val="25"/>
  </w:num>
  <w:num w:numId="9" w16cid:durableId="233391299">
    <w:abstractNumId w:val="32"/>
  </w:num>
  <w:num w:numId="10" w16cid:durableId="1453673679">
    <w:abstractNumId w:val="28"/>
  </w:num>
  <w:num w:numId="11" w16cid:durableId="2092507002">
    <w:abstractNumId w:val="8"/>
  </w:num>
  <w:num w:numId="12" w16cid:durableId="94985001">
    <w:abstractNumId w:val="10"/>
  </w:num>
  <w:num w:numId="13" w16cid:durableId="599608514">
    <w:abstractNumId w:val="34"/>
  </w:num>
  <w:num w:numId="14" w16cid:durableId="561673147">
    <w:abstractNumId w:val="30"/>
  </w:num>
  <w:num w:numId="15" w16cid:durableId="857700643">
    <w:abstractNumId w:val="13"/>
  </w:num>
  <w:num w:numId="16" w16cid:durableId="1078867466">
    <w:abstractNumId w:val="21"/>
  </w:num>
  <w:num w:numId="17" w16cid:durableId="1258751333">
    <w:abstractNumId w:val="4"/>
  </w:num>
  <w:num w:numId="18" w16cid:durableId="1904413486">
    <w:abstractNumId w:val="15"/>
  </w:num>
  <w:num w:numId="19" w16cid:durableId="1630160579">
    <w:abstractNumId w:val="5"/>
  </w:num>
  <w:num w:numId="20" w16cid:durableId="682827068">
    <w:abstractNumId w:val="16"/>
  </w:num>
  <w:num w:numId="21" w16cid:durableId="577788926">
    <w:abstractNumId w:val="18"/>
  </w:num>
  <w:num w:numId="22" w16cid:durableId="1389913250">
    <w:abstractNumId w:val="14"/>
  </w:num>
  <w:num w:numId="23" w16cid:durableId="306402302">
    <w:abstractNumId w:val="24"/>
  </w:num>
  <w:num w:numId="24" w16cid:durableId="1319770920">
    <w:abstractNumId w:val="3"/>
  </w:num>
  <w:num w:numId="25" w16cid:durableId="1278637402">
    <w:abstractNumId w:val="1"/>
  </w:num>
  <w:num w:numId="26" w16cid:durableId="412510039">
    <w:abstractNumId w:val="27"/>
  </w:num>
  <w:num w:numId="27" w16cid:durableId="1094517777">
    <w:abstractNumId w:val="22"/>
  </w:num>
  <w:num w:numId="28" w16cid:durableId="1111166682">
    <w:abstractNumId w:val="9"/>
  </w:num>
  <w:num w:numId="29" w16cid:durableId="1122000708">
    <w:abstractNumId w:val="26"/>
  </w:num>
  <w:num w:numId="30" w16cid:durableId="1508322082">
    <w:abstractNumId w:val="33"/>
  </w:num>
  <w:num w:numId="31" w16cid:durableId="1387948168">
    <w:abstractNumId w:val="23"/>
  </w:num>
  <w:num w:numId="32" w16cid:durableId="26413867">
    <w:abstractNumId w:val="0"/>
  </w:num>
  <w:num w:numId="33" w16cid:durableId="11693477">
    <w:abstractNumId w:val="11"/>
  </w:num>
  <w:num w:numId="34" w16cid:durableId="1238398986">
    <w:abstractNumId w:val="31"/>
  </w:num>
  <w:num w:numId="35" w16cid:durableId="122315808">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47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16D"/>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8CE"/>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02"/>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4C3"/>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12B"/>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DE8"/>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5A6A"/>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FC"/>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11D"/>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0B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5902"/>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30A99127-C0BB-4782-B2A4-1DD81CA4DD19}">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5.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6.xml><?xml version="1.0" encoding="utf-8"?>
<ds:datastoreItem xmlns:ds="http://schemas.openxmlformats.org/officeDocument/2006/customXml" ds:itemID="{01309626-1996-474D-8531-F8389432B23E}">
  <ds:schemaRefs>
    <ds:schemaRef ds:uri="http://schemas.openxmlformats.org/officeDocument/2006/bibliography"/>
  </ds:schemaRefs>
</ds:datastoreItem>
</file>

<file path=customXml/itemProps17.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0.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4.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3388</Words>
  <Characters>19715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12</cp:revision>
  <cp:lastPrinted>2022-07-27T19:25:00Z</cp:lastPrinted>
  <dcterms:created xsi:type="dcterms:W3CDTF">2022-10-21T12:30:00Z</dcterms:created>
  <dcterms:modified xsi:type="dcterms:W3CDTF">2023-10-25T05:52:00Z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