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F874C4" w14:textId="77777777" w:rsidR="00533CD2" w:rsidRDefault="0046046C">
      <w:pPr>
        <w:tabs>
          <w:tab w:val="left" w:pos="2235"/>
        </w:tabs>
        <w:spacing w:before="120" w:after="120" w:line="312" w:lineRule="auto"/>
        <w:ind w:left="2238" w:right="105" w:hanging="2127"/>
        <w:jc w:val="both"/>
        <w:rPr>
          <w:rFonts w:ascii="Arial" w:eastAsia="Arial" w:hAnsi="Arial" w:cs="Arial"/>
          <w:color w:val="000000"/>
          <w:sz w:val="20"/>
        </w:rPr>
      </w:pPr>
      <w:bookmarkStart w:id="0" w:name="_GoBack"/>
      <w:bookmarkEnd w:id="0"/>
      <w:r>
        <w:rPr>
          <w:rFonts w:ascii="Arial" w:eastAsia="Arial" w:hAnsi="Arial" w:cs="Arial"/>
          <w:b/>
          <w:bCs/>
          <w:color w:val="000000"/>
          <w:sz w:val="20"/>
        </w:rPr>
        <w:t>Název dokumentu</w:t>
      </w:r>
      <w:r>
        <w:rPr>
          <w:rFonts w:ascii="Calibri" w:eastAsia="Calibri" w:hAnsi="Calibri" w:cs="Calibri"/>
          <w:color w:val="000000"/>
          <w:sz w:val="20"/>
        </w:rPr>
        <w:tab/>
      </w:r>
      <w:r>
        <w:rPr>
          <w:rFonts w:ascii="Arial" w:eastAsia="Arial" w:hAnsi="Arial" w:cs="Arial"/>
          <w:color w:val="000000"/>
          <w:sz w:val="20"/>
        </w:rPr>
        <w:t>Výroční zpráva o implementaci programu za rok 2019</w:t>
      </w:r>
    </w:p>
    <w:p w14:paraId="13A45DCB" w14:textId="77777777" w:rsidR="00533CD2" w:rsidRDefault="0046046C">
      <w:pPr>
        <w:tabs>
          <w:tab w:val="left" w:pos="2235"/>
        </w:tabs>
        <w:spacing w:after="120" w:line="312" w:lineRule="auto"/>
        <w:ind w:left="2238" w:right="105" w:hanging="2127"/>
        <w:jc w:val="both"/>
        <w:rPr>
          <w:rFonts w:ascii="Arial" w:eastAsia="Arial" w:hAnsi="Arial" w:cs="Arial"/>
          <w:color w:val="000000"/>
          <w:sz w:val="20"/>
        </w:rPr>
      </w:pPr>
      <w:r>
        <w:rPr>
          <w:rFonts w:ascii="Arial" w:eastAsia="Arial" w:hAnsi="Arial" w:cs="Arial"/>
          <w:b/>
          <w:bCs/>
          <w:color w:val="000000"/>
          <w:sz w:val="20"/>
        </w:rPr>
        <w:t>Program / DoP</w:t>
      </w:r>
      <w:r>
        <w:rPr>
          <w:rFonts w:ascii="Calibri" w:eastAsia="Calibri" w:hAnsi="Calibri" w:cs="Calibri"/>
          <w:b/>
          <w:bCs/>
          <w:color w:val="000000"/>
          <w:sz w:val="20"/>
        </w:rPr>
        <w:tab/>
      </w:r>
      <w:proofErr w:type="gramStart"/>
      <w:r>
        <w:rPr>
          <w:rFonts w:ascii="Arial" w:eastAsia="Arial" w:hAnsi="Arial" w:cs="Arial"/>
          <w:color w:val="000000"/>
          <w:sz w:val="20"/>
        </w:rPr>
        <w:t>06  Integrovaný</w:t>
      </w:r>
      <w:proofErr w:type="gramEnd"/>
      <w:r>
        <w:rPr>
          <w:rFonts w:ascii="Arial" w:eastAsia="Arial" w:hAnsi="Arial" w:cs="Arial"/>
          <w:color w:val="000000"/>
          <w:sz w:val="20"/>
        </w:rPr>
        <w:t xml:space="preserve"> regionální operační program</w:t>
      </w:r>
    </w:p>
    <w:p w14:paraId="23AEFF60" w14:textId="77777777" w:rsidR="00533CD2" w:rsidRDefault="0046046C">
      <w:pPr>
        <w:tabs>
          <w:tab w:val="left" w:pos="2235"/>
        </w:tabs>
        <w:spacing w:after="120" w:line="312" w:lineRule="auto"/>
        <w:ind w:left="2238" w:right="105" w:hanging="2127"/>
        <w:jc w:val="both"/>
        <w:rPr>
          <w:rFonts w:ascii="Arial" w:eastAsia="Arial" w:hAnsi="Arial" w:cs="Arial"/>
          <w:color w:val="000000"/>
          <w:sz w:val="20"/>
        </w:rPr>
      </w:pPr>
      <w:r>
        <w:rPr>
          <w:rFonts w:ascii="Arial" w:eastAsia="Arial" w:hAnsi="Arial" w:cs="Arial"/>
          <w:b/>
          <w:bCs/>
          <w:color w:val="000000"/>
          <w:sz w:val="20"/>
        </w:rPr>
        <w:t>Verze dokumentu</w:t>
      </w:r>
      <w:r>
        <w:rPr>
          <w:rFonts w:ascii="Arial" w:eastAsia="Arial" w:hAnsi="Arial" w:cs="Arial"/>
          <w:color w:val="000000"/>
          <w:sz w:val="20"/>
        </w:rPr>
        <w:tab/>
        <w:t>draft</w:t>
      </w:r>
    </w:p>
    <w:p w14:paraId="0B87DC6C" w14:textId="77777777" w:rsidR="00533CD2" w:rsidRDefault="0046046C">
      <w:pPr>
        <w:tabs>
          <w:tab w:val="left" w:pos="2235"/>
          <w:tab w:val="left" w:pos="7974"/>
        </w:tabs>
        <w:spacing w:after="120" w:line="312" w:lineRule="auto"/>
        <w:ind w:left="2238" w:right="105" w:hanging="2124"/>
        <w:jc w:val="both"/>
        <w:rPr>
          <w:rFonts w:ascii="Arial" w:eastAsia="Arial" w:hAnsi="Arial" w:cs="Arial"/>
          <w:color w:val="000000"/>
          <w:sz w:val="20"/>
        </w:rPr>
      </w:pPr>
      <w:r>
        <w:rPr>
          <w:rFonts w:ascii="Arial" w:eastAsia="Arial" w:hAnsi="Arial" w:cs="Arial"/>
          <w:b/>
          <w:bCs/>
          <w:color w:val="000000"/>
          <w:sz w:val="20"/>
        </w:rPr>
        <w:t>Číslo draftu</w:t>
      </w:r>
      <w:r>
        <w:rPr>
          <w:rFonts w:ascii="Arial" w:eastAsia="Arial" w:hAnsi="Arial" w:cs="Arial"/>
          <w:b/>
          <w:bCs/>
          <w:color w:val="000000"/>
          <w:sz w:val="20"/>
        </w:rPr>
        <w:tab/>
      </w:r>
      <w:r>
        <w:rPr>
          <w:rFonts w:ascii="Arial" w:eastAsia="Arial" w:hAnsi="Arial" w:cs="Arial"/>
          <w:color w:val="000000"/>
          <w:sz w:val="20"/>
        </w:rPr>
        <w:t>1</w:t>
      </w:r>
    </w:p>
    <w:p w14:paraId="761FC6D7" w14:textId="77777777" w:rsidR="00533CD2" w:rsidRDefault="00533CD2">
      <w:pPr>
        <w:keepNext/>
        <w:keepLines/>
        <w:tabs>
          <w:tab w:val="left" w:pos="675"/>
        </w:tabs>
        <w:spacing w:after="120" w:line="264" w:lineRule="auto"/>
        <w:ind w:left="111" w:right="105"/>
        <w:jc w:val="both"/>
        <w:rPr>
          <w:rFonts w:ascii="Arial" w:eastAsia="Arial" w:hAnsi="Arial" w:cs="Arial"/>
          <w:color w:val="000000"/>
          <w:sz w:val="20"/>
        </w:rPr>
      </w:pPr>
    </w:p>
    <w:p w14:paraId="3C1C1B5E" w14:textId="77777777" w:rsidR="00E54D81" w:rsidRDefault="00E54D81" w:rsidP="00B4650D">
      <w:bookmarkStart w:id="1" w:name="_Toc529514947"/>
      <w:r>
        <w:br w:type="page"/>
      </w:r>
    </w:p>
    <w:sdt>
      <w:sdtPr>
        <w:rPr>
          <w:rFonts w:asciiTheme="minorHAnsi" w:eastAsiaTheme="minorEastAsia" w:hAnsiTheme="minorHAnsi" w:cstheme="minorBidi"/>
          <w:b w:val="0"/>
          <w:sz w:val="22"/>
          <w:szCs w:val="22"/>
          <w:lang w:val="en-US" w:eastAsia="ja-JP"/>
        </w:rPr>
        <w:id w:val="927858900"/>
        <w:docPartObj>
          <w:docPartGallery w:val="Table of Contents"/>
          <w:docPartUnique/>
        </w:docPartObj>
      </w:sdtPr>
      <w:sdtEndPr>
        <w:rPr>
          <w:rFonts w:ascii="Arial" w:hAnsi="Arial" w:cs="Arial"/>
          <w:bCs/>
          <w:sz w:val="20"/>
        </w:rPr>
      </w:sdtEndPr>
      <w:sdtContent>
        <w:p w14:paraId="1D52C954" w14:textId="77777777" w:rsidR="00E54D81" w:rsidRDefault="00E54D81" w:rsidP="00B4650D">
          <w:pPr>
            <w:pStyle w:val="Nadpisobsahu"/>
            <w:numPr>
              <w:ilvl w:val="0"/>
              <w:numId w:val="0"/>
            </w:numPr>
          </w:pPr>
        </w:p>
        <w:p w14:paraId="08D52E93" w14:textId="1FECEF06" w:rsidR="00192346" w:rsidRDefault="00E54D81">
          <w:pPr>
            <w:pStyle w:val="Obsah1"/>
            <w:tabs>
              <w:tab w:val="right" w:leader="dot" w:pos="9050"/>
            </w:tabs>
            <w:rPr>
              <w:noProof/>
              <w:lang w:val="cs-CZ" w:eastAsia="cs-CZ"/>
            </w:rPr>
          </w:pPr>
          <w:r w:rsidRPr="00B4650D">
            <w:rPr>
              <w:rFonts w:ascii="Arial" w:hAnsi="Arial" w:cs="Arial"/>
              <w:sz w:val="20"/>
            </w:rPr>
            <w:fldChar w:fldCharType="begin"/>
          </w:r>
          <w:r w:rsidRPr="00B4650D">
            <w:rPr>
              <w:rFonts w:ascii="Arial" w:hAnsi="Arial" w:cs="Arial"/>
              <w:sz w:val="20"/>
            </w:rPr>
            <w:instrText xml:space="preserve"> TOC \o "1-3" \h \z \u </w:instrText>
          </w:r>
          <w:r w:rsidRPr="00B4650D">
            <w:rPr>
              <w:rFonts w:ascii="Arial" w:hAnsi="Arial" w:cs="Arial"/>
              <w:sz w:val="20"/>
            </w:rPr>
            <w:fldChar w:fldCharType="separate"/>
          </w:r>
          <w:hyperlink w:anchor="_Toc40877810" w:history="1">
            <w:r w:rsidR="00192346" w:rsidRPr="00421C3A">
              <w:rPr>
                <w:rStyle w:val="Hypertextovodkaz"/>
                <w:noProof/>
              </w:rPr>
              <w:t>Základní informace</w:t>
            </w:r>
            <w:r w:rsidR="00192346">
              <w:rPr>
                <w:noProof/>
                <w:webHidden/>
              </w:rPr>
              <w:tab/>
            </w:r>
            <w:r w:rsidR="00192346">
              <w:rPr>
                <w:noProof/>
                <w:webHidden/>
              </w:rPr>
              <w:fldChar w:fldCharType="begin"/>
            </w:r>
            <w:r w:rsidR="00192346">
              <w:rPr>
                <w:noProof/>
                <w:webHidden/>
              </w:rPr>
              <w:instrText xml:space="preserve"> PAGEREF _Toc40877810 \h </w:instrText>
            </w:r>
            <w:r w:rsidR="00192346">
              <w:rPr>
                <w:noProof/>
                <w:webHidden/>
              </w:rPr>
            </w:r>
            <w:r w:rsidR="00192346">
              <w:rPr>
                <w:noProof/>
                <w:webHidden/>
              </w:rPr>
              <w:fldChar w:fldCharType="separate"/>
            </w:r>
            <w:r w:rsidR="00192346">
              <w:rPr>
                <w:noProof/>
                <w:webHidden/>
              </w:rPr>
              <w:t>3</w:t>
            </w:r>
            <w:r w:rsidR="00192346">
              <w:rPr>
                <w:noProof/>
                <w:webHidden/>
              </w:rPr>
              <w:fldChar w:fldCharType="end"/>
            </w:r>
          </w:hyperlink>
        </w:p>
        <w:p w14:paraId="756861E4" w14:textId="0A85DE66" w:rsidR="00192346" w:rsidRDefault="001E3EC2">
          <w:pPr>
            <w:pStyle w:val="Obsah1"/>
            <w:tabs>
              <w:tab w:val="left" w:pos="440"/>
              <w:tab w:val="right" w:leader="dot" w:pos="9050"/>
            </w:tabs>
            <w:rPr>
              <w:noProof/>
              <w:lang w:val="cs-CZ" w:eastAsia="cs-CZ"/>
            </w:rPr>
          </w:pPr>
          <w:hyperlink w:anchor="_Toc40877811" w:history="1">
            <w:r w:rsidR="00192346" w:rsidRPr="00421C3A">
              <w:rPr>
                <w:rStyle w:val="Hypertextovodkaz"/>
                <w:noProof/>
              </w:rPr>
              <w:t>1</w:t>
            </w:r>
            <w:r w:rsidR="00192346">
              <w:rPr>
                <w:noProof/>
                <w:lang w:val="cs-CZ" w:eastAsia="cs-CZ"/>
              </w:rPr>
              <w:tab/>
            </w:r>
            <w:r w:rsidR="00192346" w:rsidRPr="00421C3A">
              <w:rPr>
                <w:rStyle w:val="Hypertextovodkaz"/>
                <w:noProof/>
              </w:rPr>
              <w:t>IDENTIFIKACE VÝROČNÍ/ZÁVĚREČNÉ ZPRÁVY O IMPLEMENTACI</w:t>
            </w:r>
            <w:r w:rsidR="00192346">
              <w:rPr>
                <w:noProof/>
                <w:webHidden/>
              </w:rPr>
              <w:tab/>
            </w:r>
            <w:r w:rsidR="00192346">
              <w:rPr>
                <w:noProof/>
                <w:webHidden/>
              </w:rPr>
              <w:fldChar w:fldCharType="begin"/>
            </w:r>
            <w:r w:rsidR="00192346">
              <w:rPr>
                <w:noProof/>
                <w:webHidden/>
              </w:rPr>
              <w:instrText xml:space="preserve"> PAGEREF _Toc40877811 \h </w:instrText>
            </w:r>
            <w:r w:rsidR="00192346">
              <w:rPr>
                <w:noProof/>
                <w:webHidden/>
              </w:rPr>
            </w:r>
            <w:r w:rsidR="00192346">
              <w:rPr>
                <w:noProof/>
                <w:webHidden/>
              </w:rPr>
              <w:fldChar w:fldCharType="separate"/>
            </w:r>
            <w:r w:rsidR="00192346">
              <w:rPr>
                <w:noProof/>
                <w:webHidden/>
              </w:rPr>
              <w:t>4</w:t>
            </w:r>
            <w:r w:rsidR="00192346">
              <w:rPr>
                <w:noProof/>
                <w:webHidden/>
              </w:rPr>
              <w:fldChar w:fldCharType="end"/>
            </w:r>
          </w:hyperlink>
        </w:p>
        <w:p w14:paraId="40805347" w14:textId="1B3ED7A5" w:rsidR="00192346" w:rsidRDefault="001E3EC2">
          <w:pPr>
            <w:pStyle w:val="Obsah1"/>
            <w:tabs>
              <w:tab w:val="left" w:pos="440"/>
              <w:tab w:val="right" w:leader="dot" w:pos="9050"/>
            </w:tabs>
            <w:rPr>
              <w:noProof/>
              <w:lang w:val="cs-CZ" w:eastAsia="cs-CZ"/>
            </w:rPr>
          </w:pPr>
          <w:hyperlink w:anchor="_Toc40877812" w:history="1">
            <w:r w:rsidR="00192346" w:rsidRPr="00421C3A">
              <w:rPr>
                <w:rStyle w:val="Hypertextovodkaz"/>
                <w:noProof/>
              </w:rPr>
              <w:t>2</w:t>
            </w:r>
            <w:r w:rsidR="00192346">
              <w:rPr>
                <w:noProof/>
                <w:lang w:val="cs-CZ" w:eastAsia="cs-CZ"/>
              </w:rPr>
              <w:tab/>
            </w:r>
            <w:r w:rsidR="00192346" w:rsidRPr="00421C3A">
              <w:rPr>
                <w:rStyle w:val="Hypertextovodkaz"/>
                <w:noProof/>
              </w:rPr>
              <w:t>PŘEHLED IMPLEMENTACE OPERAČNÍHO PROGRAMU (čl. 50 odst. 2 a čl. 111 odst. 3 písm. a) nařízení (EU) č. 1303/2013)</w:t>
            </w:r>
            <w:r w:rsidR="00192346">
              <w:rPr>
                <w:noProof/>
                <w:webHidden/>
              </w:rPr>
              <w:tab/>
            </w:r>
            <w:r w:rsidR="00192346">
              <w:rPr>
                <w:noProof/>
                <w:webHidden/>
              </w:rPr>
              <w:fldChar w:fldCharType="begin"/>
            </w:r>
            <w:r w:rsidR="00192346">
              <w:rPr>
                <w:noProof/>
                <w:webHidden/>
              </w:rPr>
              <w:instrText xml:space="preserve"> PAGEREF _Toc40877812 \h </w:instrText>
            </w:r>
            <w:r w:rsidR="00192346">
              <w:rPr>
                <w:noProof/>
                <w:webHidden/>
              </w:rPr>
            </w:r>
            <w:r w:rsidR="00192346">
              <w:rPr>
                <w:noProof/>
                <w:webHidden/>
              </w:rPr>
              <w:fldChar w:fldCharType="separate"/>
            </w:r>
            <w:r w:rsidR="00192346">
              <w:rPr>
                <w:noProof/>
                <w:webHidden/>
              </w:rPr>
              <w:t>4</w:t>
            </w:r>
            <w:r w:rsidR="00192346">
              <w:rPr>
                <w:noProof/>
                <w:webHidden/>
              </w:rPr>
              <w:fldChar w:fldCharType="end"/>
            </w:r>
          </w:hyperlink>
        </w:p>
        <w:p w14:paraId="1607908E" w14:textId="7F52E02F" w:rsidR="00192346" w:rsidRDefault="001E3EC2">
          <w:pPr>
            <w:pStyle w:val="Obsah1"/>
            <w:tabs>
              <w:tab w:val="left" w:pos="440"/>
              <w:tab w:val="right" w:leader="dot" w:pos="9050"/>
            </w:tabs>
            <w:rPr>
              <w:noProof/>
              <w:lang w:val="cs-CZ" w:eastAsia="cs-CZ"/>
            </w:rPr>
          </w:pPr>
          <w:hyperlink w:anchor="_Toc40877813" w:history="1">
            <w:r w:rsidR="00192346" w:rsidRPr="00421C3A">
              <w:rPr>
                <w:rStyle w:val="Hypertextovodkaz"/>
                <w:noProof/>
              </w:rPr>
              <w:t>3</w:t>
            </w:r>
            <w:r w:rsidR="00192346">
              <w:rPr>
                <w:noProof/>
                <w:lang w:val="cs-CZ" w:eastAsia="cs-CZ"/>
              </w:rPr>
              <w:tab/>
            </w:r>
            <w:r w:rsidR="00192346" w:rsidRPr="00421C3A">
              <w:rPr>
                <w:rStyle w:val="Hypertextovodkaz"/>
                <w:noProof/>
              </w:rPr>
              <w:t>IMPLEMENTACE PRIORITNÍ OSY (čl. 50 odst. 2 nařízení (EU) č. 1303/2013</w:t>
            </w:r>
            <w:r w:rsidR="00192346">
              <w:rPr>
                <w:noProof/>
                <w:webHidden/>
              </w:rPr>
              <w:tab/>
            </w:r>
            <w:r w:rsidR="00192346">
              <w:rPr>
                <w:noProof/>
                <w:webHidden/>
              </w:rPr>
              <w:fldChar w:fldCharType="begin"/>
            </w:r>
            <w:r w:rsidR="00192346">
              <w:rPr>
                <w:noProof/>
                <w:webHidden/>
              </w:rPr>
              <w:instrText xml:space="preserve"> PAGEREF _Toc40877813 \h </w:instrText>
            </w:r>
            <w:r w:rsidR="00192346">
              <w:rPr>
                <w:noProof/>
                <w:webHidden/>
              </w:rPr>
            </w:r>
            <w:r w:rsidR="00192346">
              <w:rPr>
                <w:noProof/>
                <w:webHidden/>
              </w:rPr>
              <w:fldChar w:fldCharType="separate"/>
            </w:r>
            <w:r w:rsidR="00192346">
              <w:rPr>
                <w:noProof/>
                <w:webHidden/>
              </w:rPr>
              <w:t>6</w:t>
            </w:r>
            <w:r w:rsidR="00192346">
              <w:rPr>
                <w:noProof/>
                <w:webHidden/>
              </w:rPr>
              <w:fldChar w:fldCharType="end"/>
            </w:r>
          </w:hyperlink>
        </w:p>
        <w:p w14:paraId="3B414F2F" w14:textId="6C4C1DC9" w:rsidR="00192346" w:rsidRDefault="001E3EC2">
          <w:pPr>
            <w:pStyle w:val="Obsah2"/>
            <w:tabs>
              <w:tab w:val="left" w:pos="880"/>
              <w:tab w:val="right" w:leader="dot" w:pos="9050"/>
            </w:tabs>
            <w:rPr>
              <w:noProof/>
              <w:lang w:val="cs-CZ" w:eastAsia="cs-CZ"/>
            </w:rPr>
          </w:pPr>
          <w:hyperlink w:anchor="_Toc40877814" w:history="1">
            <w:r w:rsidR="00192346" w:rsidRPr="00421C3A">
              <w:rPr>
                <w:rStyle w:val="Hypertextovodkaz"/>
                <w:noProof/>
              </w:rPr>
              <w:t>3.1</w:t>
            </w:r>
            <w:r w:rsidR="00192346">
              <w:rPr>
                <w:noProof/>
                <w:lang w:val="cs-CZ" w:eastAsia="cs-CZ"/>
              </w:rPr>
              <w:tab/>
            </w:r>
            <w:r w:rsidR="00192346" w:rsidRPr="00421C3A">
              <w:rPr>
                <w:rStyle w:val="Hypertextovodkaz"/>
                <w:noProof/>
              </w:rPr>
              <w:t>Přehled implementace</w:t>
            </w:r>
            <w:r w:rsidR="00192346">
              <w:rPr>
                <w:noProof/>
                <w:webHidden/>
              </w:rPr>
              <w:tab/>
            </w:r>
            <w:r w:rsidR="00192346">
              <w:rPr>
                <w:noProof/>
                <w:webHidden/>
              </w:rPr>
              <w:fldChar w:fldCharType="begin"/>
            </w:r>
            <w:r w:rsidR="00192346">
              <w:rPr>
                <w:noProof/>
                <w:webHidden/>
              </w:rPr>
              <w:instrText xml:space="preserve"> PAGEREF _Toc40877814 \h </w:instrText>
            </w:r>
            <w:r w:rsidR="00192346">
              <w:rPr>
                <w:noProof/>
                <w:webHidden/>
              </w:rPr>
            </w:r>
            <w:r w:rsidR="00192346">
              <w:rPr>
                <w:noProof/>
                <w:webHidden/>
              </w:rPr>
              <w:fldChar w:fldCharType="separate"/>
            </w:r>
            <w:r w:rsidR="00192346">
              <w:rPr>
                <w:noProof/>
                <w:webHidden/>
              </w:rPr>
              <w:t>6</w:t>
            </w:r>
            <w:r w:rsidR="00192346">
              <w:rPr>
                <w:noProof/>
                <w:webHidden/>
              </w:rPr>
              <w:fldChar w:fldCharType="end"/>
            </w:r>
          </w:hyperlink>
        </w:p>
        <w:p w14:paraId="53878F5F" w14:textId="4C3095EE" w:rsidR="00192346" w:rsidRDefault="001E3EC2">
          <w:pPr>
            <w:pStyle w:val="Obsah2"/>
            <w:tabs>
              <w:tab w:val="right" w:leader="dot" w:pos="9050"/>
            </w:tabs>
            <w:rPr>
              <w:noProof/>
              <w:lang w:val="cs-CZ" w:eastAsia="cs-CZ"/>
            </w:rPr>
          </w:pPr>
          <w:hyperlink w:anchor="_Toc40877815" w:history="1">
            <w:r w:rsidR="00192346" w:rsidRPr="00421C3A">
              <w:rPr>
                <w:rStyle w:val="Hypertextovodkaz"/>
                <w:noProof/>
              </w:rPr>
              <w:t>3.2 Společné indikátory a indikátory specifické pro jednotlivé programy (čl. 50 odst. 2 nařízení (EU) č. 1303/2013</w:t>
            </w:r>
            <w:r w:rsidR="00192346" w:rsidRPr="00421C3A">
              <w:rPr>
                <w:rStyle w:val="Hypertextovodkaz"/>
                <w:i/>
                <w:iCs/>
                <w:noProof/>
              </w:rPr>
              <w:t>)</w:t>
            </w:r>
            <w:r w:rsidR="00192346">
              <w:rPr>
                <w:noProof/>
                <w:webHidden/>
              </w:rPr>
              <w:tab/>
            </w:r>
            <w:r w:rsidR="00192346">
              <w:rPr>
                <w:noProof/>
                <w:webHidden/>
              </w:rPr>
              <w:fldChar w:fldCharType="begin"/>
            </w:r>
            <w:r w:rsidR="00192346">
              <w:rPr>
                <w:noProof/>
                <w:webHidden/>
              </w:rPr>
              <w:instrText xml:space="preserve"> PAGEREF _Toc40877815 \h </w:instrText>
            </w:r>
            <w:r w:rsidR="00192346">
              <w:rPr>
                <w:noProof/>
                <w:webHidden/>
              </w:rPr>
            </w:r>
            <w:r w:rsidR="00192346">
              <w:rPr>
                <w:noProof/>
                <w:webHidden/>
              </w:rPr>
              <w:fldChar w:fldCharType="separate"/>
            </w:r>
            <w:r w:rsidR="00192346">
              <w:rPr>
                <w:noProof/>
                <w:webHidden/>
              </w:rPr>
              <w:t>8</w:t>
            </w:r>
            <w:r w:rsidR="00192346">
              <w:rPr>
                <w:noProof/>
                <w:webHidden/>
              </w:rPr>
              <w:fldChar w:fldCharType="end"/>
            </w:r>
          </w:hyperlink>
        </w:p>
        <w:p w14:paraId="12940C6D" w14:textId="5684DC40" w:rsidR="00192346" w:rsidRDefault="001E3EC2">
          <w:pPr>
            <w:pStyle w:val="Obsah2"/>
            <w:tabs>
              <w:tab w:val="left" w:pos="880"/>
              <w:tab w:val="right" w:leader="dot" w:pos="9050"/>
            </w:tabs>
            <w:rPr>
              <w:noProof/>
              <w:lang w:val="cs-CZ" w:eastAsia="cs-CZ"/>
            </w:rPr>
          </w:pPr>
          <w:hyperlink w:anchor="_Toc40877816" w:history="1">
            <w:r w:rsidR="00192346" w:rsidRPr="00421C3A">
              <w:rPr>
                <w:rStyle w:val="Hypertextovodkaz"/>
                <w:noProof/>
              </w:rPr>
              <w:t>3.3</w:t>
            </w:r>
            <w:r w:rsidR="00192346">
              <w:rPr>
                <w:noProof/>
                <w:lang w:val="cs-CZ" w:eastAsia="cs-CZ"/>
              </w:rPr>
              <w:tab/>
            </w:r>
            <w:r w:rsidR="00192346" w:rsidRPr="00421C3A">
              <w:rPr>
                <w:rStyle w:val="Hypertextovodkaz"/>
                <w:noProof/>
              </w:rPr>
              <w:t>Milníky a cíle stanovené ve výkonnostním rámci (čl. 50 odst. 2 nařízení (EU) č. 1303/2013) – předloženo ve výročních zprávách o implementaci od roku 2017</w:t>
            </w:r>
            <w:r w:rsidR="00192346">
              <w:rPr>
                <w:noProof/>
                <w:webHidden/>
              </w:rPr>
              <w:tab/>
            </w:r>
            <w:r w:rsidR="00192346">
              <w:rPr>
                <w:noProof/>
                <w:webHidden/>
              </w:rPr>
              <w:fldChar w:fldCharType="begin"/>
            </w:r>
            <w:r w:rsidR="00192346">
              <w:rPr>
                <w:noProof/>
                <w:webHidden/>
              </w:rPr>
              <w:instrText xml:space="preserve"> PAGEREF _Toc40877816 \h </w:instrText>
            </w:r>
            <w:r w:rsidR="00192346">
              <w:rPr>
                <w:noProof/>
                <w:webHidden/>
              </w:rPr>
            </w:r>
            <w:r w:rsidR="00192346">
              <w:rPr>
                <w:noProof/>
                <w:webHidden/>
              </w:rPr>
              <w:fldChar w:fldCharType="separate"/>
            </w:r>
            <w:r w:rsidR="00192346">
              <w:rPr>
                <w:noProof/>
                <w:webHidden/>
              </w:rPr>
              <w:t>41</w:t>
            </w:r>
            <w:r w:rsidR="00192346">
              <w:rPr>
                <w:noProof/>
                <w:webHidden/>
              </w:rPr>
              <w:fldChar w:fldCharType="end"/>
            </w:r>
          </w:hyperlink>
        </w:p>
        <w:p w14:paraId="54AD6E10" w14:textId="3D288408" w:rsidR="00192346" w:rsidRDefault="001E3EC2">
          <w:pPr>
            <w:pStyle w:val="Obsah2"/>
            <w:tabs>
              <w:tab w:val="left" w:pos="880"/>
              <w:tab w:val="right" w:leader="dot" w:pos="9050"/>
            </w:tabs>
            <w:rPr>
              <w:noProof/>
              <w:lang w:val="cs-CZ" w:eastAsia="cs-CZ"/>
            </w:rPr>
          </w:pPr>
          <w:hyperlink w:anchor="_Toc40877817" w:history="1">
            <w:r w:rsidR="00192346" w:rsidRPr="00421C3A">
              <w:rPr>
                <w:rStyle w:val="Hypertextovodkaz"/>
                <w:noProof/>
              </w:rPr>
              <w:t>3.4</w:t>
            </w:r>
            <w:r w:rsidR="00192346">
              <w:rPr>
                <w:noProof/>
                <w:lang w:val="cs-CZ" w:eastAsia="cs-CZ"/>
              </w:rPr>
              <w:tab/>
            </w:r>
            <w:r w:rsidR="00192346" w:rsidRPr="00421C3A">
              <w:rPr>
                <w:rStyle w:val="Hypertextovodkaz"/>
                <w:noProof/>
              </w:rPr>
              <w:t>Finanční údaje (čl. 50 odst. 2 nařízení (EU) č. 1303/2013)</w:t>
            </w:r>
            <w:r w:rsidR="00192346">
              <w:rPr>
                <w:noProof/>
                <w:webHidden/>
              </w:rPr>
              <w:tab/>
            </w:r>
            <w:r w:rsidR="00192346">
              <w:rPr>
                <w:noProof/>
                <w:webHidden/>
              </w:rPr>
              <w:fldChar w:fldCharType="begin"/>
            </w:r>
            <w:r w:rsidR="00192346">
              <w:rPr>
                <w:noProof/>
                <w:webHidden/>
              </w:rPr>
              <w:instrText xml:space="preserve"> PAGEREF _Toc40877817 \h </w:instrText>
            </w:r>
            <w:r w:rsidR="00192346">
              <w:rPr>
                <w:noProof/>
                <w:webHidden/>
              </w:rPr>
            </w:r>
            <w:r w:rsidR="00192346">
              <w:rPr>
                <w:noProof/>
                <w:webHidden/>
              </w:rPr>
              <w:fldChar w:fldCharType="separate"/>
            </w:r>
            <w:r w:rsidR="00192346">
              <w:rPr>
                <w:noProof/>
                <w:webHidden/>
              </w:rPr>
              <w:t>50</w:t>
            </w:r>
            <w:r w:rsidR="00192346">
              <w:rPr>
                <w:noProof/>
                <w:webHidden/>
              </w:rPr>
              <w:fldChar w:fldCharType="end"/>
            </w:r>
          </w:hyperlink>
        </w:p>
        <w:p w14:paraId="1C644C0F" w14:textId="73D6D45B" w:rsidR="00192346" w:rsidRDefault="001E3EC2">
          <w:pPr>
            <w:pStyle w:val="Obsah1"/>
            <w:tabs>
              <w:tab w:val="left" w:pos="440"/>
              <w:tab w:val="right" w:leader="dot" w:pos="9050"/>
            </w:tabs>
            <w:rPr>
              <w:noProof/>
              <w:lang w:val="cs-CZ" w:eastAsia="cs-CZ"/>
            </w:rPr>
          </w:pPr>
          <w:hyperlink w:anchor="_Toc40877818" w:history="1">
            <w:r w:rsidR="00192346" w:rsidRPr="00421C3A">
              <w:rPr>
                <w:rStyle w:val="Hypertextovodkaz"/>
                <w:noProof/>
              </w:rPr>
              <w:t>4</w:t>
            </w:r>
            <w:r w:rsidR="00192346">
              <w:rPr>
                <w:noProof/>
                <w:lang w:val="cs-CZ" w:eastAsia="cs-CZ"/>
              </w:rPr>
              <w:tab/>
            </w:r>
            <w:r w:rsidR="00192346" w:rsidRPr="00421C3A">
              <w:rPr>
                <w:rStyle w:val="Hypertextovodkaz"/>
                <w:noProof/>
              </w:rPr>
              <w:t>SHRNUTÍ EVALUACÍ (čl. 50 odst. 2 nařízení (EU) č. 1303/2013)</w:t>
            </w:r>
            <w:r w:rsidR="00192346">
              <w:rPr>
                <w:noProof/>
                <w:webHidden/>
              </w:rPr>
              <w:tab/>
            </w:r>
            <w:r w:rsidR="00192346">
              <w:rPr>
                <w:noProof/>
                <w:webHidden/>
              </w:rPr>
              <w:fldChar w:fldCharType="begin"/>
            </w:r>
            <w:r w:rsidR="00192346">
              <w:rPr>
                <w:noProof/>
                <w:webHidden/>
              </w:rPr>
              <w:instrText xml:space="preserve"> PAGEREF _Toc40877818 \h </w:instrText>
            </w:r>
            <w:r w:rsidR="00192346">
              <w:rPr>
                <w:noProof/>
                <w:webHidden/>
              </w:rPr>
            </w:r>
            <w:r w:rsidR="00192346">
              <w:rPr>
                <w:noProof/>
                <w:webHidden/>
              </w:rPr>
              <w:fldChar w:fldCharType="separate"/>
            </w:r>
            <w:r w:rsidR="00192346">
              <w:rPr>
                <w:noProof/>
                <w:webHidden/>
              </w:rPr>
              <w:t>129</w:t>
            </w:r>
            <w:r w:rsidR="00192346">
              <w:rPr>
                <w:noProof/>
                <w:webHidden/>
              </w:rPr>
              <w:fldChar w:fldCharType="end"/>
            </w:r>
          </w:hyperlink>
        </w:p>
        <w:p w14:paraId="4EC692AC" w14:textId="23E755C8" w:rsidR="00192346" w:rsidRDefault="001E3EC2">
          <w:pPr>
            <w:pStyle w:val="Obsah1"/>
            <w:tabs>
              <w:tab w:val="left" w:pos="440"/>
              <w:tab w:val="right" w:leader="dot" w:pos="9050"/>
            </w:tabs>
            <w:rPr>
              <w:noProof/>
              <w:lang w:val="cs-CZ" w:eastAsia="cs-CZ"/>
            </w:rPr>
          </w:pPr>
          <w:hyperlink w:anchor="_Toc40877819" w:history="1">
            <w:r w:rsidR="00192346" w:rsidRPr="00421C3A">
              <w:rPr>
                <w:rStyle w:val="Hypertextovodkaz"/>
                <w:noProof/>
              </w:rPr>
              <w:t>5</w:t>
            </w:r>
            <w:r w:rsidR="00192346">
              <w:rPr>
                <w:noProof/>
                <w:lang w:val="cs-CZ" w:eastAsia="cs-CZ"/>
              </w:rPr>
              <w:tab/>
            </w:r>
            <w:r w:rsidR="00192346" w:rsidRPr="00421C3A">
              <w:rPr>
                <w:rStyle w:val="Hypertextovodkaz"/>
                <w:noProof/>
              </w:rPr>
              <w:t>INFORMACE O IMPLEMENTACI INICIATIVY NA PODPORU ZAMĚSTNANOSTI MLADÝCH LIDÍ, JE-LI POUŽITELNÉ (čl. 19 odst. 2 a 4 nařízení (EU) č. 1304/2013)</w:t>
            </w:r>
            <w:r w:rsidR="00192346">
              <w:rPr>
                <w:noProof/>
                <w:webHidden/>
              </w:rPr>
              <w:tab/>
            </w:r>
            <w:r w:rsidR="00192346">
              <w:rPr>
                <w:noProof/>
                <w:webHidden/>
              </w:rPr>
              <w:fldChar w:fldCharType="begin"/>
            </w:r>
            <w:r w:rsidR="00192346">
              <w:rPr>
                <w:noProof/>
                <w:webHidden/>
              </w:rPr>
              <w:instrText xml:space="preserve"> PAGEREF _Toc40877819 \h </w:instrText>
            </w:r>
            <w:r w:rsidR="00192346">
              <w:rPr>
                <w:noProof/>
                <w:webHidden/>
              </w:rPr>
            </w:r>
            <w:r w:rsidR="00192346">
              <w:rPr>
                <w:noProof/>
                <w:webHidden/>
              </w:rPr>
              <w:fldChar w:fldCharType="separate"/>
            </w:r>
            <w:r w:rsidR="00192346">
              <w:rPr>
                <w:noProof/>
                <w:webHidden/>
              </w:rPr>
              <w:t>132</w:t>
            </w:r>
            <w:r w:rsidR="00192346">
              <w:rPr>
                <w:noProof/>
                <w:webHidden/>
              </w:rPr>
              <w:fldChar w:fldCharType="end"/>
            </w:r>
          </w:hyperlink>
        </w:p>
        <w:p w14:paraId="32F5A54E" w14:textId="0BF2D124" w:rsidR="00192346" w:rsidRDefault="001E3EC2">
          <w:pPr>
            <w:pStyle w:val="Obsah1"/>
            <w:tabs>
              <w:tab w:val="left" w:pos="440"/>
              <w:tab w:val="right" w:leader="dot" w:pos="9050"/>
            </w:tabs>
            <w:rPr>
              <w:noProof/>
              <w:lang w:val="cs-CZ" w:eastAsia="cs-CZ"/>
            </w:rPr>
          </w:pPr>
          <w:hyperlink w:anchor="_Toc40877820" w:history="1">
            <w:r w:rsidR="00192346" w:rsidRPr="00421C3A">
              <w:rPr>
                <w:rStyle w:val="Hypertextovodkaz"/>
                <w:noProof/>
              </w:rPr>
              <w:t>6</w:t>
            </w:r>
            <w:r w:rsidR="00192346">
              <w:rPr>
                <w:noProof/>
                <w:lang w:val="cs-CZ" w:eastAsia="cs-CZ"/>
              </w:rPr>
              <w:tab/>
            </w:r>
            <w:r w:rsidR="00192346" w:rsidRPr="00421C3A">
              <w:rPr>
                <w:rStyle w:val="Hypertextovodkaz"/>
                <w:noProof/>
              </w:rPr>
              <w:t>ZÁLEŽITOSTI OVLIVŇUJÍCÍ VÝKONNOST PROGRAMU A PŘIJATÁ OPATŘENÍ (čl. 50 odst. 2 nařízení (EU) č. 1303/2013)</w:t>
            </w:r>
            <w:r w:rsidR="00192346">
              <w:rPr>
                <w:noProof/>
                <w:webHidden/>
              </w:rPr>
              <w:tab/>
            </w:r>
            <w:r w:rsidR="00192346">
              <w:rPr>
                <w:noProof/>
                <w:webHidden/>
              </w:rPr>
              <w:fldChar w:fldCharType="begin"/>
            </w:r>
            <w:r w:rsidR="00192346">
              <w:rPr>
                <w:noProof/>
                <w:webHidden/>
              </w:rPr>
              <w:instrText xml:space="preserve"> PAGEREF _Toc40877820 \h </w:instrText>
            </w:r>
            <w:r w:rsidR="00192346">
              <w:rPr>
                <w:noProof/>
                <w:webHidden/>
              </w:rPr>
            </w:r>
            <w:r w:rsidR="00192346">
              <w:rPr>
                <w:noProof/>
                <w:webHidden/>
              </w:rPr>
              <w:fldChar w:fldCharType="separate"/>
            </w:r>
            <w:r w:rsidR="00192346">
              <w:rPr>
                <w:noProof/>
                <w:webHidden/>
              </w:rPr>
              <w:t>132</w:t>
            </w:r>
            <w:r w:rsidR="00192346">
              <w:rPr>
                <w:noProof/>
                <w:webHidden/>
              </w:rPr>
              <w:fldChar w:fldCharType="end"/>
            </w:r>
          </w:hyperlink>
        </w:p>
        <w:p w14:paraId="14D36C7E" w14:textId="2F50CDF3" w:rsidR="00192346" w:rsidRDefault="001E3EC2">
          <w:pPr>
            <w:pStyle w:val="Obsah1"/>
            <w:tabs>
              <w:tab w:val="left" w:pos="440"/>
              <w:tab w:val="right" w:leader="dot" w:pos="9050"/>
            </w:tabs>
            <w:rPr>
              <w:noProof/>
              <w:lang w:val="cs-CZ" w:eastAsia="cs-CZ"/>
            </w:rPr>
          </w:pPr>
          <w:hyperlink w:anchor="_Toc40877821" w:history="1">
            <w:r w:rsidR="00192346" w:rsidRPr="00421C3A">
              <w:rPr>
                <w:rStyle w:val="Hypertextovodkaz"/>
                <w:noProof/>
              </w:rPr>
              <w:t>7</w:t>
            </w:r>
            <w:r w:rsidR="00192346">
              <w:rPr>
                <w:noProof/>
                <w:lang w:val="cs-CZ" w:eastAsia="cs-CZ"/>
              </w:rPr>
              <w:tab/>
            </w:r>
            <w:r w:rsidR="00192346" w:rsidRPr="00421C3A">
              <w:rPr>
                <w:rStyle w:val="Hypertextovodkaz"/>
                <w:noProof/>
              </w:rPr>
              <w:t>SHRNUTÍ PRO VEŘEJNOST (čl. 50 odst. 9 nařízení (EU) č. 1303/2013)</w:t>
            </w:r>
            <w:r w:rsidR="00192346">
              <w:rPr>
                <w:noProof/>
                <w:webHidden/>
              </w:rPr>
              <w:tab/>
            </w:r>
            <w:r w:rsidR="00192346">
              <w:rPr>
                <w:noProof/>
                <w:webHidden/>
              </w:rPr>
              <w:fldChar w:fldCharType="begin"/>
            </w:r>
            <w:r w:rsidR="00192346">
              <w:rPr>
                <w:noProof/>
                <w:webHidden/>
              </w:rPr>
              <w:instrText xml:space="preserve"> PAGEREF _Toc40877821 \h </w:instrText>
            </w:r>
            <w:r w:rsidR="00192346">
              <w:rPr>
                <w:noProof/>
                <w:webHidden/>
              </w:rPr>
            </w:r>
            <w:r w:rsidR="00192346">
              <w:rPr>
                <w:noProof/>
                <w:webHidden/>
              </w:rPr>
              <w:fldChar w:fldCharType="separate"/>
            </w:r>
            <w:r w:rsidR="00192346">
              <w:rPr>
                <w:noProof/>
                <w:webHidden/>
              </w:rPr>
              <w:t>136</w:t>
            </w:r>
            <w:r w:rsidR="00192346">
              <w:rPr>
                <w:noProof/>
                <w:webHidden/>
              </w:rPr>
              <w:fldChar w:fldCharType="end"/>
            </w:r>
          </w:hyperlink>
        </w:p>
        <w:p w14:paraId="0DF5D85F" w14:textId="6108FA8A" w:rsidR="00192346" w:rsidRDefault="001E3EC2">
          <w:pPr>
            <w:pStyle w:val="Obsah1"/>
            <w:tabs>
              <w:tab w:val="left" w:pos="440"/>
              <w:tab w:val="right" w:leader="dot" w:pos="9050"/>
            </w:tabs>
            <w:rPr>
              <w:noProof/>
              <w:lang w:val="cs-CZ" w:eastAsia="cs-CZ"/>
            </w:rPr>
          </w:pPr>
          <w:hyperlink w:anchor="_Toc40877822" w:history="1">
            <w:r w:rsidR="00192346" w:rsidRPr="00421C3A">
              <w:rPr>
                <w:rStyle w:val="Hypertextovodkaz"/>
                <w:noProof/>
              </w:rPr>
              <w:t>8</w:t>
            </w:r>
            <w:r w:rsidR="00192346">
              <w:rPr>
                <w:noProof/>
                <w:lang w:val="cs-CZ" w:eastAsia="cs-CZ"/>
              </w:rPr>
              <w:tab/>
            </w:r>
            <w:r w:rsidR="00192346" w:rsidRPr="00421C3A">
              <w:rPr>
                <w:rStyle w:val="Hypertextovodkaz"/>
                <w:noProof/>
              </w:rPr>
              <w:t>ZPRÁVA O IMPLEMENTACI FINANČNÍCH NÁSTROJŮ (článek 46 nařízení (EU) č. 1303/2013)</w:t>
            </w:r>
            <w:r w:rsidR="00192346">
              <w:rPr>
                <w:noProof/>
                <w:webHidden/>
              </w:rPr>
              <w:tab/>
            </w:r>
            <w:r w:rsidR="00192346">
              <w:rPr>
                <w:noProof/>
                <w:webHidden/>
              </w:rPr>
              <w:fldChar w:fldCharType="begin"/>
            </w:r>
            <w:r w:rsidR="00192346">
              <w:rPr>
                <w:noProof/>
                <w:webHidden/>
              </w:rPr>
              <w:instrText xml:space="preserve"> PAGEREF _Toc40877822 \h </w:instrText>
            </w:r>
            <w:r w:rsidR="00192346">
              <w:rPr>
                <w:noProof/>
                <w:webHidden/>
              </w:rPr>
            </w:r>
            <w:r w:rsidR="00192346">
              <w:rPr>
                <w:noProof/>
                <w:webHidden/>
              </w:rPr>
              <w:fldChar w:fldCharType="separate"/>
            </w:r>
            <w:r w:rsidR="00192346">
              <w:rPr>
                <w:noProof/>
                <w:webHidden/>
              </w:rPr>
              <w:t>138</w:t>
            </w:r>
            <w:r w:rsidR="00192346">
              <w:rPr>
                <w:noProof/>
                <w:webHidden/>
              </w:rPr>
              <w:fldChar w:fldCharType="end"/>
            </w:r>
          </w:hyperlink>
        </w:p>
        <w:p w14:paraId="2B7A69A3" w14:textId="473FD6CD" w:rsidR="00192346" w:rsidRDefault="001E3EC2">
          <w:pPr>
            <w:pStyle w:val="Obsah1"/>
            <w:tabs>
              <w:tab w:val="left" w:pos="440"/>
              <w:tab w:val="right" w:leader="dot" w:pos="9050"/>
            </w:tabs>
            <w:rPr>
              <w:noProof/>
              <w:lang w:val="cs-CZ" w:eastAsia="cs-CZ"/>
            </w:rPr>
          </w:pPr>
          <w:hyperlink w:anchor="_Toc40877823" w:history="1">
            <w:r w:rsidR="00192346" w:rsidRPr="00421C3A">
              <w:rPr>
                <w:rStyle w:val="Hypertextovodkaz"/>
                <w:noProof/>
              </w:rPr>
              <w:t>9</w:t>
            </w:r>
            <w:r w:rsidR="00192346">
              <w:rPr>
                <w:noProof/>
                <w:lang w:val="cs-CZ" w:eastAsia="cs-CZ"/>
              </w:rPr>
              <w:tab/>
            </w:r>
            <w:r w:rsidR="00192346" w:rsidRPr="00421C3A">
              <w:rPr>
                <w:rStyle w:val="Hypertextovodkaz"/>
                <w:noProof/>
              </w:rPr>
              <w:t>Nepovinné u zprávy, která byla předložena v roce 2016, nevztahuje se na ostatní krátké zprávy: OPATŘENÍ PŘIJATÁ ZA ÚČELEM SPLNĚNÍ PŘEDBĚŽNÝCH PODMÍNEK (čl. 50 odst. 2 nařízení (EU) č. 1303/2013), pokud při přijetí OP nebyly splněny použitelné předběžné podmínky: (viz bod 13 vzoru)</w:t>
            </w:r>
            <w:r w:rsidR="00192346">
              <w:rPr>
                <w:noProof/>
                <w:webHidden/>
              </w:rPr>
              <w:tab/>
            </w:r>
            <w:r w:rsidR="00192346">
              <w:rPr>
                <w:noProof/>
                <w:webHidden/>
              </w:rPr>
              <w:fldChar w:fldCharType="begin"/>
            </w:r>
            <w:r w:rsidR="00192346">
              <w:rPr>
                <w:noProof/>
                <w:webHidden/>
              </w:rPr>
              <w:instrText xml:space="preserve"> PAGEREF _Toc40877823 \h </w:instrText>
            </w:r>
            <w:r w:rsidR="00192346">
              <w:rPr>
                <w:noProof/>
                <w:webHidden/>
              </w:rPr>
            </w:r>
            <w:r w:rsidR="00192346">
              <w:rPr>
                <w:noProof/>
                <w:webHidden/>
              </w:rPr>
              <w:fldChar w:fldCharType="separate"/>
            </w:r>
            <w:r w:rsidR="00192346">
              <w:rPr>
                <w:noProof/>
                <w:webHidden/>
              </w:rPr>
              <w:t>138</w:t>
            </w:r>
            <w:r w:rsidR="00192346">
              <w:rPr>
                <w:noProof/>
                <w:webHidden/>
              </w:rPr>
              <w:fldChar w:fldCharType="end"/>
            </w:r>
          </w:hyperlink>
        </w:p>
        <w:p w14:paraId="123363BD" w14:textId="6466B63B" w:rsidR="00192346" w:rsidRDefault="001E3EC2">
          <w:pPr>
            <w:pStyle w:val="Obsah1"/>
            <w:tabs>
              <w:tab w:val="left" w:pos="660"/>
              <w:tab w:val="right" w:leader="dot" w:pos="9050"/>
            </w:tabs>
            <w:rPr>
              <w:noProof/>
              <w:lang w:val="cs-CZ" w:eastAsia="cs-CZ"/>
            </w:rPr>
          </w:pPr>
          <w:hyperlink w:anchor="_Toc40877824" w:history="1">
            <w:r w:rsidR="00192346" w:rsidRPr="00421C3A">
              <w:rPr>
                <w:rStyle w:val="Hypertextovodkaz"/>
                <w:noProof/>
              </w:rPr>
              <w:t>10</w:t>
            </w:r>
            <w:r w:rsidR="00192346">
              <w:rPr>
                <w:noProof/>
                <w:lang w:val="cs-CZ" w:eastAsia="cs-CZ"/>
              </w:rPr>
              <w:tab/>
            </w:r>
            <w:r w:rsidR="00192346" w:rsidRPr="00421C3A">
              <w:rPr>
                <w:rStyle w:val="Hypertextovodkaz"/>
                <w:noProof/>
              </w:rPr>
              <w:t>POKROK PŘI PŘÍPRAVĚ A IMPLEMENTACI VELKÝCH PROJEKTŮ A SPOLEČNÝCH AKČNÍCH PLÁNŮ (čl. 101 písm. h) a čl. 111 odst. 3 nařízení (EU) č. 1303/2013)</w:t>
            </w:r>
            <w:r w:rsidR="00192346">
              <w:rPr>
                <w:noProof/>
                <w:webHidden/>
              </w:rPr>
              <w:tab/>
            </w:r>
            <w:r w:rsidR="00192346">
              <w:rPr>
                <w:noProof/>
                <w:webHidden/>
              </w:rPr>
              <w:fldChar w:fldCharType="begin"/>
            </w:r>
            <w:r w:rsidR="00192346">
              <w:rPr>
                <w:noProof/>
                <w:webHidden/>
              </w:rPr>
              <w:instrText xml:space="preserve"> PAGEREF _Toc40877824 \h </w:instrText>
            </w:r>
            <w:r w:rsidR="00192346">
              <w:rPr>
                <w:noProof/>
                <w:webHidden/>
              </w:rPr>
            </w:r>
            <w:r w:rsidR="00192346">
              <w:rPr>
                <w:noProof/>
                <w:webHidden/>
              </w:rPr>
              <w:fldChar w:fldCharType="separate"/>
            </w:r>
            <w:r w:rsidR="00192346">
              <w:rPr>
                <w:noProof/>
                <w:webHidden/>
              </w:rPr>
              <w:t>139</w:t>
            </w:r>
            <w:r w:rsidR="00192346">
              <w:rPr>
                <w:noProof/>
                <w:webHidden/>
              </w:rPr>
              <w:fldChar w:fldCharType="end"/>
            </w:r>
          </w:hyperlink>
        </w:p>
        <w:p w14:paraId="5886151D" w14:textId="0D90B913" w:rsidR="00192346" w:rsidRDefault="001E3EC2">
          <w:pPr>
            <w:pStyle w:val="Obsah2"/>
            <w:tabs>
              <w:tab w:val="left" w:pos="880"/>
              <w:tab w:val="right" w:leader="dot" w:pos="9050"/>
            </w:tabs>
            <w:rPr>
              <w:noProof/>
              <w:lang w:val="cs-CZ" w:eastAsia="cs-CZ"/>
            </w:rPr>
          </w:pPr>
          <w:hyperlink w:anchor="_Toc40877825" w:history="1">
            <w:r w:rsidR="00192346" w:rsidRPr="00421C3A">
              <w:rPr>
                <w:rStyle w:val="Hypertextovodkaz"/>
                <w:noProof/>
              </w:rPr>
              <w:t>10.1</w:t>
            </w:r>
            <w:r w:rsidR="00192346">
              <w:rPr>
                <w:noProof/>
                <w:lang w:val="cs-CZ" w:eastAsia="cs-CZ"/>
              </w:rPr>
              <w:tab/>
            </w:r>
            <w:r w:rsidR="00192346" w:rsidRPr="00421C3A">
              <w:rPr>
                <w:rStyle w:val="Hypertextovodkaz"/>
                <w:noProof/>
              </w:rPr>
              <w:t>Velké projekty – pro IROP nerelevantní</w:t>
            </w:r>
            <w:r w:rsidR="00192346">
              <w:rPr>
                <w:noProof/>
                <w:webHidden/>
              </w:rPr>
              <w:tab/>
            </w:r>
            <w:r w:rsidR="00192346">
              <w:rPr>
                <w:noProof/>
                <w:webHidden/>
              </w:rPr>
              <w:fldChar w:fldCharType="begin"/>
            </w:r>
            <w:r w:rsidR="00192346">
              <w:rPr>
                <w:noProof/>
                <w:webHidden/>
              </w:rPr>
              <w:instrText xml:space="preserve"> PAGEREF _Toc40877825 \h </w:instrText>
            </w:r>
            <w:r w:rsidR="00192346">
              <w:rPr>
                <w:noProof/>
                <w:webHidden/>
              </w:rPr>
            </w:r>
            <w:r w:rsidR="00192346">
              <w:rPr>
                <w:noProof/>
                <w:webHidden/>
              </w:rPr>
              <w:fldChar w:fldCharType="separate"/>
            </w:r>
            <w:r w:rsidR="00192346">
              <w:rPr>
                <w:noProof/>
                <w:webHidden/>
              </w:rPr>
              <w:t>139</w:t>
            </w:r>
            <w:r w:rsidR="00192346">
              <w:rPr>
                <w:noProof/>
                <w:webHidden/>
              </w:rPr>
              <w:fldChar w:fldCharType="end"/>
            </w:r>
          </w:hyperlink>
        </w:p>
        <w:p w14:paraId="2AE4D001" w14:textId="2ED311BE" w:rsidR="00192346" w:rsidRDefault="001E3EC2">
          <w:pPr>
            <w:pStyle w:val="Obsah2"/>
            <w:tabs>
              <w:tab w:val="left" w:pos="880"/>
              <w:tab w:val="right" w:leader="dot" w:pos="9050"/>
            </w:tabs>
            <w:rPr>
              <w:noProof/>
              <w:lang w:val="cs-CZ" w:eastAsia="cs-CZ"/>
            </w:rPr>
          </w:pPr>
          <w:hyperlink w:anchor="_Toc40877826" w:history="1">
            <w:r w:rsidR="00192346" w:rsidRPr="00421C3A">
              <w:rPr>
                <w:rStyle w:val="Hypertextovodkaz"/>
                <w:noProof/>
              </w:rPr>
              <w:t>10.2</w:t>
            </w:r>
            <w:r w:rsidR="00192346">
              <w:rPr>
                <w:noProof/>
                <w:lang w:val="cs-CZ" w:eastAsia="cs-CZ"/>
              </w:rPr>
              <w:tab/>
            </w:r>
            <w:r w:rsidR="00192346" w:rsidRPr="00421C3A">
              <w:rPr>
                <w:rStyle w:val="Hypertextovodkaz"/>
                <w:noProof/>
              </w:rPr>
              <w:t>Společné akční plány - pro IROP nerelevantní</w:t>
            </w:r>
            <w:r w:rsidR="00192346">
              <w:rPr>
                <w:noProof/>
                <w:webHidden/>
              </w:rPr>
              <w:tab/>
            </w:r>
            <w:r w:rsidR="00192346">
              <w:rPr>
                <w:noProof/>
                <w:webHidden/>
              </w:rPr>
              <w:fldChar w:fldCharType="begin"/>
            </w:r>
            <w:r w:rsidR="00192346">
              <w:rPr>
                <w:noProof/>
                <w:webHidden/>
              </w:rPr>
              <w:instrText xml:space="preserve"> PAGEREF _Toc40877826 \h </w:instrText>
            </w:r>
            <w:r w:rsidR="00192346">
              <w:rPr>
                <w:noProof/>
                <w:webHidden/>
              </w:rPr>
            </w:r>
            <w:r w:rsidR="00192346">
              <w:rPr>
                <w:noProof/>
                <w:webHidden/>
              </w:rPr>
              <w:fldChar w:fldCharType="separate"/>
            </w:r>
            <w:r w:rsidR="00192346">
              <w:rPr>
                <w:noProof/>
                <w:webHidden/>
              </w:rPr>
              <w:t>139</w:t>
            </w:r>
            <w:r w:rsidR="00192346">
              <w:rPr>
                <w:noProof/>
                <w:webHidden/>
              </w:rPr>
              <w:fldChar w:fldCharType="end"/>
            </w:r>
          </w:hyperlink>
        </w:p>
        <w:p w14:paraId="76C15EC5" w14:textId="2045BC27" w:rsidR="00E54D81" w:rsidRPr="00B4650D" w:rsidRDefault="00E54D81">
          <w:pPr>
            <w:rPr>
              <w:rFonts w:ascii="Arial" w:hAnsi="Arial" w:cs="Arial"/>
              <w:sz w:val="20"/>
            </w:rPr>
          </w:pPr>
          <w:r w:rsidRPr="00B4650D">
            <w:rPr>
              <w:rFonts w:ascii="Arial" w:hAnsi="Arial" w:cs="Arial"/>
              <w:b/>
              <w:bCs/>
              <w:sz w:val="20"/>
            </w:rPr>
            <w:fldChar w:fldCharType="end"/>
          </w:r>
        </w:p>
      </w:sdtContent>
    </w:sdt>
    <w:p w14:paraId="735D9EE1" w14:textId="77777777" w:rsidR="00E54D81" w:rsidRDefault="00E54D81">
      <w:pPr>
        <w:rPr>
          <w:rFonts w:ascii="Arial" w:eastAsiaTheme="majorEastAsia" w:hAnsi="Arial" w:cstheme="majorBidi"/>
          <w:color w:val="365F91" w:themeColor="accent1" w:themeShade="BF"/>
          <w:sz w:val="40"/>
          <w:szCs w:val="32"/>
        </w:rPr>
      </w:pPr>
      <w:r>
        <w:rPr>
          <w:rFonts w:ascii="Arial" w:eastAsiaTheme="majorEastAsia" w:hAnsi="Arial" w:cstheme="majorBidi"/>
          <w:color w:val="365F91" w:themeColor="accent1" w:themeShade="BF"/>
          <w:sz w:val="40"/>
          <w:szCs w:val="32"/>
        </w:rPr>
        <w:br w:type="page"/>
      </w:r>
    </w:p>
    <w:p w14:paraId="69A50C8E" w14:textId="77777777" w:rsidR="00533CD2" w:rsidRDefault="0046046C" w:rsidP="00B4650D">
      <w:pPr>
        <w:pStyle w:val="Nadpis1"/>
        <w:numPr>
          <w:ilvl w:val="0"/>
          <w:numId w:val="0"/>
        </w:numPr>
        <w:ind w:left="432" w:hanging="432"/>
      </w:pPr>
      <w:bookmarkStart w:id="2" w:name="_Toc40877810"/>
      <w:r>
        <w:t>Základní informace</w:t>
      </w:r>
      <w:bookmarkEnd w:id="1"/>
      <w:bookmarkEnd w:id="2"/>
    </w:p>
    <w:p w14:paraId="7BDF964C" w14:textId="77777777" w:rsidR="00E54D81" w:rsidRPr="00E54D81" w:rsidRDefault="00E54D81" w:rsidP="00E54D81"/>
    <w:p w14:paraId="4B95E555" w14:textId="77777777" w:rsidR="00533CD2" w:rsidRDefault="0046046C">
      <w:pPr>
        <w:spacing w:after="120" w:line="312" w:lineRule="auto"/>
        <w:ind w:left="111" w:right="105"/>
        <w:jc w:val="both"/>
        <w:rPr>
          <w:rFonts w:ascii="Arial" w:eastAsia="Arial" w:hAnsi="Arial" w:cs="Arial"/>
          <w:color w:val="000000"/>
          <w:sz w:val="20"/>
        </w:rPr>
      </w:pPr>
      <w:r>
        <w:rPr>
          <w:rFonts w:ascii="Arial" w:eastAsia="Arial" w:hAnsi="Arial" w:cs="Arial"/>
          <w:b/>
          <w:bCs/>
          <w:color w:val="000000"/>
          <w:sz w:val="20"/>
        </w:rPr>
        <w:t xml:space="preserve">Sledované období </w:t>
      </w:r>
      <w:proofErr w:type="gramStart"/>
      <w:r>
        <w:rPr>
          <w:rFonts w:ascii="Arial" w:eastAsia="Arial" w:hAnsi="Arial" w:cs="Arial"/>
          <w:b/>
          <w:bCs/>
          <w:color w:val="000000"/>
          <w:sz w:val="20"/>
        </w:rPr>
        <w:t>od</w:t>
      </w:r>
      <w:proofErr w:type="gramEnd"/>
      <w:r>
        <w:rPr>
          <w:rFonts w:ascii="Arial" w:eastAsia="Arial" w:hAnsi="Arial" w:cs="Arial"/>
          <w:color w:val="000000"/>
          <w:sz w:val="20"/>
        </w:rPr>
        <w:t>:</w:t>
      </w:r>
      <w:r>
        <w:rPr>
          <w:rFonts w:ascii="Arial" w:eastAsia="Arial" w:hAnsi="Arial" w:cs="Arial"/>
          <w:color w:val="000000"/>
          <w:sz w:val="20"/>
        </w:rPr>
        <w:tab/>
        <w:t>01. 01. 2014</w:t>
      </w:r>
    </w:p>
    <w:p w14:paraId="508BD44E" w14:textId="77777777" w:rsidR="00533CD2" w:rsidRDefault="0046046C">
      <w:pPr>
        <w:spacing w:after="120" w:line="312" w:lineRule="auto"/>
        <w:ind w:left="111" w:right="105"/>
        <w:jc w:val="both"/>
        <w:rPr>
          <w:rFonts w:ascii="Arial" w:eastAsia="Arial" w:hAnsi="Arial" w:cs="Arial"/>
          <w:color w:val="000000"/>
          <w:sz w:val="20"/>
        </w:rPr>
      </w:pPr>
      <w:r>
        <w:rPr>
          <w:rFonts w:ascii="Arial" w:eastAsia="Arial" w:hAnsi="Arial" w:cs="Arial"/>
          <w:b/>
          <w:bCs/>
          <w:color w:val="000000"/>
          <w:sz w:val="20"/>
        </w:rPr>
        <w:t>Sledované období do</w:t>
      </w:r>
      <w:r>
        <w:rPr>
          <w:rFonts w:ascii="Arial" w:eastAsia="Arial" w:hAnsi="Arial" w:cs="Arial"/>
          <w:color w:val="000000"/>
          <w:sz w:val="20"/>
        </w:rPr>
        <w:t>:</w:t>
      </w:r>
      <w:r>
        <w:rPr>
          <w:rFonts w:ascii="Arial" w:eastAsia="Arial" w:hAnsi="Arial" w:cs="Arial"/>
          <w:color w:val="000000"/>
          <w:sz w:val="20"/>
        </w:rPr>
        <w:tab/>
        <w:t>31. 12. 2019</w:t>
      </w:r>
    </w:p>
    <w:p w14:paraId="1F5C99CB" w14:textId="77777777" w:rsidR="00533CD2" w:rsidRDefault="0046046C">
      <w:pPr>
        <w:spacing w:after="120" w:line="312" w:lineRule="auto"/>
        <w:ind w:left="111" w:right="105"/>
        <w:jc w:val="both"/>
        <w:rPr>
          <w:rFonts w:ascii="Arial" w:eastAsia="Arial" w:hAnsi="Arial" w:cs="Arial"/>
          <w:b/>
          <w:bCs/>
          <w:color w:val="000000"/>
          <w:sz w:val="20"/>
        </w:rPr>
      </w:pPr>
      <w:r>
        <w:rPr>
          <w:rFonts w:ascii="Arial" w:eastAsia="Arial" w:hAnsi="Arial" w:cs="Arial"/>
          <w:b/>
          <w:bCs/>
          <w:color w:val="000000"/>
          <w:sz w:val="20"/>
        </w:rPr>
        <w:t>Kontaktní údaje ve věci zprávy:</w:t>
      </w:r>
    </w:p>
    <w:p w14:paraId="3E84B1F9" w14:textId="77777777" w:rsidR="00533CD2" w:rsidRDefault="0046046C">
      <w:pPr>
        <w:spacing w:after="120" w:line="312" w:lineRule="auto"/>
        <w:ind w:left="111" w:right="105"/>
        <w:jc w:val="both"/>
        <w:rPr>
          <w:rFonts w:ascii="Arial" w:eastAsia="Arial" w:hAnsi="Arial" w:cs="Arial"/>
          <w:color w:val="000000"/>
          <w:sz w:val="20"/>
        </w:rPr>
      </w:pPr>
      <w:r>
        <w:rPr>
          <w:rFonts w:ascii="Arial" w:eastAsia="Arial" w:hAnsi="Arial" w:cs="Arial"/>
          <w:color w:val="000000"/>
          <w:sz w:val="20"/>
        </w:rPr>
        <w:t>Jméno: Rostislav</w:t>
      </w:r>
    </w:p>
    <w:p w14:paraId="03AC8443" w14:textId="77777777" w:rsidR="00533CD2" w:rsidRDefault="0046046C">
      <w:pPr>
        <w:spacing w:after="120" w:line="312" w:lineRule="auto"/>
        <w:ind w:left="111" w:right="105"/>
        <w:jc w:val="both"/>
        <w:rPr>
          <w:rFonts w:ascii="Arial" w:eastAsia="Arial" w:hAnsi="Arial" w:cs="Arial"/>
          <w:color w:val="000000"/>
          <w:sz w:val="20"/>
        </w:rPr>
      </w:pPr>
      <w:r>
        <w:rPr>
          <w:rFonts w:ascii="Arial" w:eastAsia="Arial" w:hAnsi="Arial" w:cs="Arial"/>
          <w:color w:val="000000"/>
          <w:sz w:val="20"/>
        </w:rPr>
        <w:t>Příjmení: Mazal</w:t>
      </w:r>
    </w:p>
    <w:p w14:paraId="0C5AB9E9" w14:textId="77777777" w:rsidR="00533CD2" w:rsidRDefault="0046046C">
      <w:pPr>
        <w:spacing w:after="120" w:line="312" w:lineRule="auto"/>
        <w:ind w:left="111" w:right="105"/>
        <w:jc w:val="both"/>
        <w:rPr>
          <w:rFonts w:ascii="Arial" w:eastAsia="Arial" w:hAnsi="Arial" w:cs="Arial"/>
          <w:color w:val="000000"/>
          <w:sz w:val="20"/>
        </w:rPr>
      </w:pPr>
      <w:r>
        <w:rPr>
          <w:rFonts w:ascii="Arial" w:eastAsia="Arial" w:hAnsi="Arial" w:cs="Arial"/>
          <w:b/>
          <w:bCs/>
          <w:color w:val="000000"/>
          <w:sz w:val="20"/>
        </w:rPr>
        <w:t>Zdroj dat</w:t>
      </w:r>
      <w:r>
        <w:rPr>
          <w:rFonts w:ascii="Arial" w:eastAsia="Arial" w:hAnsi="Arial" w:cs="Arial"/>
          <w:color w:val="000000"/>
          <w:sz w:val="20"/>
        </w:rPr>
        <w:t xml:space="preserve">: MS2014+ </w:t>
      </w:r>
    </w:p>
    <w:p w14:paraId="0F9AE2A2" w14:textId="77777777" w:rsidR="00533CD2" w:rsidRDefault="0046046C">
      <w:pPr>
        <w:spacing w:after="120" w:line="312" w:lineRule="auto"/>
        <w:ind w:left="2235" w:right="105" w:hanging="2124"/>
        <w:jc w:val="both"/>
        <w:rPr>
          <w:rFonts w:ascii="Arial" w:eastAsia="Arial" w:hAnsi="Arial" w:cs="Arial"/>
          <w:color w:val="000000"/>
          <w:sz w:val="20"/>
        </w:rPr>
      </w:pPr>
      <w:r>
        <w:rPr>
          <w:rFonts w:ascii="Arial" w:eastAsia="Arial" w:hAnsi="Arial" w:cs="Arial"/>
          <w:b/>
          <w:bCs/>
          <w:color w:val="000000"/>
          <w:sz w:val="20"/>
        </w:rPr>
        <w:t xml:space="preserve">Data platná </w:t>
      </w:r>
      <w:proofErr w:type="gramStart"/>
      <w:r>
        <w:rPr>
          <w:rFonts w:ascii="Arial" w:eastAsia="Arial" w:hAnsi="Arial" w:cs="Arial"/>
          <w:b/>
          <w:bCs/>
          <w:color w:val="000000"/>
          <w:sz w:val="20"/>
        </w:rPr>
        <w:t>od</w:t>
      </w:r>
      <w:proofErr w:type="gramEnd"/>
      <w:r>
        <w:rPr>
          <w:rFonts w:ascii="Arial" w:eastAsia="Arial" w:hAnsi="Arial" w:cs="Arial"/>
          <w:color w:val="000000"/>
          <w:sz w:val="20"/>
        </w:rPr>
        <w:t>: 01. 01. 2014</w:t>
      </w:r>
    </w:p>
    <w:p w14:paraId="43F5232A" w14:textId="77777777" w:rsidR="00533CD2" w:rsidRDefault="0046046C">
      <w:pPr>
        <w:spacing w:after="120" w:line="312" w:lineRule="auto"/>
        <w:ind w:left="2235" w:right="105" w:hanging="2124"/>
        <w:jc w:val="both"/>
        <w:rPr>
          <w:rFonts w:ascii="Arial" w:eastAsia="Arial" w:hAnsi="Arial" w:cs="Arial"/>
          <w:color w:val="000000"/>
          <w:sz w:val="20"/>
        </w:rPr>
      </w:pPr>
      <w:r>
        <w:rPr>
          <w:rFonts w:ascii="Arial" w:eastAsia="Arial" w:hAnsi="Arial" w:cs="Arial"/>
          <w:b/>
          <w:bCs/>
          <w:color w:val="000000"/>
          <w:sz w:val="20"/>
        </w:rPr>
        <w:t>Data platná k</w:t>
      </w:r>
      <w:r>
        <w:rPr>
          <w:rFonts w:ascii="Arial" w:eastAsia="Arial" w:hAnsi="Arial" w:cs="Arial"/>
          <w:color w:val="000000"/>
          <w:sz w:val="20"/>
        </w:rPr>
        <w:t>: 31. 12. 2019</w:t>
      </w:r>
    </w:p>
    <w:p w14:paraId="2E52D295" w14:textId="77777777" w:rsidR="00533CD2" w:rsidRDefault="0046046C">
      <w:pPr>
        <w:spacing w:after="120" w:line="312" w:lineRule="auto"/>
        <w:ind w:left="111" w:right="105"/>
        <w:jc w:val="both"/>
        <w:rPr>
          <w:rFonts w:ascii="Arial" w:eastAsia="Arial" w:hAnsi="Arial" w:cs="Arial"/>
          <w:color w:val="000000"/>
          <w:sz w:val="20"/>
        </w:rPr>
      </w:pPr>
      <w:r>
        <w:rPr>
          <w:rFonts w:ascii="Arial" w:eastAsia="Arial" w:hAnsi="Arial" w:cs="Arial"/>
          <w:b/>
          <w:bCs/>
          <w:color w:val="000000"/>
          <w:sz w:val="20"/>
        </w:rPr>
        <w:t>Datum generování</w:t>
      </w:r>
      <w:r>
        <w:rPr>
          <w:rFonts w:ascii="Arial" w:eastAsia="Arial" w:hAnsi="Arial" w:cs="Arial"/>
          <w:color w:val="000000"/>
          <w:sz w:val="20"/>
        </w:rPr>
        <w:t>: 02. 03. 2020</w:t>
      </w:r>
    </w:p>
    <w:p w14:paraId="3A656D2E" w14:textId="77777777" w:rsidR="00533CD2" w:rsidRDefault="0046046C">
      <w:r>
        <w:br w:type="page"/>
      </w:r>
    </w:p>
    <w:p w14:paraId="601A4963" w14:textId="77777777" w:rsidR="00533CD2" w:rsidRDefault="0046046C" w:rsidP="007429C8">
      <w:pPr>
        <w:pStyle w:val="Nadpis1"/>
        <w:numPr>
          <w:ilvl w:val="0"/>
          <w:numId w:val="14"/>
        </w:numPr>
      </w:pPr>
      <w:bookmarkStart w:id="3" w:name="_Toc40877811"/>
      <w:r w:rsidRPr="00E54D81">
        <w:t>IDENTIFIKACE VÝROČNÍ/ZÁVĚREČNÉ ZPRÁVY O</w:t>
      </w:r>
      <w:r>
        <w:t xml:space="preserve"> IMPLEMENTACI</w:t>
      </w:r>
      <w:bookmarkEnd w:id="3"/>
    </w:p>
    <w:p w14:paraId="6B7E4656" w14:textId="77777777" w:rsidR="002433A0" w:rsidRPr="002433A0" w:rsidRDefault="002433A0" w:rsidP="002433A0"/>
    <w:tbl>
      <w:tblPr>
        <w:tblW w:w="0" w:type="auto"/>
        <w:tblInd w:w="3" w:type="dxa"/>
        <w:tblLayout w:type="fixed"/>
        <w:tblCellMar>
          <w:left w:w="0" w:type="dxa"/>
          <w:right w:w="0" w:type="dxa"/>
        </w:tblCellMar>
        <w:tblLook w:val="04A0" w:firstRow="1" w:lastRow="0" w:firstColumn="1" w:lastColumn="0" w:noHBand="0" w:noVBand="1"/>
      </w:tblPr>
      <w:tblGrid>
        <w:gridCol w:w="2943"/>
        <w:gridCol w:w="6096"/>
      </w:tblGrid>
      <w:tr w:rsidR="00533CD2" w14:paraId="3A708312" w14:textId="77777777">
        <w:trPr>
          <w:cantSplit/>
        </w:trPr>
        <w:tc>
          <w:tcPr>
            <w:tcW w:w="29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5D363E" w14:textId="77777777" w:rsidR="00533CD2" w:rsidRDefault="0046046C">
            <w:pPr>
              <w:keepLines/>
              <w:spacing w:before="120"/>
              <w:ind w:left="108" w:right="108"/>
              <w:rPr>
                <w:rFonts w:ascii="Arial" w:eastAsia="Arial" w:hAnsi="Arial" w:cs="Arial"/>
                <w:color w:val="000000"/>
              </w:rPr>
            </w:pPr>
            <w:r>
              <w:rPr>
                <w:rFonts w:ascii="Arial" w:eastAsia="Arial" w:hAnsi="Arial" w:cs="Arial"/>
                <w:color w:val="000000"/>
              </w:rPr>
              <w:t>CCI</w:t>
            </w:r>
          </w:p>
        </w:tc>
        <w:tc>
          <w:tcPr>
            <w:tcW w:w="60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F6E309" w14:textId="77777777" w:rsidR="00533CD2" w:rsidRDefault="0046046C">
            <w:pPr>
              <w:keepLines/>
              <w:spacing w:before="120"/>
              <w:ind w:left="108" w:right="108"/>
              <w:rPr>
                <w:rFonts w:ascii="Arial" w:eastAsia="Arial" w:hAnsi="Arial" w:cs="Arial"/>
                <w:color w:val="000000"/>
                <w:sz w:val="20"/>
              </w:rPr>
            </w:pPr>
            <w:r>
              <w:rPr>
                <w:rFonts w:ascii="Arial" w:eastAsia="Arial" w:hAnsi="Arial" w:cs="Arial"/>
                <w:color w:val="000000"/>
                <w:sz w:val="20"/>
              </w:rPr>
              <w:t>2014CZ16RFOP002</w:t>
            </w:r>
          </w:p>
        </w:tc>
      </w:tr>
      <w:tr w:rsidR="00533CD2" w14:paraId="4E0B3481" w14:textId="77777777">
        <w:trPr>
          <w:cantSplit/>
        </w:trPr>
        <w:tc>
          <w:tcPr>
            <w:tcW w:w="29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61293A" w14:textId="77777777" w:rsidR="00533CD2" w:rsidRDefault="0046046C">
            <w:pPr>
              <w:keepLines/>
              <w:spacing w:before="120"/>
              <w:ind w:left="108" w:right="108"/>
              <w:rPr>
                <w:rFonts w:ascii="Arial" w:eastAsia="Arial" w:hAnsi="Arial" w:cs="Arial"/>
                <w:color w:val="000000"/>
              </w:rPr>
            </w:pPr>
            <w:r>
              <w:rPr>
                <w:rFonts w:ascii="Arial" w:eastAsia="Arial" w:hAnsi="Arial" w:cs="Arial"/>
                <w:color w:val="000000"/>
              </w:rPr>
              <w:t>Název</w:t>
            </w:r>
          </w:p>
        </w:tc>
        <w:tc>
          <w:tcPr>
            <w:tcW w:w="60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7747D2" w14:textId="77777777" w:rsidR="00533CD2" w:rsidRDefault="0046046C">
            <w:pPr>
              <w:keepLines/>
              <w:spacing w:before="120"/>
              <w:ind w:left="108" w:right="108"/>
              <w:rPr>
                <w:rFonts w:ascii="Arial" w:eastAsia="Arial" w:hAnsi="Arial" w:cs="Arial"/>
                <w:color w:val="000000"/>
                <w:sz w:val="20"/>
              </w:rPr>
            </w:pPr>
            <w:r>
              <w:rPr>
                <w:rFonts w:ascii="Arial" w:eastAsia="Arial" w:hAnsi="Arial" w:cs="Arial"/>
                <w:color w:val="000000"/>
                <w:sz w:val="20"/>
              </w:rPr>
              <w:t>Výroční zpráva o implementaci programu 06 Integrovaný regionální operační program za rok 2019</w:t>
            </w:r>
          </w:p>
        </w:tc>
      </w:tr>
      <w:tr w:rsidR="00533CD2" w14:paraId="0CA1BE67" w14:textId="77777777">
        <w:trPr>
          <w:cantSplit/>
        </w:trPr>
        <w:tc>
          <w:tcPr>
            <w:tcW w:w="29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EA2463" w14:textId="77777777" w:rsidR="00533CD2" w:rsidRDefault="0046046C">
            <w:pPr>
              <w:keepLines/>
              <w:spacing w:before="120"/>
              <w:ind w:left="108" w:right="108"/>
              <w:rPr>
                <w:rFonts w:ascii="Arial" w:eastAsia="Arial" w:hAnsi="Arial" w:cs="Arial"/>
                <w:color w:val="000000"/>
              </w:rPr>
            </w:pPr>
            <w:r>
              <w:rPr>
                <w:rFonts w:ascii="Arial" w:eastAsia="Arial" w:hAnsi="Arial" w:cs="Arial"/>
                <w:color w:val="000000"/>
              </w:rPr>
              <w:t>Verze</w:t>
            </w:r>
          </w:p>
        </w:tc>
        <w:tc>
          <w:tcPr>
            <w:tcW w:w="60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82B68B" w14:textId="77777777" w:rsidR="00533CD2" w:rsidRDefault="00533CD2">
            <w:pPr>
              <w:keepLines/>
              <w:ind w:left="108" w:right="108"/>
            </w:pPr>
          </w:p>
        </w:tc>
      </w:tr>
      <w:tr w:rsidR="00533CD2" w14:paraId="0A692392" w14:textId="77777777">
        <w:trPr>
          <w:cantSplit/>
        </w:trPr>
        <w:tc>
          <w:tcPr>
            <w:tcW w:w="29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1228F8" w14:textId="77777777" w:rsidR="00533CD2" w:rsidRDefault="0046046C">
            <w:pPr>
              <w:keepLines/>
              <w:spacing w:before="120"/>
              <w:ind w:left="108" w:right="108"/>
              <w:rPr>
                <w:rFonts w:ascii="Arial" w:eastAsia="Arial" w:hAnsi="Arial" w:cs="Arial"/>
                <w:color w:val="000000"/>
              </w:rPr>
            </w:pPr>
            <w:r>
              <w:rPr>
                <w:rFonts w:ascii="Arial" w:eastAsia="Arial" w:hAnsi="Arial" w:cs="Arial"/>
                <w:color w:val="000000"/>
              </w:rPr>
              <w:t>Vykazovaný rok</w:t>
            </w:r>
          </w:p>
        </w:tc>
        <w:tc>
          <w:tcPr>
            <w:tcW w:w="60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BA8ABC" w14:textId="77777777" w:rsidR="00533CD2" w:rsidRDefault="0046046C">
            <w:pPr>
              <w:keepLines/>
              <w:spacing w:before="120"/>
              <w:ind w:left="108" w:right="108"/>
              <w:rPr>
                <w:rFonts w:ascii="Arial" w:eastAsia="Arial" w:hAnsi="Arial" w:cs="Arial"/>
                <w:color w:val="000000"/>
                <w:sz w:val="20"/>
              </w:rPr>
            </w:pPr>
            <w:r>
              <w:rPr>
                <w:rFonts w:ascii="Arial" w:eastAsia="Arial" w:hAnsi="Arial" w:cs="Arial"/>
                <w:color w:val="000000"/>
                <w:sz w:val="20"/>
              </w:rPr>
              <w:t>2019</w:t>
            </w:r>
          </w:p>
        </w:tc>
      </w:tr>
      <w:tr w:rsidR="00533CD2" w14:paraId="21403FEB" w14:textId="77777777">
        <w:trPr>
          <w:cantSplit/>
        </w:trPr>
        <w:tc>
          <w:tcPr>
            <w:tcW w:w="29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864046" w14:textId="77777777" w:rsidR="00533CD2" w:rsidRDefault="0046046C">
            <w:pPr>
              <w:keepLines/>
              <w:spacing w:before="120"/>
              <w:ind w:left="108" w:right="108"/>
              <w:rPr>
                <w:rFonts w:ascii="Arial" w:eastAsia="Arial" w:hAnsi="Arial" w:cs="Arial"/>
                <w:color w:val="000000"/>
              </w:rPr>
            </w:pPr>
            <w:r>
              <w:rPr>
                <w:rFonts w:ascii="Arial" w:eastAsia="Arial" w:hAnsi="Arial" w:cs="Arial"/>
                <w:color w:val="000000"/>
              </w:rPr>
              <w:t>Datum schválení zprávy monitorovacím výborem</w:t>
            </w:r>
          </w:p>
        </w:tc>
        <w:tc>
          <w:tcPr>
            <w:tcW w:w="60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5CAC05" w14:textId="77777777" w:rsidR="00533CD2" w:rsidRDefault="00533CD2">
            <w:pPr>
              <w:keepLines/>
              <w:spacing w:before="120"/>
              <w:ind w:left="108" w:right="108"/>
              <w:rPr>
                <w:rFonts w:ascii="Arial" w:eastAsia="Arial" w:hAnsi="Arial" w:cs="Arial"/>
                <w:color w:val="000000"/>
                <w:sz w:val="20"/>
              </w:rPr>
            </w:pPr>
          </w:p>
        </w:tc>
      </w:tr>
    </w:tbl>
    <w:p w14:paraId="38E0D6D7" w14:textId="77777777" w:rsidR="00533CD2" w:rsidRPr="00E54D81" w:rsidRDefault="0046046C" w:rsidP="004C6641">
      <w:pPr>
        <w:pStyle w:val="Nadpis1"/>
      </w:pPr>
      <w:bookmarkStart w:id="4" w:name="_Toc40877812"/>
      <w:r w:rsidRPr="00E54D81">
        <w:t>PŘEHLED IMPLEMENTACE OPERAČNÍHO PROGRAMU (čl. 50 odst. 2 a čl. 111 odst. 3 písm. a) nařízení (EU) č. 1303/2013)</w:t>
      </w:r>
      <w:bookmarkEnd w:id="4"/>
    </w:p>
    <w:p w14:paraId="249EBFFD" w14:textId="77777777" w:rsidR="00A06E8C" w:rsidRDefault="0046046C" w:rsidP="00A06E8C">
      <w:pPr>
        <w:spacing w:after="120" w:line="360" w:lineRule="auto"/>
        <w:ind w:left="111" w:right="105"/>
        <w:jc w:val="both"/>
      </w:pPr>
      <w:r>
        <w:br/>
      </w:r>
      <w:r>
        <w:rPr>
          <w:rFonts w:ascii="Arial" w:eastAsia="Arial" w:hAnsi="Arial" w:cs="Arial"/>
          <w:color w:val="000000"/>
          <w:sz w:val="20"/>
        </w:rPr>
        <w:t xml:space="preserve">Integrovaný regionální operační program (IROP) navazuje částečně </w:t>
      </w:r>
      <w:proofErr w:type="gramStart"/>
      <w:r>
        <w:rPr>
          <w:rFonts w:ascii="Arial" w:eastAsia="Arial" w:hAnsi="Arial" w:cs="Arial"/>
          <w:color w:val="000000"/>
          <w:sz w:val="20"/>
        </w:rPr>
        <w:t>na</w:t>
      </w:r>
      <w:proofErr w:type="gramEnd"/>
      <w:r>
        <w:rPr>
          <w:rFonts w:ascii="Arial" w:eastAsia="Arial" w:hAnsi="Arial" w:cs="Arial"/>
          <w:color w:val="000000"/>
          <w:sz w:val="20"/>
        </w:rPr>
        <w:t xml:space="preserve"> sedm regionálních operačních programů a na Integrovaný operační program z programového období 2007-2013. Prioritou IROP je umožnění vyváženého rozvoje území, zkvalitnění infrastruktury, zlepšení veřejných služeb a veřejné správy a zajištění udržitelného rozvoje v obcích, městech a regionech. Cílem IROP je posílení regionální konkurenceschopnosti a kvality života obyvatel prostřednictvím propojení intervencí národního i regionálního charakteru s významným dopadem do území.</w:t>
      </w:r>
      <w:r w:rsidR="00A06E8C">
        <w:br/>
      </w:r>
    </w:p>
    <w:p w14:paraId="29256C04" w14:textId="717B414A" w:rsidR="00147A52" w:rsidRDefault="0046046C" w:rsidP="00E806C4">
      <w:pPr>
        <w:spacing w:after="120" w:line="360" w:lineRule="auto"/>
        <w:ind w:left="111" w:right="105"/>
        <w:jc w:val="both"/>
        <w:rPr>
          <w:rFonts w:ascii="Arial" w:eastAsia="Arial" w:hAnsi="Arial" w:cs="Arial"/>
          <w:b/>
          <w:color w:val="000000"/>
          <w:sz w:val="20"/>
        </w:rPr>
      </w:pPr>
      <w:r>
        <w:rPr>
          <w:rFonts w:ascii="Arial" w:eastAsia="Arial" w:hAnsi="Arial" w:cs="Arial"/>
          <w:color w:val="000000"/>
          <w:sz w:val="20"/>
        </w:rPr>
        <w:t>Výroční zpráva o implementaci Integrovaného regionální operačního programu za rok 2019 (VZ IROP 2019) představuje informace o průběhu implementace IROP za období do 31. 12. 2019. Pro přepočet korunových údajů byl použit kurz Evropské centrální banky 25,574 CZK/EUR z prosince 2019.</w:t>
      </w:r>
      <w:r>
        <w:br/>
      </w:r>
      <w:r>
        <w:br/>
      </w:r>
      <w:r w:rsidR="002433A0" w:rsidRPr="002433A0">
        <w:rPr>
          <w:rFonts w:ascii="Arial" w:eastAsia="Arial" w:hAnsi="Arial" w:cs="Arial"/>
          <w:b/>
          <w:color w:val="000000"/>
          <w:sz w:val="20"/>
        </w:rPr>
        <w:t xml:space="preserve">Stav realizace </w:t>
      </w:r>
      <w:r w:rsidR="00147A52">
        <w:rPr>
          <w:rFonts w:ascii="Arial" w:eastAsia="Arial" w:hAnsi="Arial" w:cs="Arial"/>
          <w:b/>
          <w:color w:val="000000"/>
          <w:sz w:val="20"/>
        </w:rPr>
        <w:t>programu</w:t>
      </w:r>
    </w:p>
    <w:p w14:paraId="79380421" w14:textId="3162D83D" w:rsidR="00A06E8C" w:rsidRPr="00E806C4" w:rsidRDefault="0046046C" w:rsidP="00E806C4">
      <w:pPr>
        <w:spacing w:after="120" w:line="360" w:lineRule="auto"/>
        <w:ind w:left="111" w:right="105"/>
        <w:jc w:val="both"/>
      </w:pPr>
      <w:r>
        <w:rPr>
          <w:rFonts w:ascii="Arial" w:eastAsia="Arial" w:hAnsi="Arial" w:cs="Arial"/>
          <w:color w:val="000000"/>
          <w:sz w:val="20"/>
        </w:rPr>
        <w:t>K 31. 12. 2019 vyhlásil Řídicí orgán IROP (Mi</w:t>
      </w:r>
      <w:r w:rsidR="00DE29DB">
        <w:rPr>
          <w:rFonts w:ascii="Arial" w:eastAsia="Arial" w:hAnsi="Arial" w:cs="Arial"/>
          <w:color w:val="000000"/>
          <w:sz w:val="20"/>
        </w:rPr>
        <w:t>nisterstvo pro místní rozvoj) 9</w:t>
      </w:r>
      <w:r w:rsidR="00291606">
        <w:rPr>
          <w:rFonts w:ascii="Arial" w:eastAsia="Arial" w:hAnsi="Arial" w:cs="Arial"/>
          <w:color w:val="000000"/>
          <w:sz w:val="20"/>
        </w:rPr>
        <w:t>2</w:t>
      </w:r>
      <w:r>
        <w:rPr>
          <w:rFonts w:ascii="Arial" w:eastAsia="Arial" w:hAnsi="Arial" w:cs="Arial"/>
          <w:color w:val="000000"/>
          <w:sz w:val="20"/>
        </w:rPr>
        <w:t xml:space="preserve"> výzev pro předkládání žádostí o po</w:t>
      </w:r>
      <w:r w:rsidR="004237E3">
        <w:rPr>
          <w:rFonts w:ascii="Arial" w:eastAsia="Arial" w:hAnsi="Arial" w:cs="Arial"/>
          <w:color w:val="000000"/>
          <w:sz w:val="20"/>
        </w:rPr>
        <w:t>dporu v objemu 7</w:t>
      </w:r>
      <w:r w:rsidR="00DE29DB">
        <w:rPr>
          <w:rFonts w:ascii="Arial" w:eastAsia="Arial" w:hAnsi="Arial" w:cs="Arial"/>
          <w:color w:val="000000"/>
          <w:sz w:val="20"/>
        </w:rPr>
        <w:t xml:space="preserve"> </w:t>
      </w:r>
      <w:proofErr w:type="gramStart"/>
      <w:r w:rsidR="00DE29DB">
        <w:rPr>
          <w:rFonts w:ascii="Arial" w:eastAsia="Arial" w:hAnsi="Arial" w:cs="Arial"/>
          <w:color w:val="000000"/>
          <w:sz w:val="20"/>
        </w:rPr>
        <w:t>mld</w:t>
      </w:r>
      <w:proofErr w:type="gramEnd"/>
      <w:r w:rsidR="00DE29DB">
        <w:rPr>
          <w:rFonts w:ascii="Arial" w:eastAsia="Arial" w:hAnsi="Arial" w:cs="Arial"/>
          <w:color w:val="000000"/>
          <w:sz w:val="20"/>
        </w:rPr>
        <w:t>. EUR (179</w:t>
      </w:r>
      <w:proofErr w:type="gramStart"/>
      <w:r>
        <w:rPr>
          <w:rFonts w:ascii="Arial" w:eastAsia="Arial" w:hAnsi="Arial" w:cs="Arial"/>
          <w:color w:val="000000"/>
          <w:sz w:val="20"/>
        </w:rPr>
        <w:t>,6</w:t>
      </w:r>
      <w:proofErr w:type="gramEnd"/>
      <w:r>
        <w:rPr>
          <w:rFonts w:ascii="Arial" w:eastAsia="Arial" w:hAnsi="Arial" w:cs="Arial"/>
          <w:color w:val="000000"/>
          <w:sz w:val="20"/>
        </w:rPr>
        <w:t xml:space="preserve"> mld. Kč) CZV (celkové způsobilé výdaje, </w:t>
      </w:r>
      <w:proofErr w:type="gramStart"/>
      <w:r>
        <w:rPr>
          <w:rFonts w:ascii="Arial" w:eastAsia="Arial" w:hAnsi="Arial" w:cs="Arial"/>
          <w:color w:val="000000"/>
          <w:sz w:val="20"/>
        </w:rPr>
        <w:t>pozn.:</w:t>
      </w:r>
      <w:proofErr w:type="gramEnd"/>
      <w:r>
        <w:rPr>
          <w:rFonts w:ascii="Arial" w:eastAsia="Arial" w:hAnsi="Arial" w:cs="Arial"/>
          <w:color w:val="000000"/>
          <w:sz w:val="20"/>
        </w:rPr>
        <w:t xml:space="preserve"> </w:t>
      </w:r>
      <w:r w:rsidR="00E35C7C">
        <w:rPr>
          <w:rFonts w:ascii="Arial" w:eastAsia="Arial" w:hAnsi="Arial" w:cs="Arial"/>
          <w:color w:val="000000"/>
          <w:sz w:val="20"/>
        </w:rPr>
        <w:br/>
      </w:r>
      <w:r>
        <w:rPr>
          <w:rFonts w:ascii="Arial" w:eastAsia="Arial" w:hAnsi="Arial" w:cs="Arial"/>
          <w:color w:val="000000"/>
          <w:sz w:val="20"/>
        </w:rPr>
        <w:t>není-li uvedeno jinak, jsou finanční údaje uváděny za podíl CZV) , tj. 12</w:t>
      </w:r>
      <w:r w:rsidR="00291606">
        <w:rPr>
          <w:rFonts w:ascii="Arial" w:eastAsia="Arial" w:hAnsi="Arial" w:cs="Arial"/>
          <w:color w:val="000000"/>
          <w:sz w:val="20"/>
        </w:rPr>
        <w:t>5</w:t>
      </w:r>
      <w:r>
        <w:rPr>
          <w:rFonts w:ascii="Arial" w:eastAsia="Arial" w:hAnsi="Arial" w:cs="Arial"/>
          <w:color w:val="000000"/>
          <w:sz w:val="20"/>
        </w:rPr>
        <w:t xml:space="preserve"> % celkové finanční alokace programu. Žadatelé předložili 13 265 žádostí o podporu v objemu 8</w:t>
      </w:r>
      <w:proofErr w:type="gramStart"/>
      <w:r>
        <w:rPr>
          <w:rFonts w:ascii="Arial" w:eastAsia="Arial" w:hAnsi="Arial" w:cs="Arial"/>
          <w:color w:val="000000"/>
          <w:sz w:val="20"/>
        </w:rPr>
        <w:t>,4</w:t>
      </w:r>
      <w:proofErr w:type="gramEnd"/>
      <w:r>
        <w:rPr>
          <w:rFonts w:ascii="Arial" w:eastAsia="Arial" w:hAnsi="Arial" w:cs="Arial"/>
          <w:color w:val="000000"/>
          <w:sz w:val="20"/>
        </w:rPr>
        <w:t xml:space="preserve"> mld. EUR (216 </w:t>
      </w:r>
      <w:proofErr w:type="gramStart"/>
      <w:r>
        <w:rPr>
          <w:rFonts w:ascii="Arial" w:eastAsia="Arial" w:hAnsi="Arial" w:cs="Arial"/>
          <w:color w:val="000000"/>
          <w:sz w:val="20"/>
        </w:rPr>
        <w:t>mld</w:t>
      </w:r>
      <w:proofErr w:type="gramEnd"/>
      <w:r>
        <w:rPr>
          <w:rFonts w:ascii="Arial" w:eastAsia="Arial" w:hAnsi="Arial" w:cs="Arial"/>
          <w:color w:val="000000"/>
          <w:sz w:val="20"/>
        </w:rPr>
        <w:t xml:space="preserve">. Kč), </w:t>
      </w:r>
      <w:r w:rsidR="00E35C7C">
        <w:rPr>
          <w:rFonts w:ascii="Arial" w:eastAsia="Arial" w:hAnsi="Arial" w:cs="Arial"/>
          <w:color w:val="000000"/>
          <w:sz w:val="20"/>
        </w:rPr>
        <w:br/>
      </w:r>
      <w:r>
        <w:rPr>
          <w:rFonts w:ascii="Arial" w:eastAsia="Arial" w:hAnsi="Arial" w:cs="Arial"/>
          <w:color w:val="000000"/>
          <w:sz w:val="20"/>
        </w:rPr>
        <w:t xml:space="preserve">tj. 151 % alokace. Řídicí orgán vyřadil 3 </w:t>
      </w:r>
      <w:proofErr w:type="gramStart"/>
      <w:r>
        <w:rPr>
          <w:rFonts w:ascii="Arial" w:eastAsia="Arial" w:hAnsi="Arial" w:cs="Arial"/>
          <w:color w:val="000000"/>
          <w:sz w:val="20"/>
        </w:rPr>
        <w:t>196 žádostí</w:t>
      </w:r>
      <w:proofErr w:type="gramEnd"/>
      <w:r>
        <w:rPr>
          <w:rFonts w:ascii="Arial" w:eastAsia="Arial" w:hAnsi="Arial" w:cs="Arial"/>
          <w:color w:val="000000"/>
          <w:sz w:val="20"/>
        </w:rPr>
        <w:t xml:space="preserve"> v objemu 2 mld. EUR (52</w:t>
      </w:r>
      <w:proofErr w:type="gramStart"/>
      <w:r>
        <w:rPr>
          <w:rFonts w:ascii="Arial" w:eastAsia="Arial" w:hAnsi="Arial" w:cs="Arial"/>
          <w:color w:val="000000"/>
          <w:sz w:val="20"/>
        </w:rPr>
        <w:t>,4</w:t>
      </w:r>
      <w:proofErr w:type="gramEnd"/>
      <w:r>
        <w:rPr>
          <w:rFonts w:ascii="Arial" w:eastAsia="Arial" w:hAnsi="Arial" w:cs="Arial"/>
          <w:color w:val="000000"/>
          <w:sz w:val="20"/>
        </w:rPr>
        <w:t xml:space="preserve"> mld. Kč) z důvodu nesplnění podmínek výzvy nebo nedostatku prostředků ve výzvě. ŘO schválil 8 </w:t>
      </w:r>
      <w:proofErr w:type="gramStart"/>
      <w:r>
        <w:rPr>
          <w:rFonts w:ascii="Arial" w:eastAsia="Arial" w:hAnsi="Arial" w:cs="Arial"/>
          <w:color w:val="000000"/>
          <w:sz w:val="20"/>
        </w:rPr>
        <w:t>252  projektů</w:t>
      </w:r>
      <w:proofErr w:type="gramEnd"/>
      <w:r>
        <w:rPr>
          <w:rFonts w:ascii="Arial" w:eastAsia="Arial" w:hAnsi="Arial" w:cs="Arial"/>
          <w:color w:val="000000"/>
          <w:sz w:val="20"/>
        </w:rPr>
        <w:t xml:space="preserve"> </w:t>
      </w:r>
      <w:r w:rsidR="006E713C">
        <w:rPr>
          <w:rFonts w:ascii="Arial" w:eastAsia="Arial" w:hAnsi="Arial" w:cs="Arial"/>
          <w:color w:val="000000"/>
          <w:sz w:val="20"/>
        </w:rPr>
        <w:br/>
      </w:r>
      <w:r>
        <w:rPr>
          <w:rFonts w:ascii="Arial" w:eastAsia="Arial" w:hAnsi="Arial" w:cs="Arial"/>
          <w:color w:val="000000"/>
          <w:sz w:val="20"/>
        </w:rPr>
        <w:t>v objemu 5,2 mld. EUR (133</w:t>
      </w:r>
      <w:proofErr w:type="gramStart"/>
      <w:r>
        <w:rPr>
          <w:rFonts w:ascii="Arial" w:eastAsia="Arial" w:hAnsi="Arial" w:cs="Arial"/>
          <w:color w:val="000000"/>
          <w:sz w:val="20"/>
        </w:rPr>
        <w:t>,7</w:t>
      </w:r>
      <w:proofErr w:type="gramEnd"/>
      <w:r>
        <w:rPr>
          <w:rFonts w:ascii="Arial" w:eastAsia="Arial" w:hAnsi="Arial" w:cs="Arial"/>
          <w:color w:val="000000"/>
          <w:sz w:val="20"/>
        </w:rPr>
        <w:t xml:space="preserve"> mld. Kč) a vydal právní akty k 7 </w:t>
      </w:r>
      <w:proofErr w:type="gramStart"/>
      <w:r>
        <w:rPr>
          <w:rFonts w:ascii="Arial" w:eastAsia="Arial" w:hAnsi="Arial" w:cs="Arial"/>
          <w:color w:val="000000"/>
          <w:sz w:val="20"/>
        </w:rPr>
        <w:t>986  projektům</w:t>
      </w:r>
      <w:proofErr w:type="gramEnd"/>
      <w:r>
        <w:rPr>
          <w:rFonts w:ascii="Arial" w:eastAsia="Arial" w:hAnsi="Arial" w:cs="Arial"/>
          <w:color w:val="000000"/>
          <w:sz w:val="20"/>
        </w:rPr>
        <w:t xml:space="preserve"> v objemu 5 mld. EUR (128</w:t>
      </w:r>
      <w:proofErr w:type="gramStart"/>
      <w:r>
        <w:rPr>
          <w:rFonts w:ascii="Arial" w:eastAsia="Arial" w:hAnsi="Arial" w:cs="Arial"/>
          <w:color w:val="000000"/>
          <w:sz w:val="20"/>
        </w:rPr>
        <w:t>,4</w:t>
      </w:r>
      <w:proofErr w:type="gramEnd"/>
      <w:r>
        <w:rPr>
          <w:rFonts w:ascii="Arial" w:eastAsia="Arial" w:hAnsi="Arial" w:cs="Arial"/>
          <w:color w:val="000000"/>
          <w:sz w:val="20"/>
        </w:rPr>
        <w:t xml:space="preserve"> mld. Kč), tj. 90 % alokace. Řídicí orgán proplatil žadatelům 2 </w:t>
      </w:r>
      <w:proofErr w:type="gramStart"/>
      <w:r>
        <w:rPr>
          <w:rFonts w:ascii="Arial" w:eastAsia="Arial" w:hAnsi="Arial" w:cs="Arial"/>
          <w:color w:val="000000"/>
          <w:sz w:val="20"/>
        </w:rPr>
        <w:t>mld</w:t>
      </w:r>
      <w:proofErr w:type="gramEnd"/>
      <w:r>
        <w:rPr>
          <w:rFonts w:ascii="Arial" w:eastAsia="Arial" w:hAnsi="Arial" w:cs="Arial"/>
          <w:color w:val="000000"/>
          <w:sz w:val="20"/>
        </w:rPr>
        <w:t>. EUR (51</w:t>
      </w:r>
      <w:proofErr w:type="gramStart"/>
      <w:r>
        <w:rPr>
          <w:rFonts w:ascii="Arial" w:eastAsia="Arial" w:hAnsi="Arial" w:cs="Arial"/>
          <w:color w:val="000000"/>
          <w:sz w:val="20"/>
        </w:rPr>
        <w:t>,4</w:t>
      </w:r>
      <w:proofErr w:type="gramEnd"/>
      <w:r>
        <w:rPr>
          <w:rFonts w:ascii="Arial" w:eastAsia="Arial" w:hAnsi="Arial" w:cs="Arial"/>
          <w:color w:val="000000"/>
          <w:sz w:val="20"/>
        </w:rPr>
        <w:t xml:space="preserve"> mld. Kč). ŘO IROP připravil žádosti o průběžnou platbu z EK ve výši 1</w:t>
      </w:r>
      <w:proofErr w:type="gramStart"/>
      <w:r>
        <w:rPr>
          <w:rFonts w:ascii="Arial" w:eastAsia="Arial" w:hAnsi="Arial" w:cs="Arial"/>
          <w:color w:val="000000"/>
          <w:sz w:val="20"/>
        </w:rPr>
        <w:t>,</w:t>
      </w:r>
      <w:r w:rsidR="00FF4D17">
        <w:rPr>
          <w:rFonts w:ascii="Arial" w:eastAsia="Arial" w:hAnsi="Arial" w:cs="Arial"/>
          <w:color w:val="000000"/>
          <w:sz w:val="20"/>
        </w:rPr>
        <w:t>7</w:t>
      </w:r>
      <w:proofErr w:type="gramEnd"/>
      <w:r>
        <w:rPr>
          <w:rFonts w:ascii="Arial" w:eastAsia="Arial" w:hAnsi="Arial" w:cs="Arial"/>
          <w:color w:val="000000"/>
          <w:sz w:val="20"/>
        </w:rPr>
        <w:t xml:space="preserve"> mld. EUR (4</w:t>
      </w:r>
      <w:r w:rsidR="00FF4D17">
        <w:rPr>
          <w:rFonts w:ascii="Arial" w:eastAsia="Arial" w:hAnsi="Arial" w:cs="Arial"/>
          <w:color w:val="000000"/>
          <w:sz w:val="20"/>
        </w:rPr>
        <w:t>3</w:t>
      </w:r>
      <w:proofErr w:type="gramStart"/>
      <w:r>
        <w:rPr>
          <w:rFonts w:ascii="Arial" w:eastAsia="Arial" w:hAnsi="Arial" w:cs="Arial"/>
          <w:color w:val="000000"/>
          <w:sz w:val="20"/>
        </w:rPr>
        <w:t>,</w:t>
      </w:r>
      <w:r w:rsidR="00FF4D17">
        <w:rPr>
          <w:rFonts w:ascii="Arial" w:eastAsia="Arial" w:hAnsi="Arial" w:cs="Arial"/>
          <w:color w:val="000000"/>
          <w:sz w:val="20"/>
        </w:rPr>
        <w:t>5</w:t>
      </w:r>
      <w:proofErr w:type="gramEnd"/>
      <w:r>
        <w:rPr>
          <w:rFonts w:ascii="Arial" w:eastAsia="Arial" w:hAnsi="Arial" w:cs="Arial"/>
          <w:color w:val="000000"/>
          <w:sz w:val="20"/>
        </w:rPr>
        <w:t xml:space="preserve"> mld. Kč), tj. </w:t>
      </w:r>
      <w:r w:rsidR="00994FEA">
        <w:rPr>
          <w:rFonts w:ascii="Arial" w:eastAsia="Arial" w:hAnsi="Arial" w:cs="Arial"/>
          <w:color w:val="000000"/>
          <w:sz w:val="20"/>
        </w:rPr>
        <w:t>3</w:t>
      </w:r>
      <w:r w:rsidR="009433E8">
        <w:rPr>
          <w:rFonts w:ascii="Arial" w:eastAsia="Arial" w:hAnsi="Arial" w:cs="Arial"/>
          <w:color w:val="000000"/>
          <w:sz w:val="20"/>
        </w:rPr>
        <w:t>5</w:t>
      </w:r>
      <w:r>
        <w:rPr>
          <w:rFonts w:ascii="Arial" w:eastAsia="Arial" w:hAnsi="Arial" w:cs="Arial"/>
          <w:color w:val="000000"/>
          <w:sz w:val="20"/>
        </w:rPr>
        <w:t xml:space="preserve"> % </w:t>
      </w:r>
      <w:r w:rsidR="00257AF3">
        <w:rPr>
          <w:rFonts w:ascii="Arial" w:eastAsia="Arial" w:hAnsi="Arial" w:cs="Arial"/>
          <w:color w:val="000000"/>
          <w:sz w:val="20"/>
        </w:rPr>
        <w:t xml:space="preserve">celkové </w:t>
      </w:r>
      <w:r>
        <w:rPr>
          <w:rFonts w:ascii="Arial" w:eastAsia="Arial" w:hAnsi="Arial" w:cs="Arial"/>
          <w:color w:val="000000"/>
          <w:sz w:val="20"/>
        </w:rPr>
        <w:t>alokace</w:t>
      </w:r>
      <w:r w:rsidR="009433E8">
        <w:rPr>
          <w:rFonts w:ascii="Arial" w:eastAsia="Arial" w:hAnsi="Arial" w:cs="Arial"/>
          <w:color w:val="000000"/>
          <w:sz w:val="20"/>
        </w:rPr>
        <w:t xml:space="preserve"> program</w:t>
      </w:r>
      <w:r w:rsidR="00257AF3">
        <w:rPr>
          <w:rFonts w:ascii="Arial" w:eastAsia="Arial" w:hAnsi="Arial" w:cs="Arial"/>
          <w:color w:val="000000"/>
          <w:sz w:val="20"/>
        </w:rPr>
        <w:t>u</w:t>
      </w:r>
      <w:r w:rsidR="009433E8">
        <w:rPr>
          <w:rFonts w:ascii="Arial" w:eastAsia="Arial" w:hAnsi="Arial" w:cs="Arial"/>
          <w:color w:val="000000"/>
          <w:sz w:val="20"/>
        </w:rPr>
        <w:t xml:space="preserve"> (EFFR)</w:t>
      </w:r>
      <w:r>
        <w:rPr>
          <w:rFonts w:ascii="Arial" w:eastAsia="Arial" w:hAnsi="Arial" w:cs="Arial"/>
          <w:color w:val="000000"/>
          <w:sz w:val="20"/>
        </w:rPr>
        <w:t xml:space="preserve">. Ukončeno bylo 4 </w:t>
      </w:r>
      <w:proofErr w:type="gramStart"/>
      <w:r>
        <w:rPr>
          <w:rFonts w:ascii="Arial" w:eastAsia="Arial" w:hAnsi="Arial" w:cs="Arial"/>
          <w:color w:val="000000"/>
          <w:sz w:val="20"/>
        </w:rPr>
        <w:t>486 projektů</w:t>
      </w:r>
      <w:proofErr w:type="gramEnd"/>
      <w:r>
        <w:rPr>
          <w:rFonts w:ascii="Arial" w:eastAsia="Arial" w:hAnsi="Arial" w:cs="Arial"/>
          <w:color w:val="000000"/>
          <w:sz w:val="20"/>
        </w:rPr>
        <w:t xml:space="preserve"> v objemu 2 mld. EUR (50</w:t>
      </w:r>
      <w:proofErr w:type="gramStart"/>
      <w:r>
        <w:rPr>
          <w:rFonts w:ascii="Arial" w:eastAsia="Arial" w:hAnsi="Arial" w:cs="Arial"/>
          <w:color w:val="000000"/>
          <w:sz w:val="20"/>
        </w:rPr>
        <w:t>,4</w:t>
      </w:r>
      <w:proofErr w:type="gramEnd"/>
      <w:r>
        <w:rPr>
          <w:rFonts w:ascii="Arial" w:eastAsia="Arial" w:hAnsi="Arial" w:cs="Arial"/>
          <w:color w:val="000000"/>
          <w:sz w:val="20"/>
        </w:rPr>
        <w:t xml:space="preserve"> mld. Kč). </w:t>
      </w:r>
      <w:r>
        <w:br/>
      </w:r>
      <w:r>
        <w:br/>
      </w:r>
    </w:p>
    <w:p w14:paraId="7503612B" w14:textId="77777777" w:rsidR="00A06E8C" w:rsidRDefault="00A06E8C">
      <w:pPr>
        <w:rPr>
          <w:rFonts w:ascii="Arial" w:eastAsia="Arial" w:hAnsi="Arial" w:cs="Arial"/>
          <w:b/>
          <w:color w:val="000000"/>
          <w:sz w:val="20"/>
        </w:rPr>
      </w:pPr>
      <w:r>
        <w:rPr>
          <w:rFonts w:ascii="Arial" w:eastAsia="Arial" w:hAnsi="Arial" w:cs="Arial"/>
          <w:b/>
          <w:color w:val="000000"/>
          <w:sz w:val="20"/>
        </w:rPr>
        <w:br w:type="page"/>
      </w:r>
    </w:p>
    <w:p w14:paraId="7B4D01A2" w14:textId="77777777" w:rsidR="008A7802" w:rsidRDefault="0046046C" w:rsidP="00E806C4">
      <w:pPr>
        <w:spacing w:after="120" w:line="360" w:lineRule="auto"/>
        <w:ind w:right="105"/>
        <w:jc w:val="both"/>
        <w:rPr>
          <w:rFonts w:ascii="Arial" w:eastAsia="Arial" w:hAnsi="Arial" w:cs="Arial"/>
          <w:color w:val="000000"/>
          <w:sz w:val="20"/>
        </w:rPr>
      </w:pPr>
      <w:r w:rsidRPr="002433A0">
        <w:rPr>
          <w:rFonts w:ascii="Arial" w:eastAsia="Arial" w:hAnsi="Arial" w:cs="Arial"/>
          <w:b/>
          <w:color w:val="000000"/>
          <w:sz w:val="20"/>
        </w:rPr>
        <w:t>Informace o přípravě podpory integrovaných projektů</w:t>
      </w:r>
    </w:p>
    <w:p w14:paraId="633E9DF4" w14:textId="77777777" w:rsidR="00EE1339" w:rsidRDefault="0046046C" w:rsidP="00EE1339">
      <w:pPr>
        <w:spacing w:after="120" w:line="360" w:lineRule="auto"/>
        <w:ind w:right="105"/>
        <w:jc w:val="both"/>
        <w:rPr>
          <w:rFonts w:ascii="Arial" w:eastAsia="Arial" w:hAnsi="Arial" w:cs="Arial"/>
          <w:color w:val="000000"/>
          <w:sz w:val="20"/>
        </w:rPr>
      </w:pPr>
      <w:r>
        <w:rPr>
          <w:rFonts w:ascii="Arial" w:eastAsia="Arial" w:hAnsi="Arial" w:cs="Arial"/>
          <w:color w:val="000000"/>
          <w:sz w:val="20"/>
        </w:rPr>
        <w:t>V roce 2019 pokračovalo intenzivní vyhlašování výzev integrovaných nástrojů a to zejména výzev M</w:t>
      </w:r>
      <w:r w:rsidR="003F657C">
        <w:rPr>
          <w:rFonts w:ascii="Arial" w:eastAsia="Arial" w:hAnsi="Arial" w:cs="Arial"/>
          <w:color w:val="000000"/>
          <w:sz w:val="20"/>
        </w:rPr>
        <w:t>ístních akčních skupin (MAS)</w:t>
      </w:r>
      <w:r w:rsidR="00EC7294">
        <w:rPr>
          <w:rFonts w:ascii="Arial" w:eastAsia="Arial" w:hAnsi="Arial" w:cs="Arial"/>
          <w:color w:val="000000"/>
          <w:sz w:val="20"/>
        </w:rPr>
        <w:t xml:space="preserve">. </w:t>
      </w:r>
      <w:r w:rsidR="00060E61">
        <w:rPr>
          <w:rFonts w:ascii="Arial" w:eastAsia="Arial" w:hAnsi="Arial" w:cs="Arial"/>
          <w:color w:val="000000"/>
          <w:sz w:val="20"/>
        </w:rPr>
        <w:t>Městské aglomerace I</w:t>
      </w:r>
      <w:r w:rsidR="00550893">
        <w:rPr>
          <w:rFonts w:ascii="Arial" w:eastAsia="Arial" w:hAnsi="Arial" w:cs="Arial"/>
          <w:color w:val="000000"/>
          <w:sz w:val="20"/>
        </w:rPr>
        <w:t xml:space="preserve">ntegrovaných územních investic </w:t>
      </w:r>
      <w:r w:rsidR="003F657C">
        <w:rPr>
          <w:rFonts w:ascii="Arial" w:eastAsia="Arial" w:hAnsi="Arial" w:cs="Arial"/>
          <w:color w:val="000000"/>
          <w:sz w:val="20"/>
        </w:rPr>
        <w:t>(dále</w:t>
      </w:r>
      <w:r w:rsidR="00EC7294">
        <w:rPr>
          <w:rFonts w:ascii="Arial" w:eastAsia="Arial" w:hAnsi="Arial" w:cs="Arial"/>
          <w:color w:val="000000"/>
          <w:sz w:val="20"/>
        </w:rPr>
        <w:t xml:space="preserve"> jen</w:t>
      </w:r>
      <w:r w:rsidR="003F657C">
        <w:rPr>
          <w:rFonts w:ascii="Arial" w:eastAsia="Arial" w:hAnsi="Arial" w:cs="Arial"/>
          <w:color w:val="000000"/>
          <w:sz w:val="20"/>
        </w:rPr>
        <w:t xml:space="preserve"> ITI)</w:t>
      </w:r>
      <w:r w:rsidR="00EC7294">
        <w:rPr>
          <w:rFonts w:ascii="Arial" w:eastAsia="Arial" w:hAnsi="Arial" w:cs="Arial"/>
          <w:color w:val="000000"/>
          <w:sz w:val="20"/>
        </w:rPr>
        <w:t xml:space="preserve"> </w:t>
      </w:r>
      <w:r>
        <w:rPr>
          <w:rFonts w:ascii="Arial" w:eastAsia="Arial" w:hAnsi="Arial" w:cs="Arial"/>
          <w:color w:val="000000"/>
          <w:sz w:val="20"/>
        </w:rPr>
        <w:t>vyhlásily kumulativně 187 výzev, do kterých bylo předloženo celkem 821 žádostí o podporu s alokací 643 mil. EUR, z toho 543 projektů je již v realizaci ve výši 393</w:t>
      </w:r>
      <w:proofErr w:type="gramStart"/>
      <w:r>
        <w:rPr>
          <w:rFonts w:ascii="Arial" w:eastAsia="Arial" w:hAnsi="Arial" w:cs="Arial"/>
          <w:color w:val="000000"/>
          <w:sz w:val="20"/>
        </w:rPr>
        <w:t>,4</w:t>
      </w:r>
      <w:proofErr w:type="gramEnd"/>
      <w:r>
        <w:rPr>
          <w:rFonts w:ascii="Arial" w:eastAsia="Arial" w:hAnsi="Arial" w:cs="Arial"/>
          <w:color w:val="000000"/>
          <w:sz w:val="20"/>
        </w:rPr>
        <w:t xml:space="preserve"> mil. EUR. </w:t>
      </w:r>
      <w:r w:rsidR="00EE1339">
        <w:rPr>
          <w:rFonts w:ascii="Arial" w:eastAsia="Arial" w:hAnsi="Arial" w:cs="Arial"/>
          <w:color w:val="000000"/>
          <w:sz w:val="20"/>
        </w:rPr>
        <w:br/>
      </w:r>
      <w:r>
        <w:rPr>
          <w:rFonts w:ascii="Arial" w:eastAsia="Arial" w:hAnsi="Arial" w:cs="Arial"/>
          <w:color w:val="000000"/>
          <w:sz w:val="20"/>
        </w:rPr>
        <w:t>Proplaceno bylo 193</w:t>
      </w:r>
      <w:proofErr w:type="gramStart"/>
      <w:r>
        <w:rPr>
          <w:rFonts w:ascii="Arial" w:eastAsia="Arial" w:hAnsi="Arial" w:cs="Arial"/>
          <w:color w:val="000000"/>
          <w:sz w:val="20"/>
        </w:rPr>
        <w:t>,7</w:t>
      </w:r>
      <w:proofErr w:type="gramEnd"/>
      <w:r>
        <w:rPr>
          <w:rFonts w:ascii="Arial" w:eastAsia="Arial" w:hAnsi="Arial" w:cs="Arial"/>
          <w:color w:val="000000"/>
          <w:sz w:val="20"/>
        </w:rPr>
        <w:t xml:space="preserve"> mil.EUR, tedy 33,1 % celkové alokace ITI v IROP.</w:t>
      </w:r>
      <w:r>
        <w:br/>
      </w:r>
      <w:r>
        <w:br/>
      </w:r>
      <w:r w:rsidR="00550893">
        <w:rPr>
          <w:rFonts w:ascii="Arial" w:eastAsia="Arial" w:hAnsi="Arial" w:cs="Arial"/>
          <w:color w:val="000000"/>
          <w:sz w:val="20"/>
        </w:rPr>
        <w:t xml:space="preserve">Městské aglomerace Integrovaných plánů rozvoje území </w:t>
      </w:r>
      <w:r w:rsidR="00156011">
        <w:rPr>
          <w:rFonts w:ascii="Arial" w:eastAsia="Arial" w:hAnsi="Arial" w:cs="Arial"/>
          <w:color w:val="000000"/>
          <w:sz w:val="20"/>
        </w:rPr>
        <w:t xml:space="preserve">(dále jen IPRÚ) </w:t>
      </w:r>
      <w:r>
        <w:rPr>
          <w:rFonts w:ascii="Arial" w:eastAsia="Arial" w:hAnsi="Arial" w:cs="Arial"/>
          <w:color w:val="000000"/>
          <w:sz w:val="20"/>
        </w:rPr>
        <w:t>vyhlásily kumulativně 145 výzev, do kterých bylo předloženo 265 žádostí o podporu s alokací 168 mil. EUR, z toho 189 projektů je již v realizaci ve výši 110 mil. EUR. Proplaceno bylo 65</w:t>
      </w:r>
      <w:proofErr w:type="gramStart"/>
      <w:r>
        <w:rPr>
          <w:rFonts w:ascii="Arial" w:eastAsia="Arial" w:hAnsi="Arial" w:cs="Arial"/>
          <w:color w:val="000000"/>
          <w:sz w:val="20"/>
        </w:rPr>
        <w:t>,5</w:t>
      </w:r>
      <w:proofErr w:type="gramEnd"/>
      <w:r>
        <w:rPr>
          <w:rFonts w:ascii="Arial" w:eastAsia="Arial" w:hAnsi="Arial" w:cs="Arial"/>
          <w:color w:val="000000"/>
          <w:sz w:val="20"/>
        </w:rPr>
        <w:t xml:space="preserve"> mil. EUR, tedy 28</w:t>
      </w:r>
      <w:proofErr w:type="gramStart"/>
      <w:r w:rsidR="00E35C7C">
        <w:rPr>
          <w:rFonts w:ascii="Arial" w:eastAsia="Arial" w:hAnsi="Arial" w:cs="Arial"/>
          <w:color w:val="000000"/>
          <w:sz w:val="20"/>
        </w:rPr>
        <w:t>,9</w:t>
      </w:r>
      <w:proofErr w:type="gramEnd"/>
      <w:r w:rsidR="00E35C7C">
        <w:rPr>
          <w:rFonts w:ascii="Arial" w:eastAsia="Arial" w:hAnsi="Arial" w:cs="Arial"/>
          <w:color w:val="000000"/>
          <w:sz w:val="20"/>
        </w:rPr>
        <w:t xml:space="preserve"> % celkové alokace</w:t>
      </w:r>
      <w:r w:rsidR="00EE1339">
        <w:rPr>
          <w:rFonts w:ascii="Arial" w:eastAsia="Arial" w:hAnsi="Arial" w:cs="Arial"/>
          <w:color w:val="000000"/>
          <w:sz w:val="20"/>
        </w:rPr>
        <w:t xml:space="preserve"> IPRÚ v IROP.</w:t>
      </w:r>
    </w:p>
    <w:p w14:paraId="727E62C5" w14:textId="77777777" w:rsidR="00EA1480" w:rsidRDefault="00EE1339" w:rsidP="00EA1480">
      <w:pPr>
        <w:spacing w:after="120" w:line="360" w:lineRule="auto"/>
        <w:ind w:right="105"/>
        <w:jc w:val="both"/>
        <w:rPr>
          <w:rFonts w:ascii="Arial" w:eastAsia="Arial" w:hAnsi="Arial" w:cs="Arial"/>
          <w:color w:val="000000"/>
          <w:sz w:val="20"/>
        </w:rPr>
      </w:pPr>
      <w:r>
        <w:br/>
      </w:r>
      <w:r w:rsidR="0046046C">
        <w:rPr>
          <w:rFonts w:ascii="Arial" w:eastAsia="Arial" w:hAnsi="Arial" w:cs="Arial"/>
          <w:color w:val="000000"/>
          <w:sz w:val="20"/>
        </w:rPr>
        <w:t xml:space="preserve">Místní akční skupiny vyhlásily kumulativně 1 403 výzev, do kterých bylo předloženo 3 002 žádostí </w:t>
      </w:r>
      <w:r w:rsidR="008A7802">
        <w:rPr>
          <w:rFonts w:ascii="Arial" w:eastAsia="Arial" w:hAnsi="Arial" w:cs="Arial"/>
          <w:color w:val="000000"/>
          <w:sz w:val="20"/>
        </w:rPr>
        <w:br/>
      </w:r>
      <w:r w:rsidR="0046046C">
        <w:rPr>
          <w:rFonts w:ascii="Arial" w:eastAsia="Arial" w:hAnsi="Arial" w:cs="Arial"/>
          <w:color w:val="000000"/>
          <w:sz w:val="20"/>
        </w:rPr>
        <w:t xml:space="preserve">o podporu s alokací 271 mil. </w:t>
      </w:r>
      <w:proofErr w:type="gramStart"/>
      <w:r w:rsidR="0046046C">
        <w:rPr>
          <w:rFonts w:ascii="Arial" w:eastAsia="Arial" w:hAnsi="Arial" w:cs="Arial"/>
          <w:color w:val="000000"/>
          <w:sz w:val="20"/>
        </w:rPr>
        <w:t>EUR ,</w:t>
      </w:r>
      <w:proofErr w:type="gramEnd"/>
      <w:r w:rsidR="0046046C">
        <w:rPr>
          <w:rFonts w:ascii="Arial" w:eastAsia="Arial" w:hAnsi="Arial" w:cs="Arial"/>
          <w:color w:val="000000"/>
          <w:sz w:val="20"/>
        </w:rPr>
        <w:t xml:space="preserve"> z toho 1 782 projektů je již v realizaci ve výši 157,5 mil. EUR. Proplaceno bylo 67</w:t>
      </w:r>
      <w:proofErr w:type="gramStart"/>
      <w:r w:rsidR="0046046C">
        <w:rPr>
          <w:rFonts w:ascii="Arial" w:eastAsia="Arial" w:hAnsi="Arial" w:cs="Arial"/>
          <w:color w:val="000000"/>
          <w:sz w:val="20"/>
        </w:rPr>
        <w:t>,1</w:t>
      </w:r>
      <w:proofErr w:type="gramEnd"/>
      <w:r w:rsidR="0046046C">
        <w:rPr>
          <w:rFonts w:ascii="Arial" w:eastAsia="Arial" w:hAnsi="Arial" w:cs="Arial"/>
          <w:color w:val="000000"/>
          <w:sz w:val="20"/>
        </w:rPr>
        <w:t xml:space="preserve"> mil. EUR, tedy 21</w:t>
      </w:r>
      <w:proofErr w:type="gramStart"/>
      <w:r w:rsidR="0046046C">
        <w:rPr>
          <w:rFonts w:ascii="Arial" w:eastAsia="Arial" w:hAnsi="Arial" w:cs="Arial"/>
          <w:color w:val="000000"/>
          <w:sz w:val="20"/>
        </w:rPr>
        <w:t>,1</w:t>
      </w:r>
      <w:proofErr w:type="gramEnd"/>
      <w:r w:rsidR="0046046C">
        <w:rPr>
          <w:rFonts w:ascii="Arial" w:eastAsia="Arial" w:hAnsi="Arial" w:cs="Arial"/>
          <w:color w:val="000000"/>
          <w:sz w:val="20"/>
        </w:rPr>
        <w:t xml:space="preserve"> % celkové alokace CLLD v IROP.</w:t>
      </w:r>
      <w:r w:rsidR="0046046C">
        <w:br/>
      </w:r>
      <w:r w:rsidR="0046046C">
        <w:br/>
      </w:r>
      <w:r w:rsidR="0046046C">
        <w:rPr>
          <w:rFonts w:ascii="Arial" w:eastAsia="Arial" w:hAnsi="Arial" w:cs="Arial"/>
          <w:color w:val="000000"/>
          <w:sz w:val="20"/>
        </w:rPr>
        <w:t xml:space="preserve">Na projekty integrovaných nástrojů po </w:t>
      </w:r>
      <w:r w:rsidR="00D12D6A">
        <w:rPr>
          <w:rFonts w:ascii="Arial" w:eastAsia="Arial" w:hAnsi="Arial" w:cs="Arial"/>
          <w:color w:val="000000"/>
          <w:sz w:val="20"/>
        </w:rPr>
        <w:t xml:space="preserve">třetí </w:t>
      </w:r>
      <w:r w:rsidR="0046046C">
        <w:rPr>
          <w:rFonts w:ascii="Arial" w:eastAsia="Arial" w:hAnsi="Arial" w:cs="Arial"/>
          <w:color w:val="000000"/>
          <w:sz w:val="20"/>
        </w:rPr>
        <w:t xml:space="preserve">revizi programového dokumentu je alokováno přibližně </w:t>
      </w:r>
      <w:r w:rsidR="001C21E9">
        <w:rPr>
          <w:rFonts w:ascii="Arial" w:eastAsia="Arial" w:hAnsi="Arial" w:cs="Arial"/>
          <w:color w:val="000000"/>
          <w:sz w:val="20"/>
        </w:rPr>
        <w:br/>
      </w:r>
      <w:r w:rsidR="0046046C">
        <w:rPr>
          <w:rFonts w:ascii="Arial" w:eastAsia="Arial" w:hAnsi="Arial" w:cs="Arial"/>
          <w:color w:val="000000"/>
          <w:sz w:val="20"/>
        </w:rPr>
        <w:t>1</w:t>
      </w:r>
      <w:proofErr w:type="gramStart"/>
      <w:r w:rsidR="0046046C">
        <w:rPr>
          <w:rFonts w:ascii="Arial" w:eastAsia="Arial" w:hAnsi="Arial" w:cs="Arial"/>
          <w:color w:val="000000"/>
          <w:sz w:val="20"/>
        </w:rPr>
        <w:t>,5</w:t>
      </w:r>
      <w:proofErr w:type="gramEnd"/>
      <w:r w:rsidR="0046046C">
        <w:rPr>
          <w:rFonts w:ascii="Arial" w:eastAsia="Arial" w:hAnsi="Arial" w:cs="Arial"/>
          <w:color w:val="000000"/>
          <w:sz w:val="20"/>
        </w:rPr>
        <w:t xml:space="preserve"> mld. EUR (26</w:t>
      </w:r>
      <w:proofErr w:type="gramStart"/>
      <w:r w:rsidR="0046046C">
        <w:rPr>
          <w:rFonts w:ascii="Arial" w:eastAsia="Arial" w:hAnsi="Arial" w:cs="Arial"/>
          <w:color w:val="000000"/>
          <w:sz w:val="20"/>
        </w:rPr>
        <w:t>,3</w:t>
      </w:r>
      <w:proofErr w:type="gramEnd"/>
      <w:r w:rsidR="0046046C">
        <w:rPr>
          <w:rFonts w:ascii="Arial" w:eastAsia="Arial" w:hAnsi="Arial" w:cs="Arial"/>
          <w:color w:val="000000"/>
          <w:sz w:val="20"/>
        </w:rPr>
        <w:t xml:space="preserve"> % celkové alokace IROP). V roce 2019 byly zároveň revidovány všechny výzvy Řídicího orgánu IROP pro integrované nástroje a prodlouženy v souladu s finančními plány</w:t>
      </w:r>
      <w:r w:rsidR="00EA1480">
        <w:rPr>
          <w:rFonts w:ascii="Arial" w:eastAsia="Arial" w:hAnsi="Arial" w:cs="Arial"/>
          <w:color w:val="000000"/>
          <w:sz w:val="20"/>
        </w:rPr>
        <w:t xml:space="preserve"> integrovaných strategií nositelů IN do 31. 10. 2022.</w:t>
      </w:r>
    </w:p>
    <w:p w14:paraId="42A9E37C" w14:textId="613C16F3" w:rsidR="00D82A67" w:rsidRPr="001E3EC2" w:rsidRDefault="0046046C" w:rsidP="00920B51">
      <w:pPr>
        <w:spacing w:after="120" w:line="360" w:lineRule="auto"/>
        <w:ind w:right="105"/>
        <w:jc w:val="both"/>
        <w:rPr>
          <w:rFonts w:ascii="Arial" w:eastAsia="Arial" w:hAnsi="Arial" w:cs="Arial"/>
          <w:color w:val="000000"/>
          <w:sz w:val="20"/>
          <w:lang w:val="cs-CZ"/>
        </w:rPr>
      </w:pPr>
      <w:r>
        <w:br/>
      </w:r>
      <w:r w:rsidR="002757AC">
        <w:rPr>
          <w:rFonts w:ascii="Arial" w:eastAsia="Arial" w:hAnsi="Arial" w:cs="Arial"/>
          <w:color w:val="000000"/>
          <w:sz w:val="20"/>
        </w:rPr>
        <w:t>V</w:t>
      </w:r>
      <w:r>
        <w:rPr>
          <w:rFonts w:ascii="Arial" w:eastAsia="Arial" w:hAnsi="Arial" w:cs="Arial"/>
          <w:color w:val="000000"/>
          <w:sz w:val="20"/>
        </w:rPr>
        <w:t xml:space="preserve"> roce 2019 došlo ze strany Řídicího orgánu IROP k uplatnění zrušení rezervace části alokace u nositelů IN, kteří nesplnili podmínky plnění finančních plánů svých integrovaných strategií. U ITI </w:t>
      </w:r>
      <w:proofErr w:type="gramStart"/>
      <w:r>
        <w:rPr>
          <w:rFonts w:ascii="Arial" w:eastAsia="Arial" w:hAnsi="Arial" w:cs="Arial"/>
          <w:color w:val="000000"/>
          <w:sz w:val="20"/>
        </w:rPr>
        <w:t>a</w:t>
      </w:r>
      <w:proofErr w:type="gramEnd"/>
      <w:r>
        <w:rPr>
          <w:rFonts w:ascii="Arial" w:eastAsia="Arial" w:hAnsi="Arial" w:cs="Arial"/>
          <w:color w:val="000000"/>
          <w:sz w:val="20"/>
        </w:rPr>
        <w:t xml:space="preserve"> IPRÚ se jedná o 5 nositelů v celkové výši 25 mil. EUR, u CLLD o 16 MAS v celkové výši </w:t>
      </w:r>
      <w:r w:rsidR="001C21E9">
        <w:rPr>
          <w:rFonts w:ascii="Arial" w:eastAsia="Arial" w:hAnsi="Arial" w:cs="Arial"/>
          <w:color w:val="000000"/>
          <w:sz w:val="20"/>
        </w:rPr>
        <w:br/>
      </w:r>
      <w:r>
        <w:rPr>
          <w:rFonts w:ascii="Arial" w:eastAsia="Arial" w:hAnsi="Arial" w:cs="Arial"/>
          <w:color w:val="000000"/>
          <w:sz w:val="20"/>
        </w:rPr>
        <w:t>2</w:t>
      </w:r>
      <w:proofErr w:type="gramStart"/>
      <w:r>
        <w:rPr>
          <w:rFonts w:ascii="Arial" w:eastAsia="Arial" w:hAnsi="Arial" w:cs="Arial"/>
          <w:color w:val="000000"/>
          <w:sz w:val="20"/>
        </w:rPr>
        <w:t>,6</w:t>
      </w:r>
      <w:proofErr w:type="gramEnd"/>
      <w:r>
        <w:rPr>
          <w:rFonts w:ascii="Arial" w:eastAsia="Arial" w:hAnsi="Arial" w:cs="Arial"/>
          <w:color w:val="000000"/>
          <w:sz w:val="20"/>
        </w:rPr>
        <w:t xml:space="preserve"> mil. EUR. Snížení rezervace části alokace u jednotlivých nositelů IN proběhne prostřednictvím změn integrovaných strategií v prvním čvrtletí 2020. Řídicí orgán zohlednil při tomto kroku objektivní faktory, kterými došlo ke zpoždění integrovaných nástrojů.</w:t>
      </w:r>
      <w:r w:rsidR="00650ED0" w:rsidRPr="00650ED0">
        <w:rPr>
          <w:rFonts w:ascii="Arial" w:eastAsia="Arial" w:hAnsi="Arial" w:cs="Arial"/>
          <w:color w:val="000000"/>
          <w:sz w:val="20"/>
        </w:rPr>
        <w:t xml:space="preserve"> </w:t>
      </w:r>
      <w:r w:rsidR="00650ED0">
        <w:rPr>
          <w:rFonts w:ascii="Arial" w:eastAsia="Arial" w:hAnsi="Arial" w:cs="Arial"/>
          <w:color w:val="000000"/>
          <w:sz w:val="20"/>
        </w:rPr>
        <w:t xml:space="preserve">Intenzivně probíhaly již debaty </w:t>
      </w:r>
      <w:proofErr w:type="gramStart"/>
      <w:r w:rsidR="00650ED0">
        <w:rPr>
          <w:rFonts w:ascii="Arial" w:eastAsia="Arial" w:hAnsi="Arial" w:cs="Arial"/>
          <w:color w:val="000000"/>
          <w:sz w:val="20"/>
        </w:rPr>
        <w:t>nad</w:t>
      </w:r>
      <w:proofErr w:type="gramEnd"/>
      <w:r w:rsidR="00650ED0">
        <w:rPr>
          <w:rFonts w:ascii="Arial" w:eastAsia="Arial" w:hAnsi="Arial" w:cs="Arial"/>
          <w:color w:val="000000"/>
          <w:sz w:val="20"/>
        </w:rPr>
        <w:t xml:space="preserve"> podobou integrovaných nástrojů v programovém období 2021-2027.</w:t>
      </w:r>
      <w:r w:rsidR="00D82A67">
        <w:rPr>
          <w:rFonts w:ascii="Arial" w:eastAsia="Arial" w:hAnsi="Arial" w:cs="Arial"/>
          <w:color w:val="000000"/>
          <w:sz w:val="20"/>
        </w:rPr>
        <w:t xml:space="preserve"> </w:t>
      </w:r>
      <w:r w:rsidR="00B02F02">
        <w:rPr>
          <w:rFonts w:ascii="Arial" w:eastAsia="Arial" w:hAnsi="Arial" w:cs="Arial"/>
          <w:color w:val="000000"/>
          <w:sz w:val="20"/>
        </w:rPr>
        <w:t>V případě ITI a IPRÚ nebude z</w:t>
      </w:r>
      <w:r w:rsidR="00B02F02" w:rsidRPr="00D82A67">
        <w:rPr>
          <w:rFonts w:ascii="Arial" w:eastAsia="Arial" w:hAnsi="Arial" w:cs="Arial"/>
          <w:color w:val="000000"/>
          <w:sz w:val="20"/>
          <w:lang w:val="cs-CZ"/>
        </w:rPr>
        <w:t>rušená</w:t>
      </w:r>
      <w:r w:rsidR="00B02F02">
        <w:rPr>
          <w:rFonts w:ascii="Arial" w:eastAsia="Arial" w:hAnsi="Arial" w:cs="Arial"/>
          <w:color w:val="000000"/>
          <w:sz w:val="20"/>
          <w:lang w:val="cs-CZ"/>
        </w:rPr>
        <w:t xml:space="preserve"> rezervace části alokace </w:t>
      </w:r>
      <w:r w:rsidR="00B02F02" w:rsidRPr="00D82A67">
        <w:rPr>
          <w:rFonts w:ascii="Arial" w:eastAsia="Arial" w:hAnsi="Arial" w:cs="Arial"/>
          <w:color w:val="000000"/>
          <w:sz w:val="20"/>
          <w:lang w:val="cs-CZ"/>
        </w:rPr>
        <w:t xml:space="preserve">přerozdělena mezi ostatní nositele ITI a IPRÚ, bude ponechána </w:t>
      </w:r>
      <w:proofErr w:type="gramStart"/>
      <w:r w:rsidR="00B02F02" w:rsidRPr="00D82A67">
        <w:rPr>
          <w:rFonts w:ascii="Arial" w:eastAsia="Arial" w:hAnsi="Arial" w:cs="Arial"/>
          <w:color w:val="000000"/>
          <w:sz w:val="20"/>
          <w:lang w:val="cs-CZ"/>
        </w:rPr>
        <w:t>na</w:t>
      </w:r>
      <w:proofErr w:type="gramEnd"/>
      <w:r w:rsidR="00B02F02" w:rsidRPr="00D82A67">
        <w:rPr>
          <w:rFonts w:ascii="Arial" w:eastAsia="Arial" w:hAnsi="Arial" w:cs="Arial"/>
          <w:color w:val="000000"/>
          <w:sz w:val="20"/>
          <w:lang w:val="cs-CZ"/>
        </w:rPr>
        <w:t xml:space="preserve"> pokrytí kurzových rozdílů v celkové rezervované alokaci pro ITI a IPRÚ v IROP.</w:t>
      </w:r>
      <w:r w:rsidR="00B02F02">
        <w:rPr>
          <w:rFonts w:ascii="Arial" w:eastAsia="Arial" w:hAnsi="Arial" w:cs="Arial"/>
          <w:color w:val="000000"/>
          <w:sz w:val="20"/>
          <w:lang w:val="cs-CZ"/>
        </w:rPr>
        <w:t xml:space="preserve"> V případě CLLD bude z</w:t>
      </w:r>
      <w:r w:rsidR="00B02F02" w:rsidRPr="00D82A67">
        <w:rPr>
          <w:rFonts w:ascii="Arial" w:eastAsia="Arial" w:hAnsi="Arial" w:cs="Arial"/>
          <w:color w:val="000000"/>
          <w:sz w:val="20"/>
          <w:lang w:val="cs-CZ"/>
        </w:rPr>
        <w:t>ruše</w:t>
      </w:r>
      <w:r w:rsidR="00B02F02">
        <w:rPr>
          <w:rFonts w:ascii="Arial" w:eastAsia="Arial" w:hAnsi="Arial" w:cs="Arial"/>
          <w:color w:val="000000"/>
          <w:sz w:val="20"/>
          <w:lang w:val="cs-CZ"/>
        </w:rPr>
        <w:t xml:space="preserve">ná rezervace části alokace </w:t>
      </w:r>
      <w:r w:rsidR="00B02F02" w:rsidRPr="00D82A67">
        <w:rPr>
          <w:rFonts w:ascii="Arial" w:eastAsia="Arial" w:hAnsi="Arial" w:cs="Arial"/>
          <w:color w:val="000000"/>
          <w:sz w:val="20"/>
          <w:lang w:val="cs-CZ"/>
        </w:rPr>
        <w:t>přerozdělena mezi ostatní nositele CLLD, tj. mezi ty MAS, které k datu 31. 10. 2019 již vyčerpaly požadovaný limit 41,17 % celkové alokace v IROP a zajistí tak dočerpání této zbývající alokace ve SC 4.1, z kterého prostředky nelze využít na podporu individuálních projektů, ani není nutné jimi řešit případný kurzový rozdíl, který byl již do integrovaných strategií CLLD v průběhu roku 2019 promítnut.</w:t>
      </w:r>
    </w:p>
    <w:p w14:paraId="70C797BA" w14:textId="4259FF47" w:rsidR="00D82A67" w:rsidRPr="00D82A67" w:rsidRDefault="00D82A67" w:rsidP="00D82A67">
      <w:pPr>
        <w:spacing w:after="120" w:line="360" w:lineRule="auto"/>
        <w:ind w:right="105"/>
        <w:jc w:val="both"/>
        <w:rPr>
          <w:rFonts w:ascii="Arial" w:eastAsia="Arial" w:hAnsi="Arial" w:cs="Arial"/>
          <w:color w:val="000000"/>
          <w:sz w:val="20"/>
          <w:lang w:val="cs-CZ"/>
        </w:rPr>
      </w:pPr>
    </w:p>
    <w:p w14:paraId="4B531004" w14:textId="7532E493" w:rsidR="008A7802" w:rsidRPr="001E3EC2" w:rsidRDefault="008A7802" w:rsidP="007B5C25">
      <w:pPr>
        <w:spacing w:after="120" w:line="360" w:lineRule="auto"/>
        <w:ind w:right="105"/>
        <w:jc w:val="both"/>
        <w:rPr>
          <w:rFonts w:ascii="Arial" w:eastAsia="Arial" w:hAnsi="Arial" w:cs="Arial"/>
          <w:color w:val="000000"/>
          <w:sz w:val="20"/>
          <w:lang w:val="cs-CZ"/>
        </w:rPr>
      </w:pPr>
    </w:p>
    <w:p w14:paraId="2014E040" w14:textId="51798CEC" w:rsidR="008A7802" w:rsidRPr="001E3EC2" w:rsidRDefault="0046046C" w:rsidP="008A7802">
      <w:pPr>
        <w:spacing w:after="120" w:line="360" w:lineRule="auto"/>
        <w:ind w:right="105"/>
        <w:rPr>
          <w:rFonts w:ascii="Arial" w:eastAsia="Arial" w:hAnsi="Arial" w:cs="Arial"/>
          <w:b/>
          <w:color w:val="000000"/>
          <w:sz w:val="20"/>
          <w:lang w:val="cs-CZ"/>
        </w:rPr>
      </w:pPr>
      <w:r w:rsidRPr="001E3EC2">
        <w:rPr>
          <w:lang w:val="cs-CZ"/>
        </w:rPr>
        <w:br/>
      </w:r>
    </w:p>
    <w:p w14:paraId="7F769FE5" w14:textId="77777777" w:rsidR="008A7802" w:rsidRPr="001E3EC2" w:rsidRDefault="008A7802">
      <w:pPr>
        <w:rPr>
          <w:rFonts w:ascii="Arial" w:eastAsia="Arial" w:hAnsi="Arial" w:cs="Arial"/>
          <w:b/>
          <w:color w:val="000000"/>
          <w:sz w:val="20"/>
          <w:lang w:val="cs-CZ"/>
        </w:rPr>
      </w:pPr>
      <w:r w:rsidRPr="001E3EC2">
        <w:rPr>
          <w:rFonts w:ascii="Arial" w:eastAsia="Arial" w:hAnsi="Arial" w:cs="Arial"/>
          <w:b/>
          <w:color w:val="000000"/>
          <w:sz w:val="20"/>
          <w:lang w:val="cs-CZ"/>
        </w:rPr>
        <w:br w:type="page"/>
      </w:r>
    </w:p>
    <w:p w14:paraId="02089ABF" w14:textId="4F9B3D8B" w:rsidR="008A7802" w:rsidRDefault="0046046C" w:rsidP="00E806C4">
      <w:pPr>
        <w:spacing w:after="120" w:line="360" w:lineRule="auto"/>
        <w:ind w:right="105"/>
        <w:rPr>
          <w:rFonts w:ascii="Arial" w:eastAsia="Arial" w:hAnsi="Arial" w:cs="Arial"/>
          <w:color w:val="000000"/>
          <w:sz w:val="20"/>
        </w:rPr>
      </w:pPr>
      <w:r w:rsidRPr="002433A0">
        <w:rPr>
          <w:rFonts w:ascii="Arial" w:eastAsia="Arial" w:hAnsi="Arial" w:cs="Arial"/>
          <w:b/>
          <w:color w:val="000000"/>
          <w:sz w:val="20"/>
        </w:rPr>
        <w:t>Predikce plnění limitu N+</w:t>
      </w:r>
      <w:r w:rsidR="008A7802">
        <w:rPr>
          <w:rFonts w:ascii="Arial" w:eastAsia="Arial" w:hAnsi="Arial" w:cs="Arial"/>
          <w:color w:val="000000"/>
          <w:sz w:val="20"/>
        </w:rPr>
        <w:t>3</w:t>
      </w:r>
    </w:p>
    <w:p w14:paraId="6F405D02" w14:textId="077FB387" w:rsidR="00147A52" w:rsidRDefault="0046046C" w:rsidP="00147A52">
      <w:pPr>
        <w:spacing w:after="120" w:line="360" w:lineRule="auto"/>
        <w:ind w:right="105"/>
        <w:jc w:val="both"/>
        <w:rPr>
          <w:rFonts w:ascii="Arial" w:eastAsia="Arial" w:hAnsi="Arial" w:cs="Arial"/>
          <w:color w:val="000000"/>
          <w:sz w:val="20"/>
        </w:rPr>
      </w:pPr>
      <w:r>
        <w:rPr>
          <w:rFonts w:ascii="Arial" w:eastAsia="Arial" w:hAnsi="Arial" w:cs="Arial"/>
          <w:color w:val="000000"/>
          <w:sz w:val="20"/>
        </w:rPr>
        <w:t>ŘO IROP naplnil limit n+3 pro rok 2019 již v červenci tohoto roku. Odeslané žádosti o průběžnou platbu z EK dosáhl</w:t>
      </w:r>
      <w:r w:rsidR="004D3367">
        <w:rPr>
          <w:rFonts w:ascii="Arial" w:eastAsia="Arial" w:hAnsi="Arial" w:cs="Arial"/>
          <w:color w:val="000000"/>
          <w:sz w:val="20"/>
        </w:rPr>
        <w:t>y</w:t>
      </w:r>
      <w:r>
        <w:rPr>
          <w:rFonts w:ascii="Arial" w:eastAsia="Arial" w:hAnsi="Arial" w:cs="Arial"/>
          <w:color w:val="000000"/>
          <w:sz w:val="20"/>
        </w:rPr>
        <w:t xml:space="preserve"> objemu 1</w:t>
      </w:r>
      <w:proofErr w:type="gramStart"/>
      <w:r>
        <w:rPr>
          <w:rFonts w:ascii="Arial" w:eastAsia="Arial" w:hAnsi="Arial" w:cs="Arial"/>
          <w:color w:val="000000"/>
          <w:sz w:val="20"/>
        </w:rPr>
        <w:t>,</w:t>
      </w:r>
      <w:r w:rsidR="003309D0">
        <w:rPr>
          <w:rFonts w:ascii="Arial" w:eastAsia="Arial" w:hAnsi="Arial" w:cs="Arial"/>
          <w:color w:val="000000"/>
          <w:sz w:val="20"/>
        </w:rPr>
        <w:t>7</w:t>
      </w:r>
      <w:proofErr w:type="gramEnd"/>
      <w:r>
        <w:rPr>
          <w:rFonts w:ascii="Arial" w:eastAsia="Arial" w:hAnsi="Arial" w:cs="Arial"/>
          <w:color w:val="000000"/>
          <w:sz w:val="20"/>
        </w:rPr>
        <w:t xml:space="preserve"> mld. EUR, čímž byl převýšen limit čerpání o </w:t>
      </w:r>
      <w:r w:rsidR="00D41052">
        <w:rPr>
          <w:rFonts w:ascii="Arial" w:eastAsia="Arial" w:hAnsi="Arial" w:cs="Arial"/>
          <w:color w:val="000000"/>
          <w:sz w:val="20"/>
        </w:rPr>
        <w:t>38</w:t>
      </w:r>
      <w:r>
        <w:rPr>
          <w:rFonts w:ascii="Arial" w:eastAsia="Arial" w:hAnsi="Arial" w:cs="Arial"/>
          <w:color w:val="000000"/>
          <w:sz w:val="20"/>
        </w:rPr>
        <w:t xml:space="preserve"> %. ŘO IROP i nadále bude zpracovávat měsíční predikce a monitorování plnění limitů čerpání v roce 2020 dle pravidla n+3. Odhady vychází z finančních plánů zaregistrovaných a schválených žádostí o podporu.Vzhledem </w:t>
      </w:r>
      <w:r w:rsidR="008A7802">
        <w:rPr>
          <w:rFonts w:ascii="Arial" w:eastAsia="Arial" w:hAnsi="Arial" w:cs="Arial"/>
          <w:color w:val="000000"/>
          <w:sz w:val="20"/>
        </w:rPr>
        <w:br/>
      </w:r>
      <w:r>
        <w:rPr>
          <w:rFonts w:ascii="Arial" w:eastAsia="Arial" w:hAnsi="Arial" w:cs="Arial"/>
          <w:color w:val="000000"/>
          <w:sz w:val="20"/>
        </w:rPr>
        <w:t xml:space="preserve">k současnému stavu předložených žádostí a k predikci, která byla vypracovaná na začátku tohoto roku, odhaduje ŘO splnění pravidla n+3 pro rok 2020 v 1. </w:t>
      </w:r>
      <w:proofErr w:type="gramStart"/>
      <w:r>
        <w:rPr>
          <w:rFonts w:ascii="Arial" w:eastAsia="Arial" w:hAnsi="Arial" w:cs="Arial"/>
          <w:color w:val="000000"/>
          <w:sz w:val="20"/>
        </w:rPr>
        <w:t>čtvrtletí</w:t>
      </w:r>
      <w:proofErr w:type="gramEnd"/>
      <w:r>
        <w:rPr>
          <w:rFonts w:ascii="Arial" w:eastAsia="Arial" w:hAnsi="Arial" w:cs="Arial"/>
          <w:color w:val="000000"/>
          <w:sz w:val="20"/>
        </w:rPr>
        <w:t xml:space="preserve"> tohoto roku.</w:t>
      </w:r>
    </w:p>
    <w:p w14:paraId="75E5A3CE" w14:textId="4F5E49C1" w:rsidR="008A7802" w:rsidRDefault="0046046C" w:rsidP="00147A52">
      <w:pPr>
        <w:spacing w:after="120" w:line="360" w:lineRule="auto"/>
        <w:ind w:right="105"/>
        <w:jc w:val="both"/>
      </w:pPr>
      <w:r w:rsidRPr="002433A0">
        <w:rPr>
          <w:rFonts w:ascii="Arial" w:eastAsia="Arial" w:hAnsi="Arial" w:cs="Arial"/>
          <w:b/>
          <w:color w:val="000000"/>
          <w:sz w:val="20"/>
        </w:rPr>
        <w:t>Informace o stavu finančního nástroje</w:t>
      </w:r>
    </w:p>
    <w:p w14:paraId="0F133FC0" w14:textId="57C845A9" w:rsidR="00533CD2" w:rsidRPr="00A06E8C" w:rsidRDefault="0046046C" w:rsidP="0000322C">
      <w:pPr>
        <w:spacing w:after="120" w:line="360" w:lineRule="auto"/>
        <w:ind w:right="105"/>
        <w:jc w:val="both"/>
        <w:rPr>
          <w:rFonts w:ascii="Arial" w:eastAsia="Arial" w:hAnsi="Arial" w:cs="Arial"/>
          <w:color w:val="000000"/>
          <w:sz w:val="20"/>
        </w:rPr>
      </w:pPr>
      <w:r>
        <w:rPr>
          <w:rFonts w:ascii="Arial" w:eastAsia="Arial" w:hAnsi="Arial" w:cs="Arial"/>
          <w:color w:val="000000"/>
          <w:sz w:val="20"/>
        </w:rPr>
        <w:t xml:space="preserve">S implementací Finančního nástroje IROP se počítá v SC 2.5 IROP zaměřeném </w:t>
      </w:r>
      <w:proofErr w:type="gramStart"/>
      <w:r>
        <w:rPr>
          <w:rFonts w:ascii="Arial" w:eastAsia="Arial" w:hAnsi="Arial" w:cs="Arial"/>
          <w:color w:val="000000"/>
          <w:sz w:val="20"/>
        </w:rPr>
        <w:t>na</w:t>
      </w:r>
      <w:proofErr w:type="gramEnd"/>
      <w:r>
        <w:rPr>
          <w:rFonts w:ascii="Arial" w:eastAsia="Arial" w:hAnsi="Arial" w:cs="Arial"/>
          <w:color w:val="000000"/>
          <w:sz w:val="20"/>
        </w:rPr>
        <w:t xml:space="preserve"> úspory energie </w:t>
      </w:r>
      <w:r w:rsidR="002433A0">
        <w:rPr>
          <w:rFonts w:ascii="Arial" w:eastAsia="Arial" w:hAnsi="Arial" w:cs="Arial"/>
          <w:color w:val="000000"/>
          <w:sz w:val="20"/>
        </w:rPr>
        <w:br/>
      </w:r>
      <w:r>
        <w:rPr>
          <w:rFonts w:ascii="Arial" w:eastAsia="Arial" w:hAnsi="Arial" w:cs="Arial"/>
          <w:color w:val="000000"/>
          <w:sz w:val="20"/>
        </w:rPr>
        <w:t xml:space="preserve">v bytových domech. Na základě rozhodnutí ministryně pro místní rozvoj došlo po zrušení veřejné zakázky z důvodu nezájmu potencionálních dodavatelů ke změně v přístupu k implementaci FN IROP, kdy FN IROP bude implementován prostřednictvím Státního fondu rozvoje bydlení (SFRB) dle čl. 38, odst. 4) </w:t>
      </w:r>
      <w:proofErr w:type="gramStart"/>
      <w:r>
        <w:rPr>
          <w:rFonts w:ascii="Arial" w:eastAsia="Arial" w:hAnsi="Arial" w:cs="Arial"/>
          <w:color w:val="000000"/>
          <w:sz w:val="20"/>
        </w:rPr>
        <w:t>písm</w:t>
      </w:r>
      <w:proofErr w:type="gramEnd"/>
      <w:r>
        <w:rPr>
          <w:rFonts w:ascii="Arial" w:eastAsia="Arial" w:hAnsi="Arial" w:cs="Arial"/>
          <w:color w:val="000000"/>
          <w:sz w:val="20"/>
        </w:rPr>
        <w:t xml:space="preserve">. c) Obecného nařízení, ve znění Nařízení Evropského Parlamentu a Rady (EU, </w:t>
      </w:r>
      <w:proofErr w:type="gramStart"/>
      <w:r>
        <w:rPr>
          <w:rFonts w:ascii="Arial" w:eastAsia="Arial" w:hAnsi="Arial" w:cs="Arial"/>
          <w:color w:val="000000"/>
          <w:sz w:val="20"/>
        </w:rPr>
        <w:t>Euratom</w:t>
      </w:r>
      <w:proofErr w:type="gramEnd"/>
      <w:r>
        <w:rPr>
          <w:rFonts w:ascii="Arial" w:eastAsia="Arial" w:hAnsi="Arial" w:cs="Arial"/>
          <w:color w:val="000000"/>
          <w:sz w:val="20"/>
        </w:rPr>
        <w:t xml:space="preserve">) 2018/1046. Výběr správce finančního nástroje, tedy SFRB, poté proběhne vyhlášením výzvy Řídicím orgánem IROP, která stanoví požadavky </w:t>
      </w:r>
      <w:proofErr w:type="gramStart"/>
      <w:r>
        <w:rPr>
          <w:rFonts w:ascii="Arial" w:eastAsia="Arial" w:hAnsi="Arial" w:cs="Arial"/>
          <w:color w:val="000000"/>
          <w:sz w:val="20"/>
        </w:rPr>
        <w:t>na</w:t>
      </w:r>
      <w:proofErr w:type="gramEnd"/>
      <w:r>
        <w:rPr>
          <w:rFonts w:ascii="Arial" w:eastAsia="Arial" w:hAnsi="Arial" w:cs="Arial"/>
          <w:color w:val="000000"/>
          <w:sz w:val="20"/>
        </w:rPr>
        <w:t xml:space="preserve"> činnost finančního zprostředkovatele, </w:t>
      </w:r>
      <w:r w:rsidR="006E713C">
        <w:rPr>
          <w:rFonts w:ascii="Arial" w:eastAsia="Arial" w:hAnsi="Arial" w:cs="Arial"/>
          <w:color w:val="000000"/>
          <w:sz w:val="20"/>
        </w:rPr>
        <w:br/>
      </w:r>
      <w:r>
        <w:rPr>
          <w:rFonts w:ascii="Arial" w:eastAsia="Arial" w:hAnsi="Arial" w:cs="Arial"/>
          <w:color w:val="000000"/>
          <w:sz w:val="20"/>
        </w:rPr>
        <w:t xml:space="preserve">a následné svěření prováděcích úkonů SFRB jako finančnímu zprostředkovateli. Výběr správce FN IROP je plánován </w:t>
      </w:r>
      <w:proofErr w:type="gramStart"/>
      <w:r>
        <w:rPr>
          <w:rFonts w:ascii="Arial" w:eastAsia="Arial" w:hAnsi="Arial" w:cs="Arial"/>
          <w:color w:val="000000"/>
          <w:sz w:val="20"/>
        </w:rPr>
        <w:t>na</w:t>
      </w:r>
      <w:proofErr w:type="gramEnd"/>
      <w:r>
        <w:rPr>
          <w:rFonts w:ascii="Arial" w:eastAsia="Arial" w:hAnsi="Arial" w:cs="Arial"/>
          <w:color w:val="000000"/>
          <w:sz w:val="20"/>
        </w:rPr>
        <w:t xml:space="preserve"> 1. </w:t>
      </w:r>
      <w:proofErr w:type="gramStart"/>
      <w:r>
        <w:rPr>
          <w:rFonts w:ascii="Arial" w:eastAsia="Arial" w:hAnsi="Arial" w:cs="Arial"/>
          <w:color w:val="000000"/>
          <w:sz w:val="20"/>
        </w:rPr>
        <w:t>čtvrtletí</w:t>
      </w:r>
      <w:proofErr w:type="gramEnd"/>
      <w:r>
        <w:rPr>
          <w:rFonts w:ascii="Arial" w:eastAsia="Arial" w:hAnsi="Arial" w:cs="Arial"/>
          <w:color w:val="000000"/>
          <w:sz w:val="20"/>
        </w:rPr>
        <w:t xml:space="preserve"> roku 2020. </w:t>
      </w:r>
      <w:r>
        <w:rPr>
          <w:rFonts w:ascii="Arial" w:eastAsia="Arial" w:hAnsi="Arial" w:cs="Arial"/>
          <w:color w:val="000000"/>
          <w:sz w:val="20"/>
        </w:rPr>
        <w:tab/>
      </w:r>
    </w:p>
    <w:p w14:paraId="708164D7" w14:textId="77777777" w:rsidR="00533CD2" w:rsidRDefault="0046046C" w:rsidP="007429C8">
      <w:pPr>
        <w:pStyle w:val="Nadpis1"/>
      </w:pPr>
      <w:bookmarkStart w:id="5" w:name="_Toc40877813"/>
      <w:r>
        <w:t>IMPLEMENTACE PRIORITNÍ OSY (čl. 50 odst. 2 nařízení (EU) č. 1303/2013</w:t>
      </w:r>
      <w:bookmarkEnd w:id="5"/>
    </w:p>
    <w:p w14:paraId="2F067FDF" w14:textId="77777777" w:rsidR="00533CD2" w:rsidRPr="00B477B7" w:rsidRDefault="0046046C" w:rsidP="007429C8">
      <w:pPr>
        <w:pStyle w:val="Nadpis2"/>
      </w:pPr>
      <w:bookmarkStart w:id="6" w:name="_Toc40877814"/>
      <w:r w:rsidRPr="00B477B7">
        <w:t>Přehled implementace</w:t>
      </w:r>
      <w:bookmarkEnd w:id="6"/>
    </w:p>
    <w:tbl>
      <w:tblPr>
        <w:tblW w:w="0" w:type="auto"/>
        <w:tblInd w:w="54" w:type="dxa"/>
        <w:tblLayout w:type="fixed"/>
        <w:tblCellMar>
          <w:left w:w="0" w:type="dxa"/>
          <w:right w:w="0" w:type="dxa"/>
        </w:tblCellMar>
        <w:tblLook w:val="04A0" w:firstRow="1" w:lastRow="0" w:firstColumn="1" w:lastColumn="0" w:noHBand="0" w:noVBand="1"/>
      </w:tblPr>
      <w:tblGrid>
        <w:gridCol w:w="817"/>
        <w:gridCol w:w="2268"/>
        <w:gridCol w:w="5812"/>
      </w:tblGrid>
      <w:tr w:rsidR="00533CD2" w14:paraId="77814D24" w14:textId="77777777">
        <w:trPr>
          <w:tblHeader/>
        </w:trPr>
        <w:tc>
          <w:tcPr>
            <w:tcW w:w="817" w:type="dxa"/>
            <w:tcBorders>
              <w:top w:val="single" w:sz="4" w:space="0" w:color="000000"/>
              <w:left w:val="single" w:sz="4" w:space="0" w:color="000000"/>
              <w:bottom w:val="single" w:sz="4" w:space="0" w:color="000000"/>
              <w:right w:val="single" w:sz="4" w:space="0" w:color="000000"/>
            </w:tcBorders>
            <w:shd w:val="clear" w:color="auto" w:fill="FFFFFF"/>
          </w:tcPr>
          <w:p w14:paraId="276459EA" w14:textId="77777777" w:rsidR="00533CD2" w:rsidRDefault="0046046C">
            <w:pPr>
              <w:spacing w:before="120" w:after="120"/>
              <w:ind w:left="57" w:right="57"/>
              <w:jc w:val="both"/>
              <w:rPr>
                <w:rFonts w:ascii="Arial" w:eastAsia="Arial" w:hAnsi="Arial" w:cs="Arial"/>
                <w:color w:val="000000"/>
                <w:sz w:val="20"/>
              </w:rPr>
            </w:pPr>
            <w:r>
              <w:rPr>
                <w:rFonts w:ascii="Arial" w:eastAsia="Arial" w:hAnsi="Arial" w:cs="Arial"/>
                <w:color w:val="000000"/>
                <w:sz w:val="20"/>
              </w:rPr>
              <w:t>ID</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4FDA3FEC" w14:textId="77777777" w:rsidR="00533CD2" w:rsidRDefault="0046046C">
            <w:pPr>
              <w:spacing w:before="120" w:after="120"/>
              <w:ind w:left="57" w:right="57"/>
              <w:jc w:val="both"/>
              <w:rPr>
                <w:rFonts w:ascii="Arial" w:eastAsia="Arial" w:hAnsi="Arial" w:cs="Arial"/>
                <w:color w:val="000000"/>
                <w:sz w:val="20"/>
              </w:rPr>
            </w:pPr>
            <w:r>
              <w:rPr>
                <w:rFonts w:ascii="Arial" w:eastAsia="Arial" w:hAnsi="Arial" w:cs="Arial"/>
                <w:color w:val="000000"/>
                <w:sz w:val="20"/>
              </w:rPr>
              <w:t>Prioritní osa</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Pr>
          <w:p w14:paraId="02D31961" w14:textId="77777777" w:rsidR="00533CD2" w:rsidRDefault="0046046C">
            <w:pPr>
              <w:spacing w:before="120" w:after="120"/>
              <w:ind w:left="57" w:right="57"/>
              <w:jc w:val="both"/>
              <w:rPr>
                <w:rFonts w:ascii="Arial" w:eastAsia="Arial" w:hAnsi="Arial" w:cs="Arial"/>
                <w:color w:val="000000"/>
                <w:sz w:val="20"/>
              </w:rPr>
            </w:pPr>
            <w:r>
              <w:rPr>
                <w:rFonts w:ascii="Arial" w:eastAsia="Arial" w:hAnsi="Arial" w:cs="Arial"/>
                <w:color w:val="000000"/>
                <w:sz w:val="20"/>
              </w:rPr>
              <w:t>Klíčové informace o implementaci prioritní osy s odkazem na klíčové události, významné problémy a opatření přijatá k jejich odstranění</w:t>
            </w:r>
          </w:p>
        </w:tc>
      </w:tr>
      <w:tr w:rsidR="00533CD2" w14:paraId="1D465107" w14:textId="77777777">
        <w:tc>
          <w:tcPr>
            <w:tcW w:w="817" w:type="dxa"/>
            <w:tcBorders>
              <w:top w:val="single" w:sz="4" w:space="0" w:color="000000"/>
              <w:left w:val="single" w:sz="4" w:space="0" w:color="000000"/>
              <w:bottom w:val="single" w:sz="4" w:space="0" w:color="000000"/>
              <w:right w:val="single" w:sz="4" w:space="0" w:color="000000"/>
            </w:tcBorders>
            <w:shd w:val="clear" w:color="auto" w:fill="FFFFFF"/>
          </w:tcPr>
          <w:p w14:paraId="3679530B" w14:textId="77777777" w:rsidR="00533CD2" w:rsidRDefault="0046046C">
            <w:pPr>
              <w:spacing w:before="120"/>
              <w:ind w:left="57" w:right="57"/>
              <w:jc w:val="both"/>
              <w:rPr>
                <w:rFonts w:ascii="Arial" w:eastAsia="Arial" w:hAnsi="Arial" w:cs="Arial"/>
                <w:color w:val="000000"/>
                <w:sz w:val="14"/>
              </w:rPr>
            </w:pPr>
            <w:r>
              <w:rPr>
                <w:rFonts w:ascii="Arial" w:eastAsia="Arial" w:hAnsi="Arial" w:cs="Arial"/>
                <w:color w:val="000000"/>
                <w:sz w:val="14"/>
              </w:rPr>
              <w:t>06.1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6773AC3A" w14:textId="77777777" w:rsidR="00533CD2" w:rsidRDefault="0046046C">
            <w:pPr>
              <w:spacing w:before="120"/>
              <w:ind w:left="57" w:right="57"/>
              <w:jc w:val="both"/>
              <w:rPr>
                <w:rFonts w:ascii="Arial" w:eastAsia="Arial" w:hAnsi="Arial" w:cs="Arial"/>
                <w:color w:val="000000"/>
                <w:sz w:val="14"/>
              </w:rPr>
            </w:pPr>
            <w:r>
              <w:rPr>
                <w:rFonts w:ascii="Arial" w:eastAsia="Arial" w:hAnsi="Arial" w:cs="Arial"/>
                <w:color w:val="000000"/>
                <w:sz w:val="14"/>
              </w:rPr>
              <w:t>Konkurenceschopné, dostupné a bezpečné regiony</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Pr>
          <w:p w14:paraId="639D2CFD" w14:textId="47AD8915" w:rsidR="00FD1924" w:rsidRDefault="0046046C" w:rsidP="00FD1924">
            <w:pPr>
              <w:spacing w:before="120" w:after="200"/>
              <w:ind w:left="57" w:right="57"/>
              <w:rPr>
                <w:rFonts w:ascii="Arial" w:eastAsia="Arial" w:hAnsi="Arial" w:cs="Arial"/>
                <w:color w:val="000000"/>
                <w:sz w:val="14"/>
              </w:rPr>
            </w:pPr>
            <w:r>
              <w:br/>
            </w:r>
            <w:r>
              <w:rPr>
                <w:rFonts w:ascii="Arial" w:eastAsia="Arial" w:hAnsi="Arial" w:cs="Arial"/>
                <w:color w:val="000000"/>
                <w:sz w:val="14"/>
              </w:rPr>
              <w:t>Vyhlášené výzvy</w:t>
            </w:r>
            <w:r>
              <w:br/>
            </w:r>
            <w:r>
              <w:br/>
            </w:r>
            <w:r>
              <w:rPr>
                <w:rFonts w:ascii="Arial" w:eastAsia="Arial" w:hAnsi="Arial" w:cs="Arial"/>
                <w:color w:val="000000"/>
                <w:sz w:val="14"/>
              </w:rPr>
              <w:t xml:space="preserve">V roce 2019 byly v PO 1 vyhlášeny dvě kolové výzvy v celkové alokaci 3 mld. Kč (117 mil. EUR) příspěvku EU. Výzva určená pro silnice II. </w:t>
            </w:r>
            <w:proofErr w:type="gramStart"/>
            <w:r>
              <w:rPr>
                <w:rFonts w:ascii="Arial" w:eastAsia="Arial" w:hAnsi="Arial" w:cs="Arial"/>
                <w:color w:val="000000"/>
                <w:sz w:val="14"/>
              </w:rPr>
              <w:t>a</w:t>
            </w:r>
            <w:proofErr w:type="gramEnd"/>
            <w:r>
              <w:rPr>
                <w:rFonts w:ascii="Arial" w:eastAsia="Arial" w:hAnsi="Arial" w:cs="Arial"/>
                <w:color w:val="000000"/>
                <w:sz w:val="14"/>
              </w:rPr>
              <w:t xml:space="preserve"> III. </w:t>
            </w:r>
            <w:proofErr w:type="gramStart"/>
            <w:r>
              <w:rPr>
                <w:rFonts w:ascii="Arial" w:eastAsia="Arial" w:hAnsi="Arial" w:cs="Arial"/>
                <w:color w:val="000000"/>
                <w:sz w:val="14"/>
              </w:rPr>
              <w:t>třídy</w:t>
            </w:r>
            <w:proofErr w:type="gramEnd"/>
            <w:r>
              <w:rPr>
                <w:rFonts w:ascii="Arial" w:eastAsia="Arial" w:hAnsi="Arial" w:cs="Arial"/>
                <w:color w:val="000000"/>
                <w:sz w:val="14"/>
              </w:rPr>
              <w:t xml:space="preserve"> (SC 1.1) a Výzva zaměřená na Nízkoemisní a bezemisní vozidla pro uhelné regiony (SC 1.2). Celkem žadatelé předložili 138 projektů za 8 mld. Kč (324 mil. EUR) příspěvku EU.</w:t>
            </w:r>
            <w:r>
              <w:br/>
            </w:r>
            <w:r>
              <w:br/>
            </w:r>
            <w:r>
              <w:rPr>
                <w:rFonts w:ascii="Arial" w:eastAsia="Arial" w:hAnsi="Arial" w:cs="Arial"/>
                <w:color w:val="000000"/>
                <w:sz w:val="14"/>
              </w:rPr>
              <w:t xml:space="preserve">V PO 1 bylo ke dni 31.12.2019 vydáno Rozhodnutí 1 026 projektům v objemu 38 mld. Kč (1 493 mil. EUR) příspěvku EU. Žadatelům bylo proplaceno </w:t>
            </w:r>
            <w:proofErr w:type="gramStart"/>
            <w:r>
              <w:rPr>
                <w:rFonts w:ascii="Arial" w:eastAsia="Arial" w:hAnsi="Arial" w:cs="Arial"/>
                <w:color w:val="000000"/>
                <w:sz w:val="14"/>
              </w:rPr>
              <w:t>1  094</w:t>
            </w:r>
            <w:proofErr w:type="gramEnd"/>
            <w:r>
              <w:rPr>
                <w:rFonts w:ascii="Arial" w:eastAsia="Arial" w:hAnsi="Arial" w:cs="Arial"/>
                <w:color w:val="000000"/>
                <w:sz w:val="14"/>
              </w:rPr>
              <w:t xml:space="preserve"> žádostí o platbu v objemu </w:t>
            </w:r>
            <w:r w:rsidR="00CC6059">
              <w:rPr>
                <w:rFonts w:ascii="Arial" w:eastAsia="Arial" w:hAnsi="Arial" w:cs="Arial"/>
                <w:color w:val="000000"/>
                <w:sz w:val="14"/>
              </w:rPr>
              <w:t>18</w:t>
            </w:r>
            <w:r>
              <w:rPr>
                <w:rFonts w:ascii="Arial" w:eastAsia="Arial" w:hAnsi="Arial" w:cs="Arial"/>
                <w:color w:val="000000"/>
                <w:sz w:val="14"/>
              </w:rPr>
              <w:t xml:space="preserve"> mld. Kč (685 mil. EUR) příspěvku EU. Certifikováno bylo celkem 16 mld. Kč (63</w:t>
            </w:r>
            <w:r w:rsidR="00CC6059">
              <w:rPr>
                <w:rFonts w:ascii="Arial" w:eastAsia="Arial" w:hAnsi="Arial" w:cs="Arial"/>
                <w:color w:val="000000"/>
                <w:sz w:val="14"/>
              </w:rPr>
              <w:t>4</w:t>
            </w:r>
            <w:r>
              <w:rPr>
                <w:rFonts w:ascii="Arial" w:eastAsia="Arial" w:hAnsi="Arial" w:cs="Arial"/>
                <w:color w:val="000000"/>
                <w:sz w:val="14"/>
              </w:rPr>
              <w:t xml:space="preserve"> mil. EUR) příspěvku EU.</w:t>
            </w:r>
            <w:r>
              <w:br/>
            </w:r>
            <w:r>
              <w:br/>
            </w:r>
            <w:r>
              <w:rPr>
                <w:rFonts w:ascii="Arial" w:eastAsia="Arial" w:hAnsi="Arial" w:cs="Arial"/>
                <w:color w:val="000000"/>
                <w:sz w:val="14"/>
              </w:rPr>
              <w:t xml:space="preserve">Problémy a přijatá opatřeníŘO IROP reagoval na přetlak žádostí o podporu ve výzvě 70. Vybrané úseky silnic II. </w:t>
            </w:r>
            <w:proofErr w:type="gramStart"/>
            <w:r>
              <w:rPr>
                <w:rFonts w:ascii="Arial" w:eastAsia="Arial" w:hAnsi="Arial" w:cs="Arial"/>
                <w:color w:val="000000"/>
                <w:sz w:val="14"/>
              </w:rPr>
              <w:t>a</w:t>
            </w:r>
            <w:proofErr w:type="gramEnd"/>
            <w:r>
              <w:rPr>
                <w:rFonts w:ascii="Arial" w:eastAsia="Arial" w:hAnsi="Arial" w:cs="Arial"/>
                <w:color w:val="000000"/>
                <w:sz w:val="14"/>
              </w:rPr>
              <w:t xml:space="preserve"> III. </w:t>
            </w:r>
            <w:proofErr w:type="gramStart"/>
            <w:r>
              <w:rPr>
                <w:rFonts w:ascii="Arial" w:eastAsia="Arial" w:hAnsi="Arial" w:cs="Arial"/>
                <w:color w:val="000000"/>
                <w:sz w:val="14"/>
              </w:rPr>
              <w:t>třídy</w:t>
            </w:r>
            <w:proofErr w:type="gramEnd"/>
            <w:r>
              <w:rPr>
                <w:rFonts w:ascii="Arial" w:eastAsia="Arial" w:hAnsi="Arial" w:cs="Arial"/>
                <w:color w:val="000000"/>
                <w:sz w:val="14"/>
              </w:rPr>
              <w:t xml:space="preserve"> (SC 1.1), navýšením alokace o 2 mld. Kč (78 mil. EUR). Vláda ČR přijala dne 29.4.2019 usnesení č. 301, kterým uložila ministryní financí umožnit přezávazkování IROP o 10 % z jeho celkové alokace, aby bylo možné vyhlásit nové výzvy na podporu silnic II. </w:t>
            </w:r>
            <w:proofErr w:type="gramStart"/>
            <w:r>
              <w:rPr>
                <w:rFonts w:ascii="Arial" w:eastAsia="Arial" w:hAnsi="Arial" w:cs="Arial"/>
                <w:color w:val="000000"/>
                <w:sz w:val="14"/>
              </w:rPr>
              <w:t>a</w:t>
            </w:r>
            <w:proofErr w:type="gramEnd"/>
            <w:r>
              <w:rPr>
                <w:rFonts w:ascii="Arial" w:eastAsia="Arial" w:hAnsi="Arial" w:cs="Arial"/>
                <w:color w:val="000000"/>
                <w:sz w:val="14"/>
              </w:rPr>
              <w:t xml:space="preserve"> III. </w:t>
            </w:r>
            <w:proofErr w:type="gramStart"/>
            <w:r>
              <w:rPr>
                <w:rFonts w:ascii="Arial" w:eastAsia="Arial" w:hAnsi="Arial" w:cs="Arial"/>
                <w:color w:val="000000"/>
                <w:sz w:val="14"/>
              </w:rPr>
              <w:t>třídy</w:t>
            </w:r>
            <w:proofErr w:type="gramEnd"/>
            <w:r>
              <w:rPr>
                <w:rFonts w:ascii="Arial" w:eastAsia="Arial" w:hAnsi="Arial" w:cs="Arial"/>
                <w:color w:val="000000"/>
                <w:sz w:val="14"/>
              </w:rPr>
              <w:t xml:space="preserve">. </w:t>
            </w:r>
          </w:p>
          <w:p w14:paraId="5BA3281A" w14:textId="6770BED9" w:rsidR="00533CD2" w:rsidRDefault="0046046C" w:rsidP="00FD1924">
            <w:pPr>
              <w:spacing w:before="120" w:after="200"/>
              <w:ind w:left="57" w:right="57"/>
              <w:rPr>
                <w:rFonts w:ascii="Arial" w:eastAsia="Arial" w:hAnsi="Arial" w:cs="Arial"/>
                <w:color w:val="000000"/>
                <w:sz w:val="14"/>
              </w:rPr>
            </w:pPr>
            <w:r>
              <w:rPr>
                <w:rFonts w:ascii="Arial" w:eastAsia="Arial" w:hAnsi="Arial" w:cs="Arial"/>
                <w:color w:val="000000"/>
                <w:sz w:val="14"/>
              </w:rPr>
              <w:t>Tímto byla dne 1.11.2019 ŘO IROP udělena ze strany Ministerstva financí výjimka z kapitoly 3.3 Metodického pokynu finančních toků programů.</w:t>
            </w:r>
            <w:r>
              <w:br/>
            </w:r>
            <w:r>
              <w:rPr>
                <w:rFonts w:ascii="Arial" w:eastAsia="Arial" w:hAnsi="Arial" w:cs="Arial"/>
                <w:color w:val="000000"/>
                <w:sz w:val="14"/>
              </w:rPr>
              <w:t xml:space="preserve">Na základě realokace finančních prostředků z OP PIK do IROP, ŘO IROP navýšil alokaci výzvy č. 20 Nízkoemisní a bezemisní vozidla </w:t>
            </w:r>
            <w:r>
              <w:br/>
            </w:r>
            <w:r>
              <w:rPr>
                <w:rFonts w:ascii="Arial" w:eastAsia="Arial" w:hAnsi="Arial" w:cs="Arial"/>
                <w:color w:val="000000"/>
                <w:sz w:val="14"/>
              </w:rPr>
              <w:t>(SC 1.2) o 636 mil. Kč (2</w:t>
            </w:r>
            <w:r w:rsidR="00CC6059">
              <w:rPr>
                <w:rFonts w:ascii="Arial" w:eastAsia="Arial" w:hAnsi="Arial" w:cs="Arial"/>
                <w:color w:val="000000"/>
                <w:sz w:val="14"/>
              </w:rPr>
              <w:t>5</w:t>
            </w:r>
            <w:r>
              <w:rPr>
                <w:rFonts w:ascii="Arial" w:eastAsia="Arial" w:hAnsi="Arial" w:cs="Arial"/>
                <w:color w:val="000000"/>
                <w:sz w:val="14"/>
              </w:rPr>
              <w:t xml:space="preserve"> mil. EUR) příspěvku EU. Díky této realokaci ŘO IROP vyhlásil výzvu č. 89, zbývající prostředky budou využity pro další výzvu v roce 2020.</w:t>
            </w:r>
            <w:r>
              <w:br/>
            </w:r>
            <w:r>
              <w:rPr>
                <w:rFonts w:ascii="Arial" w:eastAsia="Arial" w:hAnsi="Arial" w:cs="Arial"/>
                <w:color w:val="000000"/>
                <w:sz w:val="14"/>
              </w:rPr>
              <w:t>I v roce 2019 u projektů docházelo k posunům harmonogramu realizace projektů, a to především z důvodu opakování a prodlení při realizaci veřejných zakázek. Problematika je řešena Obecnými pravidly pro žadatele a příjemce v kapitole 16.7.</w:t>
            </w:r>
            <w:r>
              <w:br/>
            </w:r>
            <w:r>
              <w:br/>
            </w:r>
            <w:r>
              <w:br/>
            </w:r>
            <w:r>
              <w:br/>
            </w:r>
          </w:p>
        </w:tc>
      </w:tr>
      <w:tr w:rsidR="00533CD2" w14:paraId="10B03E45" w14:textId="77777777">
        <w:tc>
          <w:tcPr>
            <w:tcW w:w="817" w:type="dxa"/>
            <w:tcBorders>
              <w:top w:val="single" w:sz="4" w:space="0" w:color="000000"/>
              <w:left w:val="single" w:sz="4" w:space="0" w:color="000000"/>
              <w:bottom w:val="single" w:sz="4" w:space="0" w:color="000000"/>
              <w:right w:val="single" w:sz="4" w:space="0" w:color="000000"/>
            </w:tcBorders>
            <w:shd w:val="clear" w:color="auto" w:fill="FFFFFF"/>
          </w:tcPr>
          <w:p w14:paraId="2D9F3C61" w14:textId="77777777" w:rsidR="00533CD2" w:rsidRDefault="0046046C">
            <w:pPr>
              <w:spacing w:before="120"/>
              <w:ind w:left="57" w:right="57"/>
              <w:jc w:val="both"/>
              <w:rPr>
                <w:rFonts w:ascii="Arial" w:eastAsia="Arial" w:hAnsi="Arial" w:cs="Arial"/>
                <w:color w:val="000000"/>
                <w:sz w:val="14"/>
              </w:rPr>
            </w:pPr>
            <w:r>
              <w:rPr>
                <w:rFonts w:ascii="Arial" w:eastAsia="Arial" w:hAnsi="Arial" w:cs="Arial"/>
                <w:color w:val="000000"/>
                <w:sz w:val="14"/>
              </w:rPr>
              <w:t>06.2</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50DC2FFA" w14:textId="77777777" w:rsidR="00533CD2" w:rsidRDefault="0046046C">
            <w:pPr>
              <w:spacing w:before="120"/>
              <w:ind w:left="57" w:right="57"/>
              <w:jc w:val="both"/>
              <w:rPr>
                <w:rFonts w:ascii="Arial" w:eastAsia="Arial" w:hAnsi="Arial" w:cs="Arial"/>
                <w:color w:val="000000"/>
                <w:sz w:val="14"/>
              </w:rPr>
            </w:pPr>
            <w:r>
              <w:rPr>
                <w:rFonts w:ascii="Arial" w:eastAsia="Arial" w:hAnsi="Arial" w:cs="Arial"/>
                <w:color w:val="000000"/>
                <w:sz w:val="14"/>
              </w:rPr>
              <w:t>Zkvalitnění veřejných služeb a podmínek života pro obyvatele regionů</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Pr>
          <w:p w14:paraId="2A296263" w14:textId="58CACEBE" w:rsidR="00533CD2" w:rsidRDefault="0046046C" w:rsidP="00CC6DCC">
            <w:pPr>
              <w:spacing w:before="120" w:after="200"/>
              <w:ind w:left="57" w:right="57"/>
              <w:rPr>
                <w:rFonts w:ascii="Arial" w:eastAsia="Arial" w:hAnsi="Arial" w:cs="Arial"/>
                <w:color w:val="000000"/>
                <w:sz w:val="14"/>
              </w:rPr>
            </w:pPr>
            <w:r>
              <w:br/>
            </w:r>
            <w:r>
              <w:rPr>
                <w:rFonts w:ascii="Arial" w:eastAsia="Arial" w:hAnsi="Arial" w:cs="Arial"/>
                <w:color w:val="000000"/>
                <w:sz w:val="14"/>
              </w:rPr>
              <w:t>Vyhlášené výzvy</w:t>
            </w:r>
            <w:r>
              <w:br/>
            </w:r>
            <w:r>
              <w:br/>
            </w:r>
            <w:r>
              <w:rPr>
                <w:rFonts w:ascii="Arial" w:eastAsia="Arial" w:hAnsi="Arial" w:cs="Arial"/>
                <w:color w:val="000000"/>
                <w:sz w:val="14"/>
              </w:rPr>
              <w:t>ŘO IROP vyhlásil kolovou výzvu č. 90 "Sociální podnikání pro KPSVL" (SC 2.2) s alokací 60 mil. Kč (2 mil. EUR) příspěvku EU a průběžnou výzvu č. 92 "Infrakstruktura základních škol pro uhlení regiony" (SC 2.4) s alokací 265 mil. Kč (10 mil. EUR) příspěvku EU.</w:t>
            </w:r>
            <w:r>
              <w:br/>
            </w:r>
            <w:r>
              <w:br/>
            </w:r>
            <w:r w:rsidR="00B05361">
              <w:rPr>
                <w:rFonts w:ascii="Arial" w:eastAsia="Arial" w:hAnsi="Arial" w:cs="Arial"/>
                <w:color w:val="000000"/>
                <w:sz w:val="14"/>
              </w:rPr>
              <w:t>V PO 2</w:t>
            </w:r>
            <w:r>
              <w:rPr>
                <w:rFonts w:ascii="Arial" w:eastAsia="Arial" w:hAnsi="Arial" w:cs="Arial"/>
                <w:color w:val="000000"/>
                <w:sz w:val="14"/>
              </w:rPr>
              <w:t xml:space="preserve"> bylo ke dni 31.12.2019 vydáno Rozhodnutí 4 133 projektům v objemu 3</w:t>
            </w:r>
            <w:r w:rsidR="00CC6DCC">
              <w:rPr>
                <w:rFonts w:ascii="Arial" w:eastAsia="Arial" w:hAnsi="Arial" w:cs="Arial"/>
                <w:color w:val="000000"/>
                <w:sz w:val="14"/>
              </w:rPr>
              <w:t>8</w:t>
            </w:r>
            <w:r>
              <w:rPr>
                <w:rFonts w:ascii="Arial" w:eastAsia="Arial" w:hAnsi="Arial" w:cs="Arial"/>
                <w:color w:val="000000"/>
                <w:sz w:val="14"/>
              </w:rPr>
              <w:t xml:space="preserve">mld. Kč (1 475 mil. EUR) příspěvku EU. Žadatelům bylo proplaceno </w:t>
            </w:r>
            <w:proofErr w:type="gramStart"/>
            <w:r>
              <w:rPr>
                <w:rFonts w:ascii="Arial" w:eastAsia="Arial" w:hAnsi="Arial" w:cs="Arial"/>
                <w:color w:val="000000"/>
                <w:sz w:val="14"/>
              </w:rPr>
              <w:t>3  606</w:t>
            </w:r>
            <w:proofErr w:type="gramEnd"/>
            <w:r>
              <w:rPr>
                <w:rFonts w:ascii="Arial" w:eastAsia="Arial" w:hAnsi="Arial" w:cs="Arial"/>
                <w:color w:val="000000"/>
                <w:sz w:val="14"/>
              </w:rPr>
              <w:t xml:space="preserve"> žádostí o platbu v objemu 19 mld. Kč (685 mil. EUR) příspěvku EU. Certifikováno bylo celkem </w:t>
            </w:r>
            <w:r w:rsidR="00C94079">
              <w:rPr>
                <w:rFonts w:ascii="Arial" w:eastAsia="Arial" w:hAnsi="Arial" w:cs="Arial"/>
                <w:color w:val="000000"/>
                <w:sz w:val="14"/>
              </w:rPr>
              <w:t>1</w:t>
            </w:r>
            <w:r w:rsidR="00CC6DCC">
              <w:rPr>
                <w:rFonts w:ascii="Arial" w:eastAsia="Arial" w:hAnsi="Arial" w:cs="Arial"/>
                <w:color w:val="000000"/>
                <w:sz w:val="14"/>
              </w:rPr>
              <w:t>8</w:t>
            </w:r>
            <w:r>
              <w:rPr>
                <w:rFonts w:ascii="Arial" w:eastAsia="Arial" w:hAnsi="Arial" w:cs="Arial"/>
                <w:color w:val="000000"/>
                <w:sz w:val="14"/>
              </w:rPr>
              <w:t>mld. Kč (</w:t>
            </w:r>
            <w:r w:rsidR="00C94079" w:rsidRPr="00E35C7C">
              <w:rPr>
                <w:rFonts w:ascii="Arial" w:eastAsia="Arial" w:hAnsi="Arial" w:cs="Arial"/>
                <w:color w:val="000000"/>
                <w:sz w:val="14"/>
              </w:rPr>
              <w:t>68</w:t>
            </w:r>
            <w:r w:rsidR="00CC6DCC">
              <w:rPr>
                <w:rFonts w:ascii="Arial" w:eastAsia="Arial" w:hAnsi="Arial" w:cs="Arial"/>
                <w:color w:val="000000"/>
                <w:sz w:val="14"/>
              </w:rPr>
              <w:t>6</w:t>
            </w:r>
            <w:r w:rsidRPr="00E35C7C">
              <w:rPr>
                <w:rFonts w:ascii="Arial" w:eastAsia="Arial" w:hAnsi="Arial" w:cs="Arial"/>
                <w:color w:val="000000"/>
                <w:sz w:val="14"/>
              </w:rPr>
              <w:t>, mil</w:t>
            </w:r>
            <w:r>
              <w:rPr>
                <w:rFonts w:ascii="Arial" w:eastAsia="Arial" w:hAnsi="Arial" w:cs="Arial"/>
                <w:color w:val="000000"/>
                <w:sz w:val="14"/>
              </w:rPr>
              <w:t>. EUR) příspěvku EU.</w:t>
            </w:r>
            <w:r>
              <w:br/>
            </w:r>
            <w:r>
              <w:br/>
            </w:r>
            <w:r>
              <w:rPr>
                <w:rFonts w:ascii="Arial" w:eastAsia="Arial" w:hAnsi="Arial" w:cs="Arial"/>
                <w:color w:val="000000"/>
                <w:sz w:val="14"/>
              </w:rPr>
              <w:t>Problémy a přijatá opatření</w:t>
            </w:r>
            <w:r>
              <w:br/>
            </w:r>
            <w:r>
              <w:br/>
            </w:r>
            <w:r>
              <w:rPr>
                <w:rFonts w:ascii="Arial" w:eastAsia="Arial" w:hAnsi="Arial" w:cs="Arial"/>
                <w:color w:val="000000"/>
                <w:sz w:val="14"/>
              </w:rPr>
              <w:t xml:space="preserve">U výzev č. 34 Sociální bydlení a č. 35 Sociální bydlení pro SVL (SC 2.1) byla aktualizována Specifická pravidla výzvy. Hlavním důvodem revize Specifických pravidel byla úprava parametrů sociálního bydlení v oblasti metodiky výpočtu maximální příjmové hranice nájemníků při uzavírání nebo prodlužování nájemní smlouvy. Provedené změny administrativního rázu jsou popsány v přehledu v úvodní části Specifických pravidel. ŘO IROP vydal pro výzvy č. 79 Sociální bydlení II. </w:t>
            </w:r>
            <w:proofErr w:type="gramStart"/>
            <w:r>
              <w:rPr>
                <w:rFonts w:ascii="Arial" w:eastAsia="Arial" w:hAnsi="Arial" w:cs="Arial"/>
                <w:color w:val="000000"/>
                <w:sz w:val="14"/>
              </w:rPr>
              <w:t>a</w:t>
            </w:r>
            <w:proofErr w:type="gramEnd"/>
            <w:r>
              <w:rPr>
                <w:rFonts w:ascii="Arial" w:eastAsia="Arial" w:hAnsi="Arial" w:cs="Arial"/>
                <w:color w:val="000000"/>
                <w:sz w:val="14"/>
              </w:rPr>
              <w:t xml:space="preserve"> č. 80 Sociální bydlení pro sociálně vyloučené lokality II. Závazné stanovisko č. 13 za účelem zpřesnění výkladu pojmu "doporučená hranice" v oblasti podpory de minimis SOHZ. Doporučená hranice 450 000 EUR </w:t>
            </w:r>
            <w:proofErr w:type="gramStart"/>
            <w:r>
              <w:rPr>
                <w:rFonts w:ascii="Arial" w:eastAsia="Arial" w:hAnsi="Arial" w:cs="Arial"/>
                <w:color w:val="000000"/>
                <w:sz w:val="14"/>
              </w:rPr>
              <w:t>byla  stanovena</w:t>
            </w:r>
            <w:proofErr w:type="gramEnd"/>
            <w:r>
              <w:rPr>
                <w:rFonts w:ascii="Arial" w:eastAsia="Arial" w:hAnsi="Arial" w:cs="Arial"/>
                <w:color w:val="000000"/>
                <w:sz w:val="14"/>
              </w:rPr>
              <w:t xml:space="preserve"> pro výše uvedené výzvy z důvodu nestability měnového kurzu. </w:t>
            </w:r>
            <w:r>
              <w:br/>
            </w:r>
            <w:r>
              <w:rPr>
                <w:rFonts w:ascii="Arial" w:eastAsia="Arial" w:hAnsi="Arial" w:cs="Arial"/>
                <w:color w:val="000000"/>
                <w:sz w:val="14"/>
              </w:rPr>
              <w:t>Na počátku roku 2019 byl v SC 2.5 identifikován nedostatek minerální vaty na trhu. V průběhu realizace stavebních zakázek došlo ke skokové poptávce po tomto materiálu, v důsledku čehož se tento produkt stal nedostatkovým. ŘO v návaznosti na tuto skutečnost vydal Záznam k realizaci č. 184 "Akceptace změny termínu a navýšení ceny veřejné zakázky v důsledku nedostatku minerální vaty na trhu".</w:t>
            </w:r>
          </w:p>
        </w:tc>
      </w:tr>
      <w:tr w:rsidR="00533CD2" w14:paraId="21F0E30E" w14:textId="77777777">
        <w:tc>
          <w:tcPr>
            <w:tcW w:w="817" w:type="dxa"/>
            <w:tcBorders>
              <w:top w:val="single" w:sz="4" w:space="0" w:color="000000"/>
              <w:left w:val="single" w:sz="4" w:space="0" w:color="000000"/>
              <w:bottom w:val="single" w:sz="4" w:space="0" w:color="000000"/>
              <w:right w:val="single" w:sz="4" w:space="0" w:color="000000"/>
            </w:tcBorders>
            <w:shd w:val="clear" w:color="auto" w:fill="FFFFFF"/>
          </w:tcPr>
          <w:p w14:paraId="5451896C" w14:textId="77777777" w:rsidR="00533CD2" w:rsidRDefault="0046046C">
            <w:pPr>
              <w:spacing w:before="120"/>
              <w:ind w:left="57" w:right="57"/>
              <w:jc w:val="both"/>
              <w:rPr>
                <w:rFonts w:ascii="Arial" w:eastAsia="Arial" w:hAnsi="Arial" w:cs="Arial"/>
                <w:color w:val="000000"/>
                <w:sz w:val="14"/>
              </w:rPr>
            </w:pPr>
            <w:r>
              <w:rPr>
                <w:rFonts w:ascii="Arial" w:eastAsia="Arial" w:hAnsi="Arial" w:cs="Arial"/>
                <w:color w:val="000000"/>
                <w:sz w:val="14"/>
              </w:rPr>
              <w:t>06.3</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5711E274" w14:textId="77777777" w:rsidR="00533CD2" w:rsidRDefault="0046046C">
            <w:pPr>
              <w:spacing w:before="120"/>
              <w:ind w:left="57" w:right="57"/>
              <w:jc w:val="both"/>
              <w:rPr>
                <w:rFonts w:ascii="Arial" w:eastAsia="Arial" w:hAnsi="Arial" w:cs="Arial"/>
                <w:color w:val="000000"/>
                <w:sz w:val="14"/>
              </w:rPr>
            </w:pPr>
            <w:r>
              <w:rPr>
                <w:rFonts w:ascii="Arial" w:eastAsia="Arial" w:hAnsi="Arial" w:cs="Arial"/>
                <w:color w:val="000000"/>
                <w:sz w:val="14"/>
              </w:rPr>
              <w:t>Dobrá správa území a zefektivnění veřejných institucí</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Pr>
          <w:p w14:paraId="64295D65" w14:textId="313B7B65" w:rsidR="00533CD2" w:rsidRDefault="0046046C" w:rsidP="00CC6DCC">
            <w:pPr>
              <w:spacing w:before="120" w:after="200"/>
              <w:ind w:left="57" w:right="57"/>
              <w:rPr>
                <w:rFonts w:ascii="Arial" w:eastAsia="Arial" w:hAnsi="Arial" w:cs="Arial"/>
                <w:color w:val="000000"/>
                <w:sz w:val="14"/>
              </w:rPr>
            </w:pPr>
            <w:r>
              <w:br/>
            </w:r>
            <w:r>
              <w:rPr>
                <w:rFonts w:ascii="Arial" w:eastAsia="Arial" w:hAnsi="Arial" w:cs="Arial"/>
                <w:color w:val="000000"/>
                <w:sz w:val="14"/>
              </w:rPr>
              <w:t>Vyhlášené výzvy</w:t>
            </w:r>
            <w:r>
              <w:br/>
            </w:r>
            <w:r>
              <w:br/>
            </w:r>
            <w:r>
              <w:rPr>
                <w:rFonts w:ascii="Arial" w:eastAsia="Arial" w:hAnsi="Arial" w:cs="Arial"/>
                <w:color w:val="000000"/>
                <w:sz w:val="14"/>
              </w:rPr>
              <w:t xml:space="preserve">V roce 2019 nebyly v PO 3 vyhlášeny žádné nové výzvy. </w:t>
            </w:r>
            <w:r>
              <w:br/>
            </w:r>
            <w:r>
              <w:br/>
            </w:r>
            <w:r w:rsidR="00B05361">
              <w:rPr>
                <w:rFonts w:ascii="Arial" w:eastAsia="Arial" w:hAnsi="Arial" w:cs="Arial"/>
                <w:color w:val="000000"/>
                <w:sz w:val="14"/>
              </w:rPr>
              <w:t>V PO 3</w:t>
            </w:r>
            <w:r>
              <w:rPr>
                <w:rFonts w:ascii="Arial" w:eastAsia="Arial" w:hAnsi="Arial" w:cs="Arial"/>
                <w:color w:val="000000"/>
                <w:sz w:val="14"/>
              </w:rPr>
              <w:t xml:space="preserve"> bylo ke dni 31.12.2019 vydáno Rozhodnutí 706 projektům v objemu 19 mld. Kč (756 mil. EUR) příspěvku EU. Žadatelům bylo proplaceno 886 žádostí o platbu v objemu </w:t>
            </w:r>
            <w:r w:rsidR="00CC6DCC">
              <w:rPr>
                <w:rFonts w:ascii="Arial" w:eastAsia="Arial" w:hAnsi="Arial" w:cs="Arial"/>
                <w:color w:val="000000"/>
                <w:sz w:val="14"/>
              </w:rPr>
              <w:t>4</w:t>
            </w:r>
            <w:r>
              <w:rPr>
                <w:rFonts w:ascii="Arial" w:eastAsia="Arial" w:hAnsi="Arial" w:cs="Arial"/>
                <w:color w:val="000000"/>
                <w:sz w:val="14"/>
              </w:rPr>
              <w:t xml:space="preserve"> mld. Kč (13</w:t>
            </w:r>
            <w:r w:rsidR="00CC6DCC">
              <w:rPr>
                <w:rFonts w:ascii="Arial" w:eastAsia="Arial" w:hAnsi="Arial" w:cs="Arial"/>
                <w:color w:val="000000"/>
                <w:sz w:val="14"/>
              </w:rPr>
              <w:t>8</w:t>
            </w:r>
            <w:r>
              <w:rPr>
                <w:rFonts w:ascii="Arial" w:eastAsia="Arial" w:hAnsi="Arial" w:cs="Arial"/>
                <w:color w:val="000000"/>
                <w:sz w:val="14"/>
              </w:rPr>
              <w:t>mil. EUR) příspěvku EU. Certifikováno bylo celkem 3 mld. Kč (12</w:t>
            </w:r>
            <w:r w:rsidR="00CC6DCC">
              <w:rPr>
                <w:rFonts w:ascii="Arial" w:eastAsia="Arial" w:hAnsi="Arial" w:cs="Arial"/>
                <w:color w:val="000000"/>
                <w:sz w:val="14"/>
              </w:rPr>
              <w:t>1</w:t>
            </w:r>
            <w:r>
              <w:rPr>
                <w:rFonts w:ascii="Arial" w:eastAsia="Arial" w:hAnsi="Arial" w:cs="Arial"/>
                <w:color w:val="000000"/>
                <w:sz w:val="14"/>
              </w:rPr>
              <w:t xml:space="preserve"> mil. EUR) příspěvku EU.</w:t>
            </w:r>
            <w:r>
              <w:br/>
            </w:r>
            <w:r>
              <w:br/>
            </w:r>
            <w:r>
              <w:rPr>
                <w:rFonts w:ascii="Arial" w:eastAsia="Arial" w:hAnsi="Arial" w:cs="Arial"/>
                <w:color w:val="000000"/>
                <w:sz w:val="14"/>
              </w:rPr>
              <w:t>Problémy a přijatá opatření</w:t>
            </w:r>
            <w:r>
              <w:br/>
            </w:r>
            <w:r>
              <w:br/>
            </w:r>
            <w:r>
              <w:rPr>
                <w:rFonts w:ascii="Arial" w:eastAsia="Arial" w:hAnsi="Arial" w:cs="Arial"/>
                <w:color w:val="000000"/>
                <w:sz w:val="14"/>
              </w:rPr>
              <w:t xml:space="preserve">V SC 3.1 docházelo </w:t>
            </w:r>
            <w:proofErr w:type="gramStart"/>
            <w:r>
              <w:rPr>
                <w:rFonts w:ascii="Arial" w:eastAsia="Arial" w:hAnsi="Arial" w:cs="Arial"/>
                <w:color w:val="000000"/>
                <w:sz w:val="14"/>
              </w:rPr>
              <w:t>k  posunům</w:t>
            </w:r>
            <w:proofErr w:type="gramEnd"/>
            <w:r>
              <w:rPr>
                <w:rFonts w:ascii="Arial" w:eastAsia="Arial" w:hAnsi="Arial" w:cs="Arial"/>
                <w:color w:val="000000"/>
                <w:sz w:val="14"/>
              </w:rPr>
              <w:t xml:space="preserve"> v harmonogramu realizace projektů u většiny projektů památek a muzeí z důvodu opakovaných výběrových řízení na dodavetele stavby, v řadě případů se jednalo o posun za termín výzvy. Opatřením ŘO IROP bylo umožnění prodlužování projektů ve striktně daných případech (Obecná pr</w:t>
            </w:r>
            <w:r w:rsidR="00B05361">
              <w:rPr>
                <w:rFonts w:ascii="Arial" w:eastAsia="Arial" w:hAnsi="Arial" w:cs="Arial"/>
                <w:color w:val="000000"/>
                <w:sz w:val="14"/>
              </w:rPr>
              <w:t>avidla pro žadatele a příjemce.</w:t>
            </w:r>
            <w:r>
              <w:br/>
            </w:r>
            <w:r>
              <w:rPr>
                <w:rFonts w:ascii="Arial" w:eastAsia="Arial" w:hAnsi="Arial" w:cs="Arial"/>
                <w:color w:val="000000"/>
                <w:sz w:val="14"/>
              </w:rPr>
              <w:t>Ř</w:t>
            </w:r>
            <w:r w:rsidR="00C31D4F">
              <w:rPr>
                <w:rFonts w:ascii="Arial" w:eastAsia="Arial" w:hAnsi="Arial" w:cs="Arial"/>
                <w:color w:val="000000"/>
                <w:sz w:val="14"/>
              </w:rPr>
              <w:t>O IROP v červnu 2019 navýšil</w:t>
            </w:r>
            <w:r>
              <w:rPr>
                <w:rFonts w:ascii="Arial" w:eastAsia="Arial" w:hAnsi="Arial" w:cs="Arial"/>
                <w:color w:val="000000"/>
                <w:sz w:val="14"/>
              </w:rPr>
              <w:t xml:space="preserve"> celkov</w:t>
            </w:r>
            <w:r w:rsidR="00C31D4F">
              <w:rPr>
                <w:rFonts w:ascii="Arial" w:eastAsia="Arial" w:hAnsi="Arial" w:cs="Arial"/>
                <w:color w:val="000000"/>
                <w:sz w:val="14"/>
              </w:rPr>
              <w:t>ou částku</w:t>
            </w:r>
            <w:r>
              <w:rPr>
                <w:rFonts w:ascii="Arial" w:eastAsia="Arial" w:hAnsi="Arial" w:cs="Arial"/>
                <w:color w:val="000000"/>
                <w:sz w:val="14"/>
              </w:rPr>
              <w:t xml:space="preserve"> dotace z EFRR u 10. </w:t>
            </w:r>
            <w:proofErr w:type="gramStart"/>
            <w:r>
              <w:rPr>
                <w:rFonts w:ascii="Arial" w:eastAsia="Arial" w:hAnsi="Arial" w:cs="Arial"/>
                <w:color w:val="000000"/>
                <w:sz w:val="14"/>
              </w:rPr>
              <w:t>a</w:t>
            </w:r>
            <w:proofErr w:type="gramEnd"/>
            <w:r>
              <w:rPr>
                <w:rFonts w:ascii="Arial" w:eastAsia="Arial" w:hAnsi="Arial" w:cs="Arial"/>
                <w:color w:val="000000"/>
                <w:sz w:val="14"/>
              </w:rPr>
              <w:t xml:space="preserve"> 26. </w:t>
            </w:r>
            <w:proofErr w:type="gramStart"/>
            <w:r>
              <w:rPr>
                <w:rFonts w:ascii="Arial" w:eastAsia="Arial" w:hAnsi="Arial" w:cs="Arial"/>
                <w:color w:val="000000"/>
                <w:sz w:val="14"/>
              </w:rPr>
              <w:t>výzvy</w:t>
            </w:r>
            <w:proofErr w:type="gramEnd"/>
            <w:r>
              <w:rPr>
                <w:rFonts w:ascii="Arial" w:eastAsia="Arial" w:hAnsi="Arial" w:cs="Arial"/>
                <w:color w:val="000000"/>
                <w:sz w:val="14"/>
              </w:rPr>
              <w:t xml:space="preserve"> (SC 3.2).  Pro navýšení byly využity finanční zdroje z předpokládaných úspor SC 3.2. Finanční prostředky byly nabídnuty všem projektům, které byly vedeny na seznamu náhradních projektů. V rámci přípravy a realizace veřejných zakázek dochází k prodlením, a to vlivem pochybení zadavatelů, ale i jednáním neúspěšných uchazečů. Problematika je řešena Obecnými pravidly pro žadatele a příjemce v kapitole 16.7. </w:t>
            </w:r>
            <w:r>
              <w:br/>
            </w:r>
            <w:r>
              <w:rPr>
                <w:rFonts w:ascii="Arial" w:eastAsia="Arial" w:hAnsi="Arial" w:cs="Arial"/>
                <w:color w:val="000000"/>
                <w:sz w:val="14"/>
              </w:rPr>
              <w:t>V listopadu 2019 proběhla revize všech výzev SC 3.3, kterou se posunulo datum</w:t>
            </w:r>
            <w:r w:rsidR="00593330">
              <w:rPr>
                <w:rFonts w:ascii="Arial" w:eastAsia="Arial" w:hAnsi="Arial" w:cs="Arial"/>
                <w:color w:val="000000"/>
                <w:sz w:val="14"/>
              </w:rPr>
              <w:t xml:space="preserve"> ukončení realizace projektů </w:t>
            </w:r>
            <w:r>
              <w:rPr>
                <w:rFonts w:ascii="Arial" w:eastAsia="Arial" w:hAnsi="Arial" w:cs="Arial"/>
                <w:color w:val="000000"/>
                <w:sz w:val="14"/>
              </w:rPr>
              <w:t xml:space="preserve">z 31.12.2019 na 30.6.2023. Stalo se tak z důvodu schválení novely stavebního zákona (zákon č. 183/2006 Sb., o územním plánování a stavebním řádu (stavební zákon) k 1.1.2018, která </w:t>
            </w:r>
            <w:proofErr w:type="gramStart"/>
            <w:r>
              <w:rPr>
                <w:rFonts w:ascii="Arial" w:eastAsia="Arial" w:hAnsi="Arial" w:cs="Arial"/>
                <w:color w:val="000000"/>
                <w:sz w:val="14"/>
              </w:rPr>
              <w:t>je  významnou</w:t>
            </w:r>
            <w:proofErr w:type="gramEnd"/>
            <w:r>
              <w:rPr>
                <w:rFonts w:ascii="Arial" w:eastAsia="Arial" w:hAnsi="Arial" w:cs="Arial"/>
                <w:color w:val="000000"/>
                <w:sz w:val="14"/>
              </w:rPr>
              <w:t xml:space="preserve"> a neočekávanou komplikací znesnadňující dokončení projektů ve výzvě v původních termínech. V srpnu 2019 </w:t>
            </w:r>
            <w:proofErr w:type="gramStart"/>
            <w:r w:rsidR="00D347F6">
              <w:rPr>
                <w:rFonts w:ascii="Arial" w:eastAsia="Arial" w:hAnsi="Arial" w:cs="Arial"/>
                <w:color w:val="000000"/>
                <w:sz w:val="14"/>
              </w:rPr>
              <w:t xml:space="preserve">ŘO </w:t>
            </w:r>
            <w:r>
              <w:rPr>
                <w:rFonts w:ascii="Arial" w:eastAsia="Arial" w:hAnsi="Arial" w:cs="Arial"/>
                <w:color w:val="000000"/>
                <w:sz w:val="14"/>
              </w:rPr>
              <w:t xml:space="preserve"> navýš</w:t>
            </w:r>
            <w:r w:rsidR="00D347F6">
              <w:rPr>
                <w:rFonts w:ascii="Arial" w:eastAsia="Arial" w:hAnsi="Arial" w:cs="Arial"/>
                <w:color w:val="000000"/>
                <w:sz w:val="14"/>
              </w:rPr>
              <w:t>il</w:t>
            </w:r>
            <w:proofErr w:type="gramEnd"/>
            <w:r>
              <w:rPr>
                <w:rFonts w:ascii="Arial" w:eastAsia="Arial" w:hAnsi="Arial" w:cs="Arial"/>
                <w:color w:val="000000"/>
                <w:sz w:val="14"/>
              </w:rPr>
              <w:t xml:space="preserve"> alokac</w:t>
            </w:r>
            <w:r w:rsidR="00D347F6">
              <w:rPr>
                <w:rFonts w:ascii="Arial" w:eastAsia="Arial" w:hAnsi="Arial" w:cs="Arial"/>
                <w:color w:val="000000"/>
                <w:sz w:val="14"/>
              </w:rPr>
              <w:t>i</w:t>
            </w:r>
            <w:r>
              <w:rPr>
                <w:rFonts w:ascii="Arial" w:eastAsia="Arial" w:hAnsi="Arial" w:cs="Arial"/>
                <w:color w:val="000000"/>
                <w:sz w:val="14"/>
              </w:rPr>
              <w:t xml:space="preserve"> výzvy č. 9 Územní studie o </w:t>
            </w:r>
            <w:r w:rsidR="00CC6DCC">
              <w:rPr>
                <w:rFonts w:ascii="Arial" w:eastAsia="Arial" w:hAnsi="Arial" w:cs="Arial"/>
                <w:color w:val="000000"/>
                <w:sz w:val="14"/>
              </w:rPr>
              <w:t>7</w:t>
            </w:r>
            <w:r>
              <w:rPr>
                <w:rFonts w:ascii="Arial" w:eastAsia="Arial" w:hAnsi="Arial" w:cs="Arial"/>
                <w:color w:val="000000"/>
                <w:sz w:val="14"/>
              </w:rPr>
              <w:t xml:space="preserve"> mil. Kč (265tis. EUR) příspěvku EU.</w:t>
            </w:r>
            <w:r>
              <w:br/>
            </w:r>
            <w:r>
              <w:br/>
            </w:r>
            <w:r>
              <w:br/>
            </w:r>
          </w:p>
        </w:tc>
      </w:tr>
      <w:tr w:rsidR="00533CD2" w14:paraId="1DEAC244" w14:textId="77777777">
        <w:tc>
          <w:tcPr>
            <w:tcW w:w="817" w:type="dxa"/>
            <w:tcBorders>
              <w:top w:val="single" w:sz="4" w:space="0" w:color="000000"/>
              <w:left w:val="single" w:sz="4" w:space="0" w:color="000000"/>
              <w:bottom w:val="single" w:sz="4" w:space="0" w:color="000000"/>
              <w:right w:val="single" w:sz="4" w:space="0" w:color="000000"/>
            </w:tcBorders>
            <w:shd w:val="clear" w:color="auto" w:fill="FFFFFF"/>
          </w:tcPr>
          <w:p w14:paraId="31435120" w14:textId="77777777" w:rsidR="00533CD2" w:rsidRDefault="0046046C">
            <w:pPr>
              <w:spacing w:before="120"/>
              <w:ind w:left="57" w:right="57"/>
              <w:jc w:val="both"/>
              <w:rPr>
                <w:rFonts w:ascii="Arial" w:eastAsia="Arial" w:hAnsi="Arial" w:cs="Arial"/>
                <w:color w:val="000000"/>
                <w:sz w:val="14"/>
              </w:rPr>
            </w:pPr>
            <w:r>
              <w:rPr>
                <w:rFonts w:ascii="Arial" w:eastAsia="Arial" w:hAnsi="Arial" w:cs="Arial"/>
                <w:color w:val="000000"/>
                <w:sz w:val="14"/>
              </w:rPr>
              <w:t>06.4</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7E8C0593" w14:textId="77777777" w:rsidR="00533CD2" w:rsidRDefault="0046046C">
            <w:pPr>
              <w:spacing w:before="120"/>
              <w:ind w:left="57" w:right="57"/>
              <w:jc w:val="both"/>
              <w:rPr>
                <w:rFonts w:ascii="Arial" w:eastAsia="Arial" w:hAnsi="Arial" w:cs="Arial"/>
                <w:color w:val="000000"/>
                <w:sz w:val="14"/>
              </w:rPr>
            </w:pPr>
            <w:r>
              <w:rPr>
                <w:rFonts w:ascii="Arial" w:eastAsia="Arial" w:hAnsi="Arial" w:cs="Arial"/>
                <w:color w:val="000000"/>
                <w:sz w:val="14"/>
              </w:rPr>
              <w:t>Komunitně vedený místní rozvoj</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Pr>
          <w:p w14:paraId="5CBEC725" w14:textId="7FB11909" w:rsidR="00533CD2" w:rsidRDefault="0046046C" w:rsidP="00550CE4">
            <w:pPr>
              <w:spacing w:before="120" w:after="200"/>
              <w:ind w:left="57" w:right="57"/>
              <w:rPr>
                <w:rFonts w:ascii="Arial" w:eastAsia="Arial" w:hAnsi="Arial" w:cs="Arial"/>
                <w:color w:val="000000"/>
                <w:sz w:val="14"/>
              </w:rPr>
            </w:pPr>
            <w:r>
              <w:br/>
            </w:r>
            <w:r>
              <w:rPr>
                <w:rFonts w:ascii="Arial" w:eastAsia="Arial" w:hAnsi="Arial" w:cs="Arial"/>
                <w:color w:val="000000"/>
                <w:sz w:val="14"/>
              </w:rPr>
              <w:t>Vyhlášené výzvy</w:t>
            </w:r>
            <w:r>
              <w:br/>
            </w:r>
            <w:r>
              <w:br/>
            </w:r>
            <w:r>
              <w:rPr>
                <w:rFonts w:ascii="Arial" w:eastAsia="Arial" w:hAnsi="Arial" w:cs="Arial"/>
                <w:color w:val="000000"/>
                <w:sz w:val="14"/>
              </w:rPr>
              <w:t xml:space="preserve">V roce 2019 nebyly v PO 4 vyhlášeny žádné nové výzvy. </w:t>
            </w:r>
            <w:r>
              <w:br/>
            </w:r>
            <w:r>
              <w:br/>
            </w:r>
            <w:r w:rsidR="00B05361">
              <w:rPr>
                <w:rFonts w:ascii="Arial" w:eastAsia="Arial" w:hAnsi="Arial" w:cs="Arial"/>
                <w:color w:val="000000"/>
                <w:sz w:val="14"/>
              </w:rPr>
              <w:t>V PO 4</w:t>
            </w:r>
            <w:r>
              <w:rPr>
                <w:rFonts w:ascii="Arial" w:eastAsia="Arial" w:hAnsi="Arial" w:cs="Arial"/>
                <w:color w:val="000000"/>
                <w:sz w:val="14"/>
              </w:rPr>
              <w:t xml:space="preserve"> bylo ke dni 31.12.2019 vydáno Rozhodnutí 2 077 projektům v objemu 6 mld. Kč (24</w:t>
            </w:r>
            <w:r w:rsidR="00550CE4">
              <w:rPr>
                <w:rFonts w:ascii="Arial" w:eastAsia="Arial" w:hAnsi="Arial" w:cs="Arial"/>
                <w:color w:val="000000"/>
                <w:sz w:val="14"/>
              </w:rPr>
              <w:t>3</w:t>
            </w:r>
            <w:r>
              <w:rPr>
                <w:rFonts w:ascii="Arial" w:eastAsia="Arial" w:hAnsi="Arial" w:cs="Arial"/>
                <w:color w:val="000000"/>
                <w:sz w:val="14"/>
              </w:rPr>
              <w:t xml:space="preserve">mil. EUR) příspěvku EU. Žadatelům bylo proplaceno </w:t>
            </w:r>
            <w:proofErr w:type="gramStart"/>
            <w:r>
              <w:rPr>
                <w:rFonts w:ascii="Arial" w:eastAsia="Arial" w:hAnsi="Arial" w:cs="Arial"/>
                <w:color w:val="000000"/>
                <w:sz w:val="14"/>
              </w:rPr>
              <w:t>1  422</w:t>
            </w:r>
            <w:proofErr w:type="gramEnd"/>
            <w:r>
              <w:rPr>
                <w:rFonts w:ascii="Arial" w:eastAsia="Arial" w:hAnsi="Arial" w:cs="Arial"/>
                <w:color w:val="000000"/>
                <w:sz w:val="14"/>
              </w:rPr>
              <w:t xml:space="preserve"> žádostí o platbu v objemu 2 mld. Kč (9</w:t>
            </w:r>
            <w:r w:rsidR="00550CE4">
              <w:rPr>
                <w:rFonts w:ascii="Arial" w:eastAsia="Arial" w:hAnsi="Arial" w:cs="Arial"/>
                <w:color w:val="000000"/>
                <w:sz w:val="14"/>
              </w:rPr>
              <w:t>3</w:t>
            </w:r>
            <w:r>
              <w:rPr>
                <w:rFonts w:ascii="Arial" w:eastAsia="Arial" w:hAnsi="Arial" w:cs="Arial"/>
                <w:color w:val="000000"/>
                <w:sz w:val="14"/>
              </w:rPr>
              <w:t>mil. EUR) příspěvku EU. Certifikováno bylo celkem 2 mld. Kč (</w:t>
            </w:r>
            <w:r w:rsidR="00550CE4">
              <w:rPr>
                <w:rFonts w:ascii="Arial" w:eastAsia="Arial" w:hAnsi="Arial" w:cs="Arial"/>
                <w:color w:val="000000"/>
                <w:sz w:val="14"/>
              </w:rPr>
              <w:t>80</w:t>
            </w:r>
            <w:r>
              <w:rPr>
                <w:rFonts w:ascii="Arial" w:eastAsia="Arial" w:hAnsi="Arial" w:cs="Arial"/>
                <w:color w:val="000000"/>
                <w:sz w:val="14"/>
              </w:rPr>
              <w:t>mil. EUR) příspěvku EU.</w:t>
            </w:r>
            <w:r>
              <w:br/>
            </w:r>
            <w:r>
              <w:br/>
            </w:r>
            <w:r>
              <w:rPr>
                <w:rFonts w:ascii="Arial" w:eastAsia="Arial" w:hAnsi="Arial" w:cs="Arial"/>
                <w:color w:val="000000"/>
                <w:sz w:val="14"/>
              </w:rPr>
              <w:t xml:space="preserve">Problémy a přijatá opatření </w:t>
            </w:r>
            <w:r>
              <w:br/>
            </w:r>
            <w:r>
              <w:br/>
            </w:r>
            <w:r>
              <w:rPr>
                <w:rFonts w:ascii="Arial" w:eastAsia="Arial" w:hAnsi="Arial" w:cs="Arial"/>
                <w:color w:val="000000"/>
                <w:sz w:val="14"/>
              </w:rPr>
              <w:t xml:space="preserve">V roce 2019 byly revidovány všechny výzvy Řídicího orgánu IROP pro integrované nástroje a prodlouženy v souladu s finančními plány integrovaných strategií nositelů IN do 31. 10. 2022, tedy i výzvy pro nástroj CLLD. </w:t>
            </w:r>
            <w:r>
              <w:br/>
            </w:r>
            <w:r>
              <w:rPr>
                <w:rFonts w:ascii="Arial" w:eastAsia="Arial" w:hAnsi="Arial" w:cs="Arial"/>
                <w:color w:val="000000"/>
                <w:sz w:val="14"/>
              </w:rPr>
              <w:t xml:space="preserve">Z důvodu kurzového rizika proběhly v roce 2019 změny všech integrovaných strategií CLLD. Celková alokace v CZK byla upravena s ohledem </w:t>
            </w:r>
            <w:r w:rsidR="00FA44AD">
              <w:rPr>
                <w:rFonts w:ascii="Arial" w:eastAsia="Arial" w:hAnsi="Arial" w:cs="Arial"/>
                <w:color w:val="000000"/>
                <w:sz w:val="14"/>
              </w:rPr>
              <w:t xml:space="preserve">na </w:t>
            </w:r>
            <w:r>
              <w:rPr>
                <w:rFonts w:ascii="Arial" w:eastAsia="Arial" w:hAnsi="Arial" w:cs="Arial"/>
                <w:color w:val="000000"/>
                <w:sz w:val="14"/>
              </w:rPr>
              <w:t>posílení CZK od doby schválení integrovaných strategií (CZK 27</w:t>
            </w:r>
            <w:proofErr w:type="gramStart"/>
            <w:r>
              <w:rPr>
                <w:rFonts w:ascii="Arial" w:eastAsia="Arial" w:hAnsi="Arial" w:cs="Arial"/>
                <w:color w:val="000000"/>
                <w:sz w:val="14"/>
              </w:rPr>
              <w:t>,5</w:t>
            </w:r>
            <w:proofErr w:type="gramEnd"/>
            <w:r>
              <w:rPr>
                <w:rFonts w:ascii="Arial" w:eastAsia="Arial" w:hAnsi="Arial" w:cs="Arial"/>
                <w:color w:val="000000"/>
                <w:sz w:val="14"/>
              </w:rPr>
              <w:t>) na aktuální kurz stanovený k sledování čerpání finančních plánů integrovaných strategií k 31. 10. 2018 (CZK 25,715).</w:t>
            </w:r>
            <w:r>
              <w:br/>
            </w:r>
            <w:r>
              <w:rPr>
                <w:rFonts w:ascii="Arial" w:eastAsia="Arial" w:hAnsi="Arial" w:cs="Arial"/>
                <w:color w:val="000000"/>
                <w:sz w:val="14"/>
              </w:rPr>
              <w:t>Realizaci PO 4 významně ovlivnilo zpoždění související s procesem přípravy a schvalování integrovaných strategií CLLD, se schvalováním interních postupů MAS, kontrolou a vyhlašování výzev MAS. V roce 2019 se pokračovalo v rozsáhlém vyhlašování výzev MAS a prověřování způsobu jejich hodnocení. ŘO IROP na základě proběhlých kontrol aktualizoval interní postupy a zpracovával další vzory pro usnadnění zpracovávání dokumentace MAS a jejich hodnocení.</w:t>
            </w:r>
            <w:r>
              <w:br/>
            </w:r>
            <w:r w:rsidR="00C35E88">
              <w:rPr>
                <w:rFonts w:ascii="Arial" w:eastAsia="Arial" w:hAnsi="Arial" w:cs="Arial"/>
                <w:color w:val="000000"/>
                <w:sz w:val="14"/>
              </w:rPr>
              <w:t>ŘO IROP ukončil ke dni 30.6.2019</w:t>
            </w:r>
            <w:r>
              <w:rPr>
                <w:rFonts w:ascii="Arial" w:eastAsia="Arial" w:hAnsi="Arial" w:cs="Arial"/>
                <w:color w:val="000000"/>
                <w:sz w:val="14"/>
              </w:rPr>
              <w:t xml:space="preserve">6. </w:t>
            </w:r>
            <w:proofErr w:type="gramStart"/>
            <w:r>
              <w:rPr>
                <w:rFonts w:ascii="Arial" w:eastAsia="Arial" w:hAnsi="Arial" w:cs="Arial"/>
                <w:color w:val="000000"/>
                <w:sz w:val="14"/>
              </w:rPr>
              <w:t>výzv</w:t>
            </w:r>
            <w:r w:rsidR="00C35E88">
              <w:rPr>
                <w:rFonts w:ascii="Arial" w:eastAsia="Arial" w:hAnsi="Arial" w:cs="Arial"/>
                <w:color w:val="000000"/>
                <w:sz w:val="14"/>
              </w:rPr>
              <w:t>u</w:t>
            </w:r>
            <w:proofErr w:type="gramEnd"/>
            <w:r>
              <w:rPr>
                <w:rFonts w:ascii="Arial" w:eastAsia="Arial" w:hAnsi="Arial" w:cs="Arial"/>
                <w:color w:val="000000"/>
                <w:sz w:val="14"/>
              </w:rPr>
              <w:t xml:space="preserve"> na podporu provozních a animačních činností MAS. Všechny MAS do tohoto termínu předložily svůj první, případně již další navazující projekt.</w:t>
            </w:r>
          </w:p>
        </w:tc>
      </w:tr>
      <w:tr w:rsidR="00533CD2" w14:paraId="1DA51A0A" w14:textId="77777777">
        <w:tc>
          <w:tcPr>
            <w:tcW w:w="817" w:type="dxa"/>
            <w:tcBorders>
              <w:top w:val="single" w:sz="4" w:space="0" w:color="000000"/>
              <w:left w:val="single" w:sz="4" w:space="0" w:color="000000"/>
              <w:bottom w:val="single" w:sz="4" w:space="0" w:color="000000"/>
              <w:right w:val="single" w:sz="4" w:space="0" w:color="000000"/>
            </w:tcBorders>
            <w:shd w:val="clear" w:color="auto" w:fill="FFFFFF"/>
          </w:tcPr>
          <w:p w14:paraId="522B6CCA" w14:textId="77777777" w:rsidR="00533CD2" w:rsidRDefault="0046046C">
            <w:pPr>
              <w:spacing w:before="120"/>
              <w:ind w:left="57" w:right="57"/>
              <w:jc w:val="both"/>
              <w:rPr>
                <w:rFonts w:ascii="Arial" w:eastAsia="Arial" w:hAnsi="Arial" w:cs="Arial"/>
                <w:color w:val="000000"/>
                <w:sz w:val="14"/>
              </w:rPr>
            </w:pPr>
            <w:r>
              <w:rPr>
                <w:rFonts w:ascii="Arial" w:eastAsia="Arial" w:hAnsi="Arial" w:cs="Arial"/>
                <w:color w:val="000000"/>
                <w:sz w:val="14"/>
              </w:rPr>
              <w:t>06.5</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66F9632A" w14:textId="77777777" w:rsidR="00533CD2" w:rsidRDefault="0046046C">
            <w:pPr>
              <w:spacing w:before="120"/>
              <w:ind w:left="57" w:right="57"/>
              <w:jc w:val="both"/>
              <w:rPr>
                <w:rFonts w:ascii="Arial" w:eastAsia="Arial" w:hAnsi="Arial" w:cs="Arial"/>
                <w:color w:val="000000"/>
                <w:sz w:val="14"/>
              </w:rPr>
            </w:pPr>
            <w:r>
              <w:rPr>
                <w:rFonts w:ascii="Arial" w:eastAsia="Arial" w:hAnsi="Arial" w:cs="Arial"/>
                <w:color w:val="000000"/>
                <w:sz w:val="14"/>
              </w:rPr>
              <w:t>Technická pomoc</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Pr>
          <w:p w14:paraId="085E1DAD" w14:textId="5E782881" w:rsidR="00533CD2" w:rsidRDefault="0046046C" w:rsidP="00550CE4">
            <w:pPr>
              <w:spacing w:before="120" w:after="200"/>
              <w:ind w:left="57" w:right="57"/>
              <w:rPr>
                <w:rFonts w:ascii="Arial" w:eastAsia="Arial" w:hAnsi="Arial" w:cs="Arial"/>
                <w:color w:val="000000"/>
                <w:sz w:val="14"/>
              </w:rPr>
            </w:pPr>
            <w:r>
              <w:br/>
            </w:r>
            <w:r w:rsidR="00AD51DA">
              <w:rPr>
                <w:rFonts w:ascii="Arial" w:eastAsia="Arial" w:hAnsi="Arial" w:cs="Arial"/>
                <w:color w:val="000000"/>
                <w:sz w:val="14"/>
              </w:rPr>
              <w:t>V PO 5</w:t>
            </w:r>
            <w:r>
              <w:rPr>
                <w:rFonts w:ascii="Arial" w:eastAsia="Arial" w:hAnsi="Arial" w:cs="Arial"/>
                <w:color w:val="000000"/>
                <w:sz w:val="14"/>
              </w:rPr>
              <w:t xml:space="preserve"> bylo ke dni 31.12.2019 vydáno Rozhodnutí 44 projektům v objemu </w:t>
            </w:r>
            <w:r w:rsidR="00550CE4">
              <w:rPr>
                <w:rFonts w:ascii="Arial" w:eastAsia="Arial" w:hAnsi="Arial" w:cs="Arial"/>
                <w:color w:val="000000"/>
                <w:sz w:val="14"/>
              </w:rPr>
              <w:t>2</w:t>
            </w:r>
            <w:r>
              <w:rPr>
                <w:rFonts w:ascii="Arial" w:eastAsia="Arial" w:hAnsi="Arial" w:cs="Arial"/>
                <w:color w:val="000000"/>
                <w:sz w:val="14"/>
              </w:rPr>
              <w:t xml:space="preserve"> mld. Kč (67 mil. EUR) příspěvku EU. Žadatelům bylo proplaceno 88 žádostí o platbu v objemu 1 mld. Kč (4</w:t>
            </w:r>
            <w:r w:rsidR="00550CE4">
              <w:rPr>
                <w:rFonts w:ascii="Arial" w:eastAsia="Arial" w:hAnsi="Arial" w:cs="Arial"/>
                <w:color w:val="000000"/>
                <w:sz w:val="14"/>
              </w:rPr>
              <w:t>3</w:t>
            </w:r>
            <w:r>
              <w:rPr>
                <w:rFonts w:ascii="Arial" w:eastAsia="Arial" w:hAnsi="Arial" w:cs="Arial"/>
                <w:color w:val="000000"/>
                <w:sz w:val="14"/>
              </w:rPr>
              <w:t>8 mil. EUR) příspěvku EU. Certifikováno bylo celkem 1 mld. Kč (41</w:t>
            </w:r>
            <w:r w:rsidR="00A86C60">
              <w:rPr>
                <w:rFonts w:ascii="Arial" w:eastAsia="Arial" w:hAnsi="Arial" w:cs="Arial"/>
                <w:color w:val="000000"/>
                <w:sz w:val="14"/>
              </w:rPr>
              <w:t xml:space="preserve"> </w:t>
            </w:r>
            <w:r>
              <w:rPr>
                <w:rFonts w:ascii="Arial" w:eastAsia="Arial" w:hAnsi="Arial" w:cs="Arial"/>
                <w:color w:val="000000"/>
                <w:sz w:val="14"/>
              </w:rPr>
              <w:t>mil. EUR) příspěvku EU.</w:t>
            </w:r>
            <w:r>
              <w:br/>
            </w:r>
            <w:r>
              <w:br/>
            </w:r>
            <w:r>
              <w:rPr>
                <w:rFonts w:ascii="Arial" w:eastAsia="Arial" w:hAnsi="Arial" w:cs="Arial"/>
                <w:color w:val="000000"/>
                <w:sz w:val="14"/>
              </w:rPr>
              <w:t>Problémy a přijatá opatření</w:t>
            </w:r>
            <w:r>
              <w:br/>
            </w:r>
            <w:r>
              <w:br/>
            </w:r>
            <w:r>
              <w:rPr>
                <w:rFonts w:ascii="Arial" w:eastAsia="Arial" w:hAnsi="Arial" w:cs="Arial"/>
                <w:color w:val="000000"/>
                <w:sz w:val="14"/>
              </w:rPr>
              <w:t>Významný vliv na realizaci SC 5.1 má administrace veřejných</w:t>
            </w:r>
            <w:r w:rsidR="00AD51DA">
              <w:rPr>
                <w:rFonts w:ascii="Arial" w:eastAsia="Arial" w:hAnsi="Arial" w:cs="Arial"/>
                <w:color w:val="000000"/>
                <w:sz w:val="14"/>
              </w:rPr>
              <w:t xml:space="preserve"> zakázek (dále jen VZ)</w:t>
            </w:r>
            <w:proofErr w:type="gramStart"/>
            <w:r w:rsidR="00AD51DA">
              <w:rPr>
                <w:rFonts w:ascii="Arial" w:eastAsia="Arial" w:hAnsi="Arial" w:cs="Arial"/>
                <w:color w:val="000000"/>
                <w:sz w:val="14"/>
              </w:rPr>
              <w:t>,jak</w:t>
            </w:r>
            <w:proofErr w:type="gramEnd"/>
            <w:r w:rsidR="00AD51DA">
              <w:rPr>
                <w:rFonts w:ascii="Arial" w:eastAsia="Arial" w:hAnsi="Arial" w:cs="Arial"/>
                <w:color w:val="000000"/>
                <w:sz w:val="14"/>
              </w:rPr>
              <w:t xml:space="preserve"> </w:t>
            </w:r>
            <w:r>
              <w:rPr>
                <w:rFonts w:ascii="Arial" w:eastAsia="Arial" w:hAnsi="Arial" w:cs="Arial"/>
                <w:color w:val="000000"/>
                <w:sz w:val="14"/>
              </w:rPr>
              <w:t xml:space="preserve"> jejich zadávání, tak kontrola, a to zejména z důvodu nedostatečných administrativních kapacit. ŘO i ZS IROP se během roku 2019 dlouhodobě potýkal</w:t>
            </w:r>
            <w:r w:rsidR="001012CB">
              <w:rPr>
                <w:rFonts w:ascii="Arial" w:eastAsia="Arial" w:hAnsi="Arial" w:cs="Arial"/>
                <w:color w:val="000000"/>
                <w:sz w:val="14"/>
              </w:rPr>
              <w:t>y</w:t>
            </w:r>
            <w:r>
              <w:rPr>
                <w:rFonts w:ascii="Arial" w:eastAsia="Arial" w:hAnsi="Arial" w:cs="Arial"/>
                <w:color w:val="000000"/>
                <w:sz w:val="14"/>
              </w:rPr>
              <w:t xml:space="preserve"> s neobsazenými místy právníků/ administrátorů/ kontrolorů VZ. Na základě této skutečnosti docházelo k posouvání termínů realizace projektů technické pomoci a také k překračování lhůt pro kontrolu ŽoP/ZoR, jelikož kontrola VZ je spojena s kontrolou ŽoP/ZoR, pokud se </w:t>
            </w:r>
            <w:r w:rsidR="00AD51DA">
              <w:rPr>
                <w:rFonts w:ascii="Arial" w:eastAsia="Arial" w:hAnsi="Arial" w:cs="Arial"/>
                <w:color w:val="000000"/>
                <w:sz w:val="14"/>
              </w:rPr>
              <w:t xml:space="preserve">v nich </w:t>
            </w:r>
            <w:r>
              <w:rPr>
                <w:rFonts w:ascii="Arial" w:eastAsia="Arial" w:hAnsi="Arial" w:cs="Arial"/>
                <w:color w:val="000000"/>
                <w:sz w:val="14"/>
              </w:rPr>
              <w:t>náklady z VZ objeví. Tato skutečnost má velký vliv na rychlost čerpání v SC 5.1. ŘO IROP se nicméně i v této situaci podařilo v průběhu roku 2019 zavést celkem tři dyn</w:t>
            </w:r>
            <w:r w:rsidR="00AD51DA">
              <w:rPr>
                <w:rFonts w:ascii="Arial" w:eastAsia="Arial" w:hAnsi="Arial" w:cs="Arial"/>
                <w:color w:val="000000"/>
                <w:sz w:val="14"/>
              </w:rPr>
              <w:t>amické nákupní systémy</w:t>
            </w:r>
            <w:r>
              <w:rPr>
                <w:rFonts w:ascii="Arial" w:eastAsia="Arial" w:hAnsi="Arial" w:cs="Arial"/>
                <w:color w:val="000000"/>
                <w:sz w:val="14"/>
              </w:rPr>
              <w:t xml:space="preserve"> pro oblasti tiskových služeb, organizování akcí a propagační předměty, což do budoucna urychlí realizaci jednotlivých plnění v oblasti publicity.</w:t>
            </w:r>
            <w:r>
              <w:br/>
            </w:r>
            <w:r>
              <w:rPr>
                <w:rFonts w:ascii="Arial" w:eastAsia="Arial" w:hAnsi="Arial" w:cs="Arial"/>
                <w:color w:val="000000"/>
                <w:sz w:val="14"/>
              </w:rPr>
              <w:t>Vzhledem k tomu, že cca 80</w:t>
            </w:r>
            <w:r w:rsidR="001012CB">
              <w:rPr>
                <w:rFonts w:ascii="Arial" w:eastAsia="Arial" w:hAnsi="Arial" w:cs="Arial"/>
                <w:color w:val="000000"/>
                <w:sz w:val="14"/>
              </w:rPr>
              <w:t xml:space="preserve"> </w:t>
            </w:r>
            <w:r>
              <w:rPr>
                <w:rFonts w:ascii="Arial" w:eastAsia="Arial" w:hAnsi="Arial" w:cs="Arial"/>
                <w:color w:val="000000"/>
                <w:sz w:val="14"/>
              </w:rPr>
              <w:t>% alokace SC 5.1 tvoří mzdové projekty ŘO a ZS IROP, při jejichž administraci nedochází k podstatným zpožděním, se dá implementace SC 5.1 považovat za úspěšnou.</w:t>
            </w:r>
          </w:p>
        </w:tc>
      </w:tr>
    </w:tbl>
    <w:p w14:paraId="61E4C134" w14:textId="7598F9A9" w:rsidR="00533CD2" w:rsidRPr="007429C8" w:rsidRDefault="00B477B7" w:rsidP="007429C8">
      <w:pPr>
        <w:pStyle w:val="Nadpis2"/>
        <w:numPr>
          <w:ilvl w:val="0"/>
          <w:numId w:val="0"/>
        </w:numPr>
      </w:pPr>
      <w:bookmarkStart w:id="7" w:name="_Toc40877815"/>
      <w:r>
        <w:t xml:space="preserve">3.2 </w:t>
      </w:r>
      <w:r w:rsidR="0046046C">
        <w:t>Společné indikátory a indikátory specifické pro jednotlivé programy (čl. 50 odst. 2 nařízení (EU) č. 1303/2013</w:t>
      </w:r>
      <w:r w:rsidR="0046046C" w:rsidRPr="007429C8">
        <w:rPr>
          <w:i/>
          <w:iCs/>
        </w:rPr>
        <w:t>)</w:t>
      </w:r>
      <w:bookmarkEnd w:id="7"/>
    </w:p>
    <w:p w14:paraId="1FD4E459" w14:textId="77777777" w:rsidR="00533CD2" w:rsidRDefault="00533CD2">
      <w:pPr>
        <w:spacing w:after="200" w:line="276" w:lineRule="auto"/>
        <w:ind w:left="111" w:right="105"/>
        <w:rPr>
          <w:rFonts w:ascii="Calibri" w:eastAsia="Calibri" w:hAnsi="Calibri" w:cs="Calibri"/>
          <w:color w:val="000000"/>
        </w:rPr>
      </w:pPr>
    </w:p>
    <w:p w14:paraId="4548F8DB" w14:textId="77777777" w:rsidR="00533CD2" w:rsidRDefault="00533CD2">
      <w:pPr>
        <w:spacing w:after="200" w:line="276" w:lineRule="auto"/>
        <w:ind w:left="111" w:right="105"/>
        <w:rPr>
          <w:rFonts w:ascii="Calibri" w:eastAsia="Calibri" w:hAnsi="Calibri" w:cs="Calibri"/>
          <w:color w:val="000000"/>
        </w:rPr>
      </w:pPr>
    </w:p>
    <w:p w14:paraId="1B7FD130" w14:textId="77777777" w:rsidR="00533CD2" w:rsidRDefault="00533CD2">
      <w:pPr>
        <w:spacing w:after="200" w:line="276" w:lineRule="auto"/>
        <w:ind w:left="111" w:right="105"/>
        <w:rPr>
          <w:rFonts w:ascii="Calibri" w:eastAsia="Calibri" w:hAnsi="Calibri" w:cs="Calibri"/>
          <w:color w:val="000000"/>
        </w:rPr>
      </w:pPr>
    </w:p>
    <w:p w14:paraId="1188D9EF" w14:textId="77777777" w:rsidR="00533CD2" w:rsidRDefault="00533CD2">
      <w:pPr>
        <w:spacing w:after="200" w:line="276" w:lineRule="auto"/>
        <w:ind w:left="111" w:right="105"/>
        <w:rPr>
          <w:rFonts w:ascii="Calibri" w:eastAsia="Calibri" w:hAnsi="Calibri" w:cs="Calibri"/>
          <w:color w:val="000000"/>
        </w:rPr>
      </w:pPr>
    </w:p>
    <w:p w14:paraId="4A1D61D7" w14:textId="77777777" w:rsidR="00533CD2" w:rsidRDefault="00533CD2">
      <w:pPr>
        <w:sectPr w:rsidR="00533CD2">
          <w:footerReference w:type="default" r:id="rId8"/>
          <w:pgSz w:w="11900" w:h="16820"/>
          <w:pgMar w:top="1120" w:right="1420" w:bottom="1000" w:left="1420" w:header="709" w:footer="709" w:gutter="0"/>
          <w:pgNumType w:start="1"/>
          <w:cols w:space="720"/>
          <w:noEndnote/>
        </w:sectPr>
      </w:pPr>
    </w:p>
    <w:p w14:paraId="643F61E6" w14:textId="77777777" w:rsidR="00533CD2" w:rsidRDefault="0046046C">
      <w:pPr>
        <w:spacing w:line="312" w:lineRule="auto"/>
        <w:ind w:left="115" w:right="670"/>
        <w:rPr>
          <w:rFonts w:ascii="Arial" w:eastAsia="Arial" w:hAnsi="Arial" w:cs="Arial"/>
          <w:b/>
          <w:bCs/>
          <w:i/>
          <w:iCs/>
          <w:color w:val="000000"/>
          <w:sz w:val="16"/>
        </w:rPr>
      </w:pPr>
      <w:r>
        <w:rPr>
          <w:rFonts w:ascii="Arial" w:eastAsia="Arial" w:hAnsi="Arial" w:cs="Arial"/>
          <w:b/>
          <w:bCs/>
          <w:i/>
          <w:iCs/>
          <w:color w:val="000000"/>
          <w:sz w:val="20"/>
        </w:rPr>
        <w:t>Tabulka 1: Indikátory výsledků pro EFRR a Fond soudržnosti (podle prioritních os a specifických cílů); platí rovněž pro prioritní osu „technická pomoc</w:t>
      </w:r>
      <w:proofErr w:type="gramStart"/>
      <w:r>
        <w:rPr>
          <w:rFonts w:ascii="Arial" w:eastAsia="Arial" w:hAnsi="Arial" w:cs="Arial"/>
          <w:b/>
          <w:bCs/>
          <w:i/>
          <w:iCs/>
          <w:color w:val="000000"/>
          <w:sz w:val="20"/>
        </w:rPr>
        <w:t>“</w:t>
      </w:r>
      <w:r>
        <w:rPr>
          <w:rFonts w:ascii="Arial" w:eastAsia="Arial" w:hAnsi="Arial" w:cs="Arial"/>
          <w:b/>
          <w:bCs/>
          <w:i/>
          <w:iCs/>
          <w:color w:val="000000"/>
          <w:sz w:val="13"/>
          <w:vertAlign w:val="superscript"/>
        </w:rPr>
        <w:t xml:space="preserve"> </w:t>
      </w:r>
      <w:r>
        <w:rPr>
          <w:rFonts w:ascii="Arial" w:eastAsia="Arial" w:hAnsi="Arial" w:cs="Arial"/>
          <w:b/>
          <w:bCs/>
          <w:i/>
          <w:iCs/>
          <w:color w:val="000000"/>
          <w:sz w:val="16"/>
        </w:rPr>
        <w:t>(</w:t>
      </w:r>
      <w:proofErr w:type="gramEnd"/>
      <w:r>
        <w:rPr>
          <w:rFonts w:ascii="Arial" w:eastAsia="Arial" w:hAnsi="Arial" w:cs="Arial"/>
          <w:b/>
          <w:bCs/>
          <w:i/>
          <w:iCs/>
          <w:color w:val="000000"/>
          <w:sz w:val="16"/>
        </w:rPr>
        <w:t>3)</w:t>
      </w:r>
    </w:p>
    <w:p w14:paraId="6E9BAADD" w14:textId="77777777" w:rsidR="00533CD2" w:rsidRDefault="0046046C">
      <w:pPr>
        <w:keepNext/>
        <w:spacing w:before="240"/>
        <w:ind w:left="115" w:right="106"/>
        <w:jc w:val="both"/>
        <w:rPr>
          <w:rFonts w:ascii="Arial" w:eastAsia="Arial" w:hAnsi="Arial" w:cs="Arial"/>
          <w:color w:val="000000"/>
          <w:sz w:val="20"/>
        </w:rPr>
      </w:pPr>
      <w:r>
        <w:rPr>
          <w:rFonts w:ascii="Arial" w:eastAsia="Arial" w:hAnsi="Arial" w:cs="Arial"/>
          <w:color w:val="000000"/>
          <w:sz w:val="20"/>
        </w:rPr>
        <w:t>Investiční priorita: 06.1.13 Podpora nízkouhlíkových strategií pro všechny typy oblastí, zejména městské oblasti, včetně podpory udržitelné multimodální městské mobility a adaptačních opatření ke zmírnění změny klimatu</w:t>
      </w:r>
    </w:p>
    <w:tbl>
      <w:tblPr>
        <w:tblW w:w="0" w:type="auto"/>
        <w:tblInd w:w="58" w:type="dxa"/>
        <w:tblLayout w:type="fixed"/>
        <w:tblCellMar>
          <w:left w:w="0" w:type="dxa"/>
          <w:right w:w="0" w:type="dxa"/>
        </w:tblCellMar>
        <w:tblLook w:val="04A0" w:firstRow="1" w:lastRow="0" w:firstColumn="1" w:lastColumn="0" w:noHBand="0" w:noVBand="1"/>
      </w:tblPr>
      <w:tblGrid>
        <w:gridCol w:w="800"/>
        <w:gridCol w:w="974"/>
        <w:gridCol w:w="1257"/>
        <w:gridCol w:w="1117"/>
        <w:gridCol w:w="848"/>
        <w:gridCol w:w="1112"/>
        <w:gridCol w:w="1137"/>
        <w:gridCol w:w="713"/>
        <w:gridCol w:w="700"/>
        <w:gridCol w:w="712"/>
        <w:gridCol w:w="739"/>
        <w:gridCol w:w="766"/>
        <w:gridCol w:w="708"/>
        <w:gridCol w:w="709"/>
        <w:gridCol w:w="711"/>
        <w:gridCol w:w="710"/>
        <w:gridCol w:w="712"/>
        <w:gridCol w:w="1092"/>
      </w:tblGrid>
      <w:tr w:rsidR="00533CD2" w14:paraId="2E0AB64E" w14:textId="77777777" w:rsidTr="00E806C4">
        <w:trPr>
          <w:tblHeader/>
        </w:trPr>
        <w:tc>
          <w:tcPr>
            <w:tcW w:w="7245"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64F6D938" w14:textId="77777777" w:rsidR="00533CD2" w:rsidRDefault="00533CD2">
            <w:pPr>
              <w:ind w:left="57" w:right="57"/>
              <w:jc w:val="both"/>
            </w:pPr>
          </w:p>
        </w:tc>
        <w:tc>
          <w:tcPr>
            <w:tcW w:w="7180"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14:paraId="6CF819C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ROČNÍ HODNOTA</w:t>
            </w:r>
          </w:p>
        </w:tc>
        <w:tc>
          <w:tcPr>
            <w:tcW w:w="10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01B85F" w14:textId="77777777" w:rsidR="00533CD2" w:rsidRDefault="00533CD2">
            <w:pPr>
              <w:ind w:left="57" w:right="57"/>
              <w:jc w:val="both"/>
            </w:pPr>
          </w:p>
        </w:tc>
      </w:tr>
      <w:tr w:rsidR="00561568" w14:paraId="59F8E740" w14:textId="77777777" w:rsidTr="00A664FB">
        <w:trPr>
          <w:tblHeader/>
        </w:trPr>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00A51A"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ID</w:t>
            </w:r>
          </w:p>
        </w:tc>
        <w:tc>
          <w:tcPr>
            <w:tcW w:w="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CABD52"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Indikátor</w:t>
            </w:r>
          </w:p>
        </w:tc>
        <w:tc>
          <w:tcPr>
            <w:tcW w:w="12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CDDBC3"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Měrná jednotka</w:t>
            </w:r>
          </w:p>
        </w:tc>
        <w:tc>
          <w:tcPr>
            <w:tcW w:w="11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74B41D"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Kategorie regionu</w:t>
            </w:r>
          </w:p>
          <w:p w14:paraId="432E8212"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(je-li relevantní)</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40B598"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Výchozí hodnota</w:t>
            </w:r>
          </w:p>
        </w:tc>
        <w:tc>
          <w:tcPr>
            <w:tcW w:w="11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8365E1"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Výchozí rok</w:t>
            </w:r>
          </w:p>
        </w:tc>
        <w:tc>
          <w:tcPr>
            <w:tcW w:w="11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E84486"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Cílová hodnota (2023)</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99B614"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2014</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EAD83C"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2015</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764DC3"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2016</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92151E"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2017</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411397"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994CB7"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20DF8D"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2CDA3F"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2021</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BD7B4D"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2022</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301FB3"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2023</w:t>
            </w:r>
          </w:p>
        </w:tc>
        <w:tc>
          <w:tcPr>
            <w:tcW w:w="10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3CF111"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Vysvětlení (v případě potřeby)</w:t>
            </w:r>
          </w:p>
        </w:tc>
      </w:tr>
      <w:tr w:rsidR="00A664FB" w14:paraId="2F4EED0D" w14:textId="77777777" w:rsidTr="00A664FB">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3CCC666E" w14:textId="77777777" w:rsidR="00A664FB" w:rsidRDefault="00A664FB" w:rsidP="00A664FB">
            <w:pPr>
              <w:tabs>
                <w:tab w:val="left" w:pos="828"/>
              </w:tabs>
              <w:ind w:left="57" w:right="57"/>
              <w:rPr>
                <w:rFonts w:ascii="Arial" w:eastAsia="Arial" w:hAnsi="Arial" w:cs="Arial"/>
                <w:color w:val="000000"/>
                <w:sz w:val="14"/>
              </w:rPr>
            </w:pPr>
            <w:r>
              <w:rPr>
                <w:rFonts w:ascii="Arial" w:eastAsia="Arial" w:hAnsi="Arial" w:cs="Arial"/>
                <w:color w:val="000000"/>
                <w:sz w:val="14"/>
              </w:rPr>
              <w:t>75120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08825E2F" w14:textId="77777777" w:rsidR="00A664FB" w:rsidRDefault="00A664FB" w:rsidP="00A664FB">
            <w:pPr>
              <w:tabs>
                <w:tab w:val="left" w:pos="828"/>
              </w:tabs>
              <w:ind w:left="57" w:right="57"/>
              <w:rPr>
                <w:rFonts w:ascii="Arial" w:eastAsia="Arial" w:hAnsi="Arial" w:cs="Arial"/>
                <w:color w:val="000000"/>
                <w:sz w:val="14"/>
              </w:rPr>
            </w:pPr>
            <w:r>
              <w:rPr>
                <w:rFonts w:ascii="Arial" w:eastAsia="Arial" w:hAnsi="Arial" w:cs="Arial"/>
                <w:color w:val="000000"/>
                <w:sz w:val="14"/>
              </w:rPr>
              <w:t>Podíl veřejné osobní dopravy na celkových výkonech v osobní dopravě</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0C63EAD9" w14:textId="77777777" w:rsidR="00A664FB" w:rsidRDefault="00A664FB" w:rsidP="00A664FB">
            <w:pPr>
              <w:ind w:left="57" w:right="57"/>
              <w:rPr>
                <w:rFonts w:ascii="Arial" w:eastAsia="Arial" w:hAnsi="Arial" w:cs="Arial"/>
                <w:color w:val="000000"/>
                <w:sz w:val="14"/>
              </w:rPr>
            </w:pPr>
            <w:r>
              <w:rPr>
                <w:rFonts w:ascii="Arial" w:eastAsia="Arial" w:hAnsi="Arial" w:cs="Arial"/>
                <w:color w:val="000000"/>
                <w:sz w:val="14"/>
              </w:rPr>
              <w:t>%</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70353C07" w14:textId="77777777" w:rsidR="00A664FB" w:rsidRDefault="00A664FB" w:rsidP="00A664FB">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454CD766"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30,000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2FF02B76" w14:textId="77777777" w:rsidR="00A664FB" w:rsidRDefault="00A664FB" w:rsidP="00A664FB">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2014</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2BC02BAE"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35,000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06587593"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0AA34732" w14:textId="77777777" w:rsidR="00A664FB" w:rsidRDefault="00A664FB" w:rsidP="00A664FB">
            <w:pPr>
              <w:tabs>
                <w:tab w:val="left" w:pos="828"/>
              </w:tabs>
              <w:ind w:left="57" w:right="57"/>
              <w:jc w:val="right"/>
              <w:rPr>
                <w:rFonts w:ascii="Arial" w:eastAsia="Arial" w:hAnsi="Arial" w:cs="Arial"/>
                <w:color w:val="000000"/>
                <w:sz w:val="14"/>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34EF04E2"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30,700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509B2306"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30,700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6A9B7D9C"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31,000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6A2EC11B" w14:textId="7E1ED822"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30,100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EB3172E"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578D088A"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588D8540"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483DD066"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1092" w:type="dxa"/>
            <w:tcBorders>
              <w:top w:val="single" w:sz="4" w:space="0" w:color="000000"/>
              <w:left w:val="single" w:sz="4" w:space="0" w:color="000000"/>
              <w:bottom w:val="single" w:sz="4" w:space="0" w:color="000000"/>
              <w:right w:val="single" w:sz="4" w:space="0" w:color="000000"/>
            </w:tcBorders>
            <w:shd w:val="clear" w:color="auto" w:fill="FFFFFF"/>
          </w:tcPr>
          <w:p w14:paraId="0670C554" w14:textId="29EBE433" w:rsidR="00A664FB" w:rsidRDefault="00A664FB" w:rsidP="00A664FB">
            <w:pPr>
              <w:ind w:left="57" w:right="57"/>
              <w:rPr>
                <w:rFonts w:ascii="Arial" w:eastAsia="Arial" w:hAnsi="Arial" w:cs="Arial"/>
                <w:color w:val="000000"/>
                <w:sz w:val="14"/>
              </w:rPr>
            </w:pPr>
            <w:r w:rsidRPr="00AF551B">
              <w:rPr>
                <w:rFonts w:ascii="Arial" w:eastAsia="Arial" w:hAnsi="Arial" w:cs="Arial"/>
                <w:color w:val="000000"/>
                <w:sz w:val="14"/>
              </w:rPr>
              <w:t>I přes absolutní nárůst celkového počtu osobokilometrů došlo k poklesu podílu veřejné dopravy a to zejména s ohledem na fakt, že růst osobní individuální dopravy rostl ještě vyšším tempem, což je způsobeno stále nedostatečně rozvinutou sítí koridorů železniční přepravy, která je je v současnosti plně vytížena. Sekundárním důvodem je z změna v typu poptávky – počet cestujících v hromadné dopravě roste rychleji než objem osobokilometrů, cestující tedy pravděpodobně více využívají hromadné dopravy na kratší vzdálenosti.</w:t>
            </w:r>
          </w:p>
        </w:tc>
      </w:tr>
      <w:tr w:rsidR="00A664FB" w:rsidRPr="00135276" w14:paraId="036F8D8D" w14:textId="77777777" w:rsidTr="00A664FB">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01E8D4C8" w14:textId="77777777" w:rsidR="00A664FB" w:rsidRDefault="00A664FB" w:rsidP="00A664FB">
            <w:pPr>
              <w:tabs>
                <w:tab w:val="left" w:pos="828"/>
              </w:tabs>
              <w:ind w:left="57" w:right="57"/>
              <w:rPr>
                <w:rFonts w:ascii="Arial" w:eastAsia="Arial" w:hAnsi="Arial" w:cs="Arial"/>
                <w:color w:val="000000"/>
                <w:sz w:val="14"/>
              </w:rPr>
            </w:pPr>
            <w:r>
              <w:rPr>
                <w:rFonts w:ascii="Arial" w:eastAsia="Arial" w:hAnsi="Arial" w:cs="Arial"/>
                <w:color w:val="000000"/>
                <w:sz w:val="14"/>
              </w:rPr>
              <w:t>76310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5C37B3F4" w14:textId="77777777" w:rsidR="00A664FB" w:rsidRDefault="00A664FB" w:rsidP="00A664FB">
            <w:pPr>
              <w:tabs>
                <w:tab w:val="left" w:pos="828"/>
              </w:tabs>
              <w:ind w:left="57" w:right="57"/>
              <w:rPr>
                <w:rFonts w:ascii="Arial" w:eastAsia="Arial" w:hAnsi="Arial" w:cs="Arial"/>
                <w:color w:val="000000"/>
                <w:sz w:val="14"/>
              </w:rPr>
            </w:pPr>
            <w:r>
              <w:rPr>
                <w:rFonts w:ascii="Arial" w:eastAsia="Arial" w:hAnsi="Arial" w:cs="Arial"/>
                <w:color w:val="000000"/>
                <w:sz w:val="14"/>
              </w:rPr>
              <w:t>Podíl cyklistiky na přepravních výkonech</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5FFF736E" w14:textId="77777777" w:rsidR="00A664FB" w:rsidRDefault="00A664FB" w:rsidP="00A664FB">
            <w:pPr>
              <w:ind w:left="57" w:right="57"/>
              <w:rPr>
                <w:rFonts w:ascii="Arial" w:eastAsia="Arial" w:hAnsi="Arial" w:cs="Arial"/>
                <w:color w:val="000000"/>
                <w:sz w:val="14"/>
              </w:rPr>
            </w:pPr>
            <w:r>
              <w:rPr>
                <w:rFonts w:ascii="Arial" w:eastAsia="Arial" w:hAnsi="Arial" w:cs="Arial"/>
                <w:color w:val="000000"/>
                <w:sz w:val="14"/>
              </w:rPr>
              <w:t>%</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65FC20FE" w14:textId="77777777" w:rsidR="00A664FB" w:rsidRDefault="00A664FB" w:rsidP="00A664FB">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148AAEE8"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7,000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2764ACB6" w14:textId="77777777" w:rsidR="00A664FB" w:rsidRDefault="00A664FB" w:rsidP="00A664FB">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2011</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5C427EF5"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10,000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7E0D69B9"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639DCD8C" w14:textId="77777777" w:rsidR="00A664FB" w:rsidRDefault="00A664FB" w:rsidP="00A664FB">
            <w:pPr>
              <w:tabs>
                <w:tab w:val="left" w:pos="828"/>
              </w:tabs>
              <w:ind w:left="57" w:right="57"/>
              <w:jc w:val="right"/>
              <w:rPr>
                <w:rFonts w:ascii="Arial" w:eastAsia="Arial" w:hAnsi="Arial" w:cs="Arial"/>
                <w:color w:val="000000"/>
                <w:sz w:val="14"/>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37E37111" w14:textId="77777777" w:rsidR="00A664FB" w:rsidRDefault="00A664FB" w:rsidP="00A664FB">
            <w:pPr>
              <w:tabs>
                <w:tab w:val="left" w:pos="828"/>
              </w:tabs>
              <w:ind w:left="57" w:right="57"/>
              <w:jc w:val="right"/>
              <w:rPr>
                <w:rFonts w:ascii="Arial" w:eastAsia="Arial" w:hAnsi="Arial" w:cs="Arial"/>
                <w:color w:val="000000"/>
                <w:sz w:val="14"/>
              </w:rPr>
            </w:pP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2B7560A9" w14:textId="77777777" w:rsidR="00A664FB" w:rsidRDefault="00A664FB" w:rsidP="00A664FB">
            <w:pPr>
              <w:tabs>
                <w:tab w:val="left" w:pos="828"/>
              </w:tabs>
              <w:ind w:left="57" w:right="57"/>
              <w:jc w:val="right"/>
              <w:rPr>
                <w:rFonts w:ascii="Arial" w:eastAsia="Arial" w:hAnsi="Arial" w:cs="Arial"/>
                <w:color w:val="000000"/>
                <w:sz w:val="14"/>
              </w:rPr>
            </w:pP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5109F1CF" w14:textId="77777777" w:rsidR="00A664FB" w:rsidRDefault="00A664FB" w:rsidP="00A664FB">
            <w:pPr>
              <w:tabs>
                <w:tab w:val="left" w:pos="828"/>
              </w:tabs>
              <w:ind w:left="57" w:right="57"/>
              <w:jc w:val="right"/>
              <w:rPr>
                <w:rFonts w:ascii="Arial" w:eastAsia="Arial" w:hAnsi="Arial" w:cs="Arial"/>
                <w:color w:val="000000"/>
                <w:sz w:val="14"/>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058E77CE" w14:textId="74DE18D7" w:rsidR="00A664FB" w:rsidRDefault="00A664FB" w:rsidP="00A664FB">
            <w:pPr>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4596D900"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470FB38F"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406857A1"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7DF69DCA" w14:textId="77777777" w:rsidR="00A664FB" w:rsidRPr="00E806C4" w:rsidRDefault="00A664FB" w:rsidP="00A664FB">
            <w:pPr>
              <w:tabs>
                <w:tab w:val="left" w:pos="828"/>
              </w:tabs>
              <w:ind w:left="57" w:right="57"/>
              <w:jc w:val="right"/>
              <w:rPr>
                <w:rFonts w:ascii="Arial" w:eastAsia="Arial" w:hAnsi="Arial" w:cs="Arial"/>
                <w:color w:val="000000"/>
                <w:sz w:val="14"/>
                <w:lang w:val="cs-CZ"/>
              </w:rPr>
            </w:pPr>
            <w:r w:rsidRPr="00E806C4">
              <w:rPr>
                <w:rFonts w:ascii="Arial" w:eastAsia="Arial" w:hAnsi="Arial" w:cs="Arial"/>
                <w:color w:val="000000"/>
                <w:sz w:val="14"/>
                <w:lang w:val="cs-CZ"/>
              </w:rPr>
              <w:t>0,000</w:t>
            </w:r>
          </w:p>
        </w:tc>
        <w:tc>
          <w:tcPr>
            <w:tcW w:w="1092" w:type="dxa"/>
            <w:tcBorders>
              <w:top w:val="single" w:sz="4" w:space="0" w:color="000000"/>
              <w:left w:val="single" w:sz="4" w:space="0" w:color="000000"/>
              <w:bottom w:val="single" w:sz="4" w:space="0" w:color="000000"/>
              <w:right w:val="single" w:sz="4" w:space="0" w:color="000000"/>
            </w:tcBorders>
            <w:shd w:val="clear" w:color="auto" w:fill="FFFFFF"/>
          </w:tcPr>
          <w:p w14:paraId="79105A92" w14:textId="557F38A8" w:rsidR="00A664FB" w:rsidRPr="00E806C4" w:rsidRDefault="00A664FB" w:rsidP="00A664FB">
            <w:pPr>
              <w:ind w:left="57" w:right="57"/>
              <w:rPr>
                <w:rFonts w:ascii="Arial" w:eastAsia="Arial" w:hAnsi="Arial" w:cs="Arial"/>
                <w:color w:val="000000"/>
                <w:sz w:val="14"/>
                <w:lang w:val="cs-CZ"/>
              </w:rPr>
            </w:pPr>
          </w:p>
        </w:tc>
      </w:tr>
    </w:tbl>
    <w:p w14:paraId="69960D19" w14:textId="77777777" w:rsidR="00533CD2" w:rsidRPr="00060E61" w:rsidRDefault="0046046C">
      <w:pPr>
        <w:keepNext/>
        <w:spacing w:before="240"/>
        <w:ind w:left="115" w:right="106"/>
        <w:jc w:val="both"/>
        <w:rPr>
          <w:rFonts w:ascii="Arial" w:eastAsia="Arial" w:hAnsi="Arial" w:cs="Arial"/>
          <w:color w:val="000000"/>
          <w:sz w:val="20"/>
          <w:lang w:val="cs-CZ"/>
        </w:rPr>
      </w:pPr>
      <w:r w:rsidRPr="00060E61">
        <w:rPr>
          <w:rFonts w:ascii="Arial" w:eastAsia="Arial" w:hAnsi="Arial" w:cs="Arial"/>
          <w:color w:val="000000"/>
          <w:sz w:val="20"/>
          <w:lang w:val="cs-CZ"/>
        </w:rPr>
        <w:t xml:space="preserve">Investiční priorita: </w:t>
      </w:r>
      <w:proofErr w:type="gramStart"/>
      <w:r w:rsidRPr="00060E61">
        <w:rPr>
          <w:rFonts w:ascii="Arial" w:eastAsia="Arial" w:hAnsi="Arial" w:cs="Arial"/>
          <w:color w:val="000000"/>
          <w:sz w:val="20"/>
          <w:lang w:val="cs-CZ"/>
        </w:rPr>
        <w:t>06.1.23</w:t>
      </w:r>
      <w:proofErr w:type="gramEnd"/>
      <w:r w:rsidRPr="00060E61">
        <w:rPr>
          <w:rFonts w:ascii="Arial" w:eastAsia="Arial" w:hAnsi="Arial" w:cs="Arial"/>
          <w:color w:val="000000"/>
          <w:sz w:val="20"/>
          <w:lang w:val="cs-CZ"/>
        </w:rPr>
        <w:t xml:space="preserve"> Podpora investic zaměřených na řešení konkrétních rizik, zajištění odolnosti vůči katastrofám a vývoj systémů krizového řízení</w:t>
      </w:r>
    </w:p>
    <w:tbl>
      <w:tblPr>
        <w:tblW w:w="0" w:type="auto"/>
        <w:tblInd w:w="58" w:type="dxa"/>
        <w:tblLayout w:type="fixed"/>
        <w:tblCellMar>
          <w:left w:w="0" w:type="dxa"/>
          <w:right w:w="0" w:type="dxa"/>
        </w:tblCellMar>
        <w:tblLook w:val="04A0" w:firstRow="1" w:lastRow="0" w:firstColumn="1" w:lastColumn="0" w:noHBand="0" w:noVBand="1"/>
      </w:tblPr>
      <w:tblGrid>
        <w:gridCol w:w="800"/>
        <w:gridCol w:w="974"/>
        <w:gridCol w:w="1257"/>
        <w:gridCol w:w="1117"/>
        <w:gridCol w:w="848"/>
        <w:gridCol w:w="1112"/>
        <w:gridCol w:w="1137"/>
        <w:gridCol w:w="713"/>
        <w:gridCol w:w="700"/>
        <w:gridCol w:w="712"/>
        <w:gridCol w:w="739"/>
        <w:gridCol w:w="766"/>
        <w:gridCol w:w="708"/>
        <w:gridCol w:w="709"/>
        <w:gridCol w:w="711"/>
        <w:gridCol w:w="710"/>
        <w:gridCol w:w="712"/>
        <w:gridCol w:w="992"/>
      </w:tblGrid>
      <w:tr w:rsidR="00533CD2" w14:paraId="5631C7E2" w14:textId="77777777">
        <w:trPr>
          <w:tblHeader/>
        </w:trPr>
        <w:tc>
          <w:tcPr>
            <w:tcW w:w="7245"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3C815EBC" w14:textId="77777777" w:rsidR="00533CD2" w:rsidRPr="00060E61" w:rsidRDefault="00533CD2">
            <w:pPr>
              <w:ind w:left="57" w:right="57"/>
              <w:jc w:val="both"/>
              <w:rPr>
                <w:lang w:val="cs-CZ"/>
              </w:rPr>
            </w:pPr>
          </w:p>
        </w:tc>
        <w:tc>
          <w:tcPr>
            <w:tcW w:w="7180"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14:paraId="4A1C264B"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ROČNÍ HODNOTA</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F5D67A" w14:textId="77777777" w:rsidR="00533CD2" w:rsidRDefault="00533CD2">
            <w:pPr>
              <w:ind w:left="57" w:right="57"/>
              <w:jc w:val="both"/>
            </w:pPr>
          </w:p>
        </w:tc>
      </w:tr>
      <w:tr w:rsidR="00533CD2" w14:paraId="40D9D172" w14:textId="77777777">
        <w:trPr>
          <w:tblHeader/>
        </w:trPr>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CE0078"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ID</w:t>
            </w:r>
          </w:p>
        </w:tc>
        <w:tc>
          <w:tcPr>
            <w:tcW w:w="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F4CD7D"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Indikátor</w:t>
            </w:r>
          </w:p>
        </w:tc>
        <w:tc>
          <w:tcPr>
            <w:tcW w:w="12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7C22B4"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Měrná jednotka</w:t>
            </w:r>
          </w:p>
        </w:tc>
        <w:tc>
          <w:tcPr>
            <w:tcW w:w="11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4C3B9E"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Kategorie regionu</w:t>
            </w:r>
          </w:p>
          <w:p w14:paraId="6D97E959"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(je-li relevantní)</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DFEA13"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Výchozí hodnota</w:t>
            </w:r>
          </w:p>
        </w:tc>
        <w:tc>
          <w:tcPr>
            <w:tcW w:w="11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23C6B9"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Výchozí rok</w:t>
            </w:r>
          </w:p>
        </w:tc>
        <w:tc>
          <w:tcPr>
            <w:tcW w:w="11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8B8FBB"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Cílová hodnota (2023)</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15E1AF"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2014</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7FCDDE"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2015</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098894"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2016</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C961D1"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2017</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BA76C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6B80B1"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34DC6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F7DD38"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2021</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EE6E9C"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2022</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16292A"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362FF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Vysvětlení (v případě potřeby)</w:t>
            </w:r>
          </w:p>
        </w:tc>
      </w:tr>
      <w:tr w:rsidR="00533CD2" w14:paraId="03259F80" w14:textId="77777777">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7F44D249"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57520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0E442C7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exponovaných území s nedostatečnou připraveností složek IZS</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686B7586"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Území</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7D8885C5"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7980CC9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108,000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5D3526E6"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2014</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5B223D5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48,000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4B9903A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482D3871" w14:textId="77777777" w:rsidR="00533CD2" w:rsidRDefault="00533CD2">
            <w:pPr>
              <w:tabs>
                <w:tab w:val="left" w:pos="828"/>
              </w:tabs>
              <w:ind w:left="57" w:right="57"/>
              <w:jc w:val="right"/>
              <w:rPr>
                <w:rFonts w:ascii="Arial" w:eastAsia="Arial" w:hAnsi="Arial" w:cs="Arial"/>
                <w:color w:val="000000"/>
                <w:sz w:val="14"/>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09DB11A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108,000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344216C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108,000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666FBC1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107,000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678F66E4" w14:textId="370A985B" w:rsidR="00533CD2" w:rsidRDefault="00533CD2">
            <w:pPr>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36B1CF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3F41CA1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59F21F2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38A21CB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3E349ADB" w14:textId="0153DB02" w:rsidR="00533CD2" w:rsidRDefault="00561568">
            <w:pPr>
              <w:ind w:left="57" w:right="57"/>
              <w:rPr>
                <w:rFonts w:ascii="Arial" w:eastAsia="Arial" w:hAnsi="Arial" w:cs="Arial"/>
                <w:color w:val="000000"/>
                <w:sz w:val="14"/>
              </w:rPr>
            </w:pPr>
            <w:r>
              <w:rPr>
                <w:rFonts w:ascii="Arial" w:eastAsia="Arial" w:hAnsi="Arial" w:cs="Arial"/>
                <w:color w:val="000000"/>
                <w:sz w:val="14"/>
              </w:rPr>
              <w:t>ŘO IROP ve splupráci s Ministerstvem vnitra ČR pracuje na další aktualizaci indikátoru 57 520, výsledky výpočtů budou známy v Q3 2020.</w:t>
            </w:r>
          </w:p>
        </w:tc>
      </w:tr>
      <w:tr w:rsidR="00533CD2" w14:paraId="3826EF81" w14:textId="77777777">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5564A01B"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57530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105F04E7"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Připravenost složek IZS</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284BDB46"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Osoby</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0127DF9B"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71B9E23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1 400,000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032979C9"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2014</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6931CC7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71 200,000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367CDC4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6F1B565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1 100,000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06CD7EC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6 400,000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1484C93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12 460,000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4529378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24 877,000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5943EE03" w14:textId="5821CDD4" w:rsidR="00533CD2" w:rsidRDefault="00561568">
            <w:pPr>
              <w:tabs>
                <w:tab w:val="left" w:pos="828"/>
              </w:tabs>
              <w:ind w:left="57" w:right="57"/>
              <w:jc w:val="right"/>
              <w:rPr>
                <w:rFonts w:ascii="Arial" w:eastAsia="Arial" w:hAnsi="Arial" w:cs="Arial"/>
                <w:color w:val="000000"/>
                <w:sz w:val="14"/>
              </w:rPr>
            </w:pPr>
            <w:r>
              <w:rPr>
                <w:rFonts w:ascii="Arial" w:eastAsia="Arial" w:hAnsi="Arial" w:cs="Arial"/>
                <w:color w:val="000000"/>
                <w:sz w:val="14"/>
              </w:rPr>
              <w:t>39 206,00</w:t>
            </w:r>
            <w:r w:rsidR="00006A16">
              <w:rPr>
                <w:rFonts w:ascii="Arial" w:eastAsia="Arial" w:hAnsi="Arial" w:cs="Arial"/>
                <w:color w:val="000000"/>
                <w:sz w:val="14"/>
              </w:rPr>
              <w:t>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E0EDD3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3B49E8B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1D727F5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4C8CF16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56167F85" w14:textId="77777777" w:rsidR="00533CD2" w:rsidRDefault="00533CD2">
            <w:pPr>
              <w:ind w:left="57" w:right="57"/>
              <w:rPr>
                <w:rFonts w:ascii="Arial" w:eastAsia="Arial" w:hAnsi="Arial" w:cs="Arial"/>
                <w:color w:val="000000"/>
                <w:sz w:val="14"/>
              </w:rPr>
            </w:pPr>
          </w:p>
        </w:tc>
      </w:tr>
    </w:tbl>
    <w:p w14:paraId="48BEE7B4" w14:textId="77777777" w:rsidR="00533CD2" w:rsidRDefault="0046046C">
      <w:pPr>
        <w:keepNext/>
        <w:spacing w:before="240"/>
        <w:ind w:left="115" w:right="106"/>
        <w:jc w:val="both"/>
        <w:rPr>
          <w:rFonts w:ascii="Arial" w:eastAsia="Arial" w:hAnsi="Arial" w:cs="Arial"/>
          <w:color w:val="000000"/>
          <w:sz w:val="20"/>
        </w:rPr>
      </w:pPr>
      <w:r>
        <w:rPr>
          <w:rFonts w:ascii="Arial" w:eastAsia="Arial" w:hAnsi="Arial" w:cs="Arial"/>
          <w:color w:val="000000"/>
          <w:sz w:val="20"/>
        </w:rPr>
        <w:t>Investiční priorita: 06.1.42 Zvyšování regionální mobility prostřednictvím připojení sekundárních a terciárních uzlů k infrastruktuře sítě TEN-T, včetně multimodálních uzlů</w:t>
      </w:r>
    </w:p>
    <w:tbl>
      <w:tblPr>
        <w:tblW w:w="0" w:type="auto"/>
        <w:tblInd w:w="58" w:type="dxa"/>
        <w:tblLayout w:type="fixed"/>
        <w:tblCellMar>
          <w:left w:w="0" w:type="dxa"/>
          <w:right w:w="0" w:type="dxa"/>
        </w:tblCellMar>
        <w:tblLook w:val="04A0" w:firstRow="1" w:lastRow="0" w:firstColumn="1" w:lastColumn="0" w:noHBand="0" w:noVBand="1"/>
      </w:tblPr>
      <w:tblGrid>
        <w:gridCol w:w="800"/>
        <w:gridCol w:w="974"/>
        <w:gridCol w:w="1257"/>
        <w:gridCol w:w="1117"/>
        <w:gridCol w:w="848"/>
        <w:gridCol w:w="1112"/>
        <w:gridCol w:w="1137"/>
        <w:gridCol w:w="713"/>
        <w:gridCol w:w="700"/>
        <w:gridCol w:w="712"/>
        <w:gridCol w:w="739"/>
        <w:gridCol w:w="766"/>
        <w:gridCol w:w="708"/>
        <w:gridCol w:w="709"/>
        <w:gridCol w:w="711"/>
        <w:gridCol w:w="710"/>
        <w:gridCol w:w="712"/>
        <w:gridCol w:w="992"/>
      </w:tblGrid>
      <w:tr w:rsidR="00533CD2" w14:paraId="5270319C" w14:textId="77777777">
        <w:trPr>
          <w:tblHeader/>
        </w:trPr>
        <w:tc>
          <w:tcPr>
            <w:tcW w:w="7245"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5ECBB4F0" w14:textId="77777777" w:rsidR="00533CD2" w:rsidRDefault="00533CD2">
            <w:pPr>
              <w:ind w:left="57" w:right="57"/>
              <w:jc w:val="both"/>
            </w:pPr>
          </w:p>
        </w:tc>
        <w:tc>
          <w:tcPr>
            <w:tcW w:w="7180"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14:paraId="47E93F24"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ROČNÍ HODNOTA</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282DC1" w14:textId="77777777" w:rsidR="00533CD2" w:rsidRDefault="00533CD2">
            <w:pPr>
              <w:ind w:left="57" w:right="57"/>
              <w:jc w:val="both"/>
            </w:pPr>
          </w:p>
        </w:tc>
      </w:tr>
      <w:tr w:rsidR="00533CD2" w14:paraId="44C90AE5" w14:textId="77777777">
        <w:trPr>
          <w:tblHeader/>
        </w:trPr>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2C081C"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ID</w:t>
            </w:r>
          </w:p>
        </w:tc>
        <w:tc>
          <w:tcPr>
            <w:tcW w:w="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3FFD39"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Indikátor</w:t>
            </w:r>
          </w:p>
        </w:tc>
        <w:tc>
          <w:tcPr>
            <w:tcW w:w="12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E278DB"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Měrná jednotka</w:t>
            </w:r>
          </w:p>
        </w:tc>
        <w:tc>
          <w:tcPr>
            <w:tcW w:w="11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433ADB"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Kategorie regionu</w:t>
            </w:r>
          </w:p>
          <w:p w14:paraId="6F35C078"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(je-li relevantní)</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259E6C"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Výchozí hodnota</w:t>
            </w:r>
          </w:p>
        </w:tc>
        <w:tc>
          <w:tcPr>
            <w:tcW w:w="11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3B858D"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Výchozí rok</w:t>
            </w:r>
          </w:p>
        </w:tc>
        <w:tc>
          <w:tcPr>
            <w:tcW w:w="11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7F56D9"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Cílová hodnota (2023)</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33C0DC"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2014</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7AA5B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2015</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33553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2016</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57DCD7"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2017</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C00C1C"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9D4625"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98C739"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1F8EA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2021</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B0784F"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2022</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0427DF"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7A603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Vysvětlení (v případě potřeby)</w:t>
            </w:r>
          </w:p>
        </w:tc>
      </w:tr>
      <w:tr w:rsidR="00533CD2" w14:paraId="09A29333" w14:textId="77777777">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6FB3DDF6"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72210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62572059"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Plocha území  dostupného z TEN-T do 45 minut</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4380EB72"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km2</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43D54A95"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689B0B9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67 761,000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1F19B645"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2014</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387230E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68 079,000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0FCC1FB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24E854C4" w14:textId="77777777" w:rsidR="00533CD2" w:rsidRDefault="00533CD2">
            <w:pPr>
              <w:tabs>
                <w:tab w:val="left" w:pos="828"/>
              </w:tabs>
              <w:ind w:left="57" w:right="57"/>
              <w:jc w:val="right"/>
              <w:rPr>
                <w:rFonts w:ascii="Arial" w:eastAsia="Arial" w:hAnsi="Arial" w:cs="Arial"/>
                <w:color w:val="000000"/>
                <w:sz w:val="14"/>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0008B507" w14:textId="77777777" w:rsidR="00533CD2" w:rsidRDefault="00533CD2">
            <w:pPr>
              <w:tabs>
                <w:tab w:val="left" w:pos="828"/>
              </w:tabs>
              <w:ind w:left="57" w:right="57"/>
              <w:jc w:val="right"/>
              <w:rPr>
                <w:rFonts w:ascii="Arial" w:eastAsia="Arial" w:hAnsi="Arial" w:cs="Arial"/>
                <w:color w:val="000000"/>
                <w:sz w:val="14"/>
              </w:rPr>
            </w:pP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69158E81" w14:textId="77777777" w:rsidR="00533CD2" w:rsidRDefault="00533CD2">
            <w:pPr>
              <w:tabs>
                <w:tab w:val="left" w:pos="828"/>
              </w:tabs>
              <w:ind w:left="57" w:right="57"/>
              <w:jc w:val="right"/>
              <w:rPr>
                <w:rFonts w:ascii="Arial" w:eastAsia="Arial" w:hAnsi="Arial" w:cs="Arial"/>
                <w:color w:val="000000"/>
                <w:sz w:val="14"/>
              </w:rPr>
            </w:pP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7B08D735" w14:textId="77777777" w:rsidR="00533CD2" w:rsidRDefault="00533CD2">
            <w:pPr>
              <w:tabs>
                <w:tab w:val="left" w:pos="828"/>
              </w:tabs>
              <w:ind w:left="57" w:right="57"/>
              <w:jc w:val="right"/>
              <w:rPr>
                <w:rFonts w:ascii="Arial" w:eastAsia="Arial" w:hAnsi="Arial" w:cs="Arial"/>
                <w:color w:val="000000"/>
                <w:sz w:val="14"/>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1D350CC2" w14:textId="6C738630" w:rsidR="00533CD2" w:rsidRPr="00E806C4" w:rsidRDefault="007A6B3C">
            <w:pPr>
              <w:tabs>
                <w:tab w:val="left" w:pos="828"/>
              </w:tabs>
              <w:ind w:left="57" w:right="57"/>
              <w:jc w:val="right"/>
              <w:rPr>
                <w:rFonts w:ascii="Arial" w:eastAsia="Arial" w:hAnsi="Arial" w:cs="Arial"/>
                <w:color w:val="000000"/>
                <w:sz w:val="14"/>
                <w:highlight w:val="yellow"/>
              </w:rPr>
            </w:pPr>
            <w:r w:rsidRPr="00E806C4">
              <w:rPr>
                <w:rFonts w:ascii="Arial" w:eastAsia="Arial" w:hAnsi="Arial" w:cs="Arial"/>
                <w:color w:val="000000"/>
                <w:sz w:val="14"/>
              </w:rPr>
              <w:t>68 105</w:t>
            </w:r>
            <w:r w:rsidR="00006A16" w:rsidRPr="00E806C4">
              <w:rPr>
                <w:rFonts w:ascii="Arial" w:eastAsia="Arial" w:hAnsi="Arial" w:cs="Arial"/>
                <w:color w:val="000000"/>
                <w:sz w:val="14"/>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73735B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3C153D2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15D88C9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2F963AE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315E4C51" w14:textId="28C3E47F" w:rsidR="00533CD2" w:rsidRDefault="007A6B3C">
            <w:pPr>
              <w:ind w:left="57" w:right="57"/>
              <w:rPr>
                <w:rFonts w:ascii="Arial" w:eastAsia="Arial" w:hAnsi="Arial" w:cs="Arial"/>
                <w:color w:val="000000"/>
                <w:sz w:val="14"/>
              </w:rPr>
            </w:pPr>
            <w:r>
              <w:rPr>
                <w:rFonts w:ascii="Arial" w:eastAsia="Arial" w:hAnsi="Arial" w:cs="Arial"/>
                <w:color w:val="000000"/>
                <w:sz w:val="14"/>
              </w:rPr>
              <w:t xml:space="preserve">Vzhledem k tomu, že na základě výpočtu provedeného v roce 2019, byla překročena cílová hodnota indikátorů, bude v následující revizi PD hodnota zvýšea tak, aby reflektovala aktuání vývoj silniční sítě v ČR. </w:t>
            </w:r>
          </w:p>
        </w:tc>
      </w:tr>
    </w:tbl>
    <w:p w14:paraId="3CF5C1DA" w14:textId="77777777" w:rsidR="00533CD2" w:rsidRDefault="0046046C">
      <w:pPr>
        <w:keepNext/>
        <w:spacing w:before="240"/>
        <w:ind w:left="115" w:right="106"/>
        <w:jc w:val="both"/>
        <w:rPr>
          <w:rFonts w:ascii="Arial" w:eastAsia="Arial" w:hAnsi="Arial" w:cs="Arial"/>
          <w:color w:val="000000"/>
          <w:sz w:val="20"/>
        </w:rPr>
      </w:pPr>
      <w:r>
        <w:rPr>
          <w:rFonts w:ascii="Arial" w:eastAsia="Arial" w:hAnsi="Arial" w:cs="Arial"/>
          <w:color w:val="000000"/>
          <w:sz w:val="20"/>
        </w:rPr>
        <w:t>Investiční priorita: 06.2.11 Podpora energetické účinnosti, inteligentních systémů hospodaření s energií a využívání energie z obnovitelných zdrojů ve veřejných infrastrukturách, mimo jiné ve veřejných budovách a v oblasti bydlení</w:t>
      </w:r>
    </w:p>
    <w:tbl>
      <w:tblPr>
        <w:tblW w:w="0" w:type="auto"/>
        <w:tblInd w:w="58" w:type="dxa"/>
        <w:tblLayout w:type="fixed"/>
        <w:tblCellMar>
          <w:left w:w="0" w:type="dxa"/>
          <w:right w:w="0" w:type="dxa"/>
        </w:tblCellMar>
        <w:tblLook w:val="04A0" w:firstRow="1" w:lastRow="0" w:firstColumn="1" w:lastColumn="0" w:noHBand="0" w:noVBand="1"/>
      </w:tblPr>
      <w:tblGrid>
        <w:gridCol w:w="800"/>
        <w:gridCol w:w="974"/>
        <w:gridCol w:w="1257"/>
        <w:gridCol w:w="1117"/>
        <w:gridCol w:w="848"/>
        <w:gridCol w:w="1112"/>
        <w:gridCol w:w="1137"/>
        <w:gridCol w:w="713"/>
        <w:gridCol w:w="700"/>
        <w:gridCol w:w="712"/>
        <w:gridCol w:w="739"/>
        <w:gridCol w:w="766"/>
        <w:gridCol w:w="708"/>
        <w:gridCol w:w="709"/>
        <w:gridCol w:w="711"/>
        <w:gridCol w:w="710"/>
        <w:gridCol w:w="712"/>
        <w:gridCol w:w="992"/>
      </w:tblGrid>
      <w:tr w:rsidR="00533CD2" w14:paraId="394E9D89" w14:textId="77777777">
        <w:trPr>
          <w:tblHeader/>
        </w:trPr>
        <w:tc>
          <w:tcPr>
            <w:tcW w:w="7245"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3B1A961F" w14:textId="77777777" w:rsidR="00533CD2" w:rsidRDefault="00533CD2">
            <w:pPr>
              <w:ind w:left="57" w:right="57"/>
              <w:jc w:val="both"/>
            </w:pPr>
          </w:p>
        </w:tc>
        <w:tc>
          <w:tcPr>
            <w:tcW w:w="7180"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14:paraId="05FDF982"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ROČNÍ HODNOTA</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59A652" w14:textId="77777777" w:rsidR="00533CD2" w:rsidRDefault="00533CD2">
            <w:pPr>
              <w:ind w:left="57" w:right="57"/>
              <w:jc w:val="both"/>
            </w:pPr>
          </w:p>
        </w:tc>
      </w:tr>
      <w:tr w:rsidR="00533CD2" w14:paraId="7C397263" w14:textId="77777777">
        <w:trPr>
          <w:tblHeader/>
        </w:trPr>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FE7374"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ID</w:t>
            </w:r>
          </w:p>
        </w:tc>
        <w:tc>
          <w:tcPr>
            <w:tcW w:w="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9FE516"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Indikátor</w:t>
            </w:r>
          </w:p>
        </w:tc>
        <w:tc>
          <w:tcPr>
            <w:tcW w:w="12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243C74"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Měrná jednotka</w:t>
            </w:r>
          </w:p>
        </w:tc>
        <w:tc>
          <w:tcPr>
            <w:tcW w:w="11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302893"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Kategorie regionu</w:t>
            </w:r>
          </w:p>
          <w:p w14:paraId="639161BF"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(je-li relevantní)</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5FCE20"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Výchozí hodnota</w:t>
            </w:r>
          </w:p>
        </w:tc>
        <w:tc>
          <w:tcPr>
            <w:tcW w:w="11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73977E"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Výchozí rok</w:t>
            </w:r>
          </w:p>
        </w:tc>
        <w:tc>
          <w:tcPr>
            <w:tcW w:w="11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876589"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Cílová hodnota (2023)</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4F0B6A"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2014</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75C8C2"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2015</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A3A002"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2016</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3E24ED"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2017</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1B546B"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8248D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303964"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16856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2021</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086C4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2022</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2DB70E"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D46BD3"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Vysvětlení (v případě potřeby)</w:t>
            </w:r>
          </w:p>
        </w:tc>
      </w:tr>
      <w:tr w:rsidR="00533CD2" w14:paraId="00CF0532" w14:textId="77777777">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42E6402B"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32400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1638835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Konečná spotřeba energie domácností v ČR</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11148D82"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MWh/rok</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5C857E54"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084C4F0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82 220 275,000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727FC82E"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2012</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2B2F7F5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78 397 032,000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5835763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1605D42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75 475 942,170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78A7EB3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77 835 876,090</w:t>
            </w: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5CF8DA5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80 497 552,000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51DDA24F" w14:textId="164D4EF8" w:rsidR="00533CD2" w:rsidRDefault="003F2A14">
            <w:pPr>
              <w:tabs>
                <w:tab w:val="left" w:pos="828"/>
              </w:tabs>
              <w:ind w:left="57" w:right="57"/>
              <w:jc w:val="right"/>
              <w:rPr>
                <w:rFonts w:ascii="Arial" w:eastAsia="Arial" w:hAnsi="Arial" w:cs="Arial"/>
                <w:color w:val="000000"/>
                <w:sz w:val="14"/>
              </w:rPr>
            </w:pPr>
            <w:r w:rsidRPr="003F2A14">
              <w:rPr>
                <w:rFonts w:ascii="Arial" w:eastAsia="Arial" w:hAnsi="Arial" w:cs="Arial"/>
                <w:color w:val="000000"/>
                <w:sz w:val="14"/>
              </w:rPr>
              <w:t>81</w:t>
            </w:r>
            <w:r w:rsidR="00006A16">
              <w:rPr>
                <w:rFonts w:ascii="Arial" w:eastAsia="Arial" w:hAnsi="Arial" w:cs="Arial"/>
                <w:color w:val="000000"/>
                <w:sz w:val="14"/>
              </w:rPr>
              <w:t> </w:t>
            </w:r>
            <w:r w:rsidRPr="003F2A14">
              <w:rPr>
                <w:rFonts w:ascii="Arial" w:eastAsia="Arial" w:hAnsi="Arial" w:cs="Arial"/>
                <w:color w:val="000000"/>
                <w:sz w:val="14"/>
              </w:rPr>
              <w:t>932</w:t>
            </w:r>
            <w:r w:rsidR="00006A16">
              <w:rPr>
                <w:rFonts w:ascii="Arial" w:eastAsia="Arial" w:hAnsi="Arial" w:cs="Arial"/>
                <w:color w:val="000000"/>
                <w:sz w:val="14"/>
              </w:rPr>
              <w:t xml:space="preserve"> </w:t>
            </w:r>
            <w:r w:rsidRPr="003F2A14">
              <w:rPr>
                <w:rFonts w:ascii="Arial" w:eastAsia="Arial" w:hAnsi="Arial" w:cs="Arial"/>
                <w:color w:val="000000"/>
                <w:sz w:val="14"/>
              </w:rPr>
              <w:t>199</w:t>
            </w:r>
            <w:r w:rsidR="00006A16">
              <w:rPr>
                <w:rFonts w:ascii="Arial" w:eastAsia="Arial" w:hAnsi="Arial" w:cs="Arial"/>
                <w:color w:val="000000"/>
                <w:sz w:val="14"/>
              </w:rPr>
              <w:t>,000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3EA894F4" w14:textId="7E21B1C7" w:rsidR="00533CD2" w:rsidRDefault="00533CD2">
            <w:pPr>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4672FD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65A2B40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2DE14C7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373FDFA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6387561A" w14:textId="77777777" w:rsidR="00A664FB" w:rsidRPr="003F2A14" w:rsidRDefault="00A664FB" w:rsidP="00A664FB">
            <w:pPr>
              <w:rPr>
                <w:rFonts w:ascii="Verdana" w:eastAsia="Times New Roman" w:hAnsi="Verdana" w:cs="Times New Roman"/>
                <w:color w:val="000000"/>
                <w:sz w:val="14"/>
                <w:szCs w:val="14"/>
                <w:lang w:val="cs-CZ" w:eastAsia="cs-CZ"/>
              </w:rPr>
            </w:pPr>
            <w:r>
              <w:rPr>
                <w:rFonts w:ascii="Arial" w:eastAsia="Arial" w:hAnsi="Arial" w:cs="Arial"/>
                <w:color w:val="000000"/>
                <w:sz w:val="14"/>
              </w:rPr>
              <w:t xml:space="preserve">V </w:t>
            </w:r>
            <w:r w:rsidRPr="00DF3DC1">
              <w:rPr>
                <w:rFonts w:ascii="Arial" w:eastAsia="Arial" w:hAnsi="Arial" w:cs="Arial"/>
                <w:color w:val="000000"/>
                <w:sz w:val="14"/>
              </w:rPr>
              <w:t xml:space="preserve">databázi Eurostat </w:t>
            </w:r>
            <w:r>
              <w:rPr>
                <w:rFonts w:ascii="Arial" w:eastAsia="Arial" w:hAnsi="Arial" w:cs="Arial"/>
                <w:color w:val="000000"/>
                <w:sz w:val="14"/>
              </w:rPr>
              <w:t xml:space="preserve">došlo ke změnách ve vykazování statistik – původní zdrojová tabulka nrg_100a byla nahrazena ngg_bal_c, což znesnadňuje meziroční porovnání hodnot – podle nové metodiky by výchozí hodnota v roce 2012 byla </w:t>
            </w:r>
            <w:r w:rsidRPr="00E806C4">
              <w:rPr>
                <w:rFonts w:ascii="Arial" w:eastAsia="Arial" w:hAnsi="Arial" w:cs="Arial"/>
                <w:color w:val="000000"/>
                <w:sz w:val="14"/>
              </w:rPr>
              <w:t>82</w:t>
            </w:r>
            <w:r>
              <w:rPr>
                <w:rFonts w:ascii="Arial" w:eastAsia="Arial" w:hAnsi="Arial" w:cs="Arial"/>
                <w:color w:val="000000"/>
                <w:sz w:val="14"/>
              </w:rPr>
              <w:t> </w:t>
            </w:r>
            <w:r w:rsidRPr="00E806C4">
              <w:rPr>
                <w:rFonts w:ascii="Arial" w:eastAsia="Arial" w:hAnsi="Arial" w:cs="Arial"/>
                <w:color w:val="000000"/>
                <w:sz w:val="14"/>
              </w:rPr>
              <w:t>761</w:t>
            </w:r>
            <w:r>
              <w:rPr>
                <w:rFonts w:ascii="Arial" w:eastAsia="Arial" w:hAnsi="Arial" w:cs="Arial"/>
                <w:color w:val="000000"/>
                <w:sz w:val="14"/>
              </w:rPr>
              <w:t> </w:t>
            </w:r>
            <w:r w:rsidRPr="00E806C4">
              <w:rPr>
                <w:rFonts w:ascii="Arial" w:eastAsia="Arial" w:hAnsi="Arial" w:cs="Arial"/>
                <w:color w:val="000000"/>
                <w:sz w:val="14"/>
              </w:rPr>
              <w:t>714</w:t>
            </w:r>
            <w:r>
              <w:rPr>
                <w:rFonts w:ascii="Arial" w:eastAsia="Arial" w:hAnsi="Arial" w:cs="Arial"/>
                <w:color w:val="000000"/>
                <w:sz w:val="14"/>
              </w:rPr>
              <w:t xml:space="preserve"> MWh/rok (vyšší o 6%)</w:t>
            </w:r>
            <w:r>
              <w:rPr>
                <w:rFonts w:ascii="Verdana" w:eastAsia="Times New Roman" w:hAnsi="Verdana" w:cs="Times New Roman"/>
                <w:color w:val="000000"/>
                <w:sz w:val="14"/>
                <w:szCs w:val="14"/>
                <w:lang w:val="cs-CZ" w:eastAsia="cs-CZ"/>
              </w:rPr>
              <w:t>. V souvislosti s rychlým růstem HDP je zatím současný pokles zatím pomalejší, než byl původní odhad.</w:t>
            </w:r>
            <w:r w:rsidRPr="001E3EC2">
              <w:rPr>
                <w:lang w:val="cs-CZ"/>
              </w:rPr>
              <w:t xml:space="preserve"> </w:t>
            </w:r>
            <w:r w:rsidRPr="00AF551B">
              <w:rPr>
                <w:rFonts w:ascii="Verdana" w:eastAsia="Times New Roman" w:hAnsi="Verdana" w:cs="Times New Roman"/>
                <w:color w:val="000000"/>
                <w:sz w:val="14"/>
                <w:szCs w:val="14"/>
                <w:lang w:val="cs-CZ" w:eastAsia="cs-CZ"/>
              </w:rPr>
              <w:t>Hodnota za rok 2019 bude dostupná během roku 2020 a bude doplněna ve VZ 2020.</w:t>
            </w:r>
          </w:p>
          <w:p w14:paraId="2873E2C2" w14:textId="7A90FAC3" w:rsidR="00533CD2" w:rsidRDefault="00533CD2" w:rsidP="00B02F02">
            <w:pPr>
              <w:rPr>
                <w:rFonts w:ascii="Arial" w:eastAsia="Arial" w:hAnsi="Arial" w:cs="Arial"/>
                <w:color w:val="000000"/>
                <w:sz w:val="14"/>
              </w:rPr>
            </w:pPr>
          </w:p>
        </w:tc>
      </w:tr>
    </w:tbl>
    <w:p w14:paraId="2107050A" w14:textId="77777777" w:rsidR="00533CD2" w:rsidRDefault="0046046C">
      <w:pPr>
        <w:keepNext/>
        <w:spacing w:before="240"/>
        <w:ind w:left="115" w:right="106"/>
        <w:jc w:val="both"/>
        <w:rPr>
          <w:rFonts w:ascii="Arial" w:eastAsia="Arial" w:hAnsi="Arial" w:cs="Arial"/>
          <w:color w:val="000000"/>
          <w:sz w:val="20"/>
        </w:rPr>
      </w:pPr>
      <w:r>
        <w:rPr>
          <w:rFonts w:ascii="Arial" w:eastAsia="Arial" w:hAnsi="Arial" w:cs="Arial"/>
          <w:color w:val="000000"/>
          <w:sz w:val="20"/>
        </w:rPr>
        <w:t>Investiční priorita: 06.2.56 Investice do zdravotnické a sociální infrastruktury, které přispívají k celostátnímu, regionálnímu a místnímu rozvoji, snižování nerovností, pokud jde o zdravotní stav, podpora sociálního začlenění díky lepšímu přístupu k sociálním, kulturním a rekreačním službám a přechodem od institucionálních ke komunitním službám</w:t>
      </w:r>
    </w:p>
    <w:tbl>
      <w:tblPr>
        <w:tblW w:w="0" w:type="auto"/>
        <w:tblInd w:w="58" w:type="dxa"/>
        <w:tblLayout w:type="fixed"/>
        <w:tblCellMar>
          <w:left w:w="0" w:type="dxa"/>
          <w:right w:w="0" w:type="dxa"/>
        </w:tblCellMar>
        <w:tblLook w:val="04A0" w:firstRow="1" w:lastRow="0" w:firstColumn="1" w:lastColumn="0" w:noHBand="0" w:noVBand="1"/>
      </w:tblPr>
      <w:tblGrid>
        <w:gridCol w:w="800"/>
        <w:gridCol w:w="974"/>
        <w:gridCol w:w="1257"/>
        <w:gridCol w:w="1117"/>
        <w:gridCol w:w="848"/>
        <w:gridCol w:w="1112"/>
        <w:gridCol w:w="1137"/>
        <w:gridCol w:w="713"/>
        <w:gridCol w:w="700"/>
        <w:gridCol w:w="712"/>
        <w:gridCol w:w="739"/>
        <w:gridCol w:w="766"/>
        <w:gridCol w:w="708"/>
        <w:gridCol w:w="709"/>
        <w:gridCol w:w="711"/>
        <w:gridCol w:w="710"/>
        <w:gridCol w:w="683"/>
        <w:gridCol w:w="1021"/>
      </w:tblGrid>
      <w:tr w:rsidR="00533CD2" w14:paraId="62F0DC93" w14:textId="77777777" w:rsidTr="009C34D0">
        <w:trPr>
          <w:tblHeader/>
        </w:trPr>
        <w:tc>
          <w:tcPr>
            <w:tcW w:w="7245"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25591B1D" w14:textId="77777777" w:rsidR="00533CD2" w:rsidRDefault="00533CD2">
            <w:pPr>
              <w:ind w:left="57" w:right="57"/>
              <w:jc w:val="both"/>
            </w:pPr>
          </w:p>
        </w:tc>
        <w:tc>
          <w:tcPr>
            <w:tcW w:w="7151"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14:paraId="6671FBA4"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ROČNÍ HODNOTA</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CFAB71" w14:textId="77777777" w:rsidR="00533CD2" w:rsidRDefault="00533CD2">
            <w:pPr>
              <w:ind w:left="57" w:right="57"/>
              <w:jc w:val="both"/>
            </w:pPr>
          </w:p>
        </w:tc>
      </w:tr>
      <w:tr w:rsidR="00E806C4" w14:paraId="49BF79F4" w14:textId="77777777" w:rsidTr="009C34D0">
        <w:trPr>
          <w:tblHeader/>
        </w:trPr>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4ADB07"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ID</w:t>
            </w:r>
          </w:p>
        </w:tc>
        <w:tc>
          <w:tcPr>
            <w:tcW w:w="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C17D66"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Indikátor</w:t>
            </w:r>
          </w:p>
        </w:tc>
        <w:tc>
          <w:tcPr>
            <w:tcW w:w="12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F4946F"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Měrná jednotka</w:t>
            </w:r>
          </w:p>
        </w:tc>
        <w:tc>
          <w:tcPr>
            <w:tcW w:w="11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EF531F"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Kategorie regionu</w:t>
            </w:r>
          </w:p>
          <w:p w14:paraId="2D549C36"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(je-li relevantní)</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F99631"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Výchozí hodnota</w:t>
            </w:r>
          </w:p>
        </w:tc>
        <w:tc>
          <w:tcPr>
            <w:tcW w:w="11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038FB8"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Výchozí rok</w:t>
            </w:r>
          </w:p>
        </w:tc>
        <w:tc>
          <w:tcPr>
            <w:tcW w:w="11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AD6F58"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Cílová hodnota (2023)</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955339"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2014</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A6536D"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2015</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DB4C65"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2016</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0EA9B1"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2017</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90AD77"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5B709F"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FC34B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7E353C"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2021</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CCE47C"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2022</w:t>
            </w:r>
          </w:p>
        </w:tc>
        <w:tc>
          <w:tcPr>
            <w:tcW w:w="6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6650E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2023</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3A6EF4"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Vysvětlení (v případě potřeby)</w:t>
            </w:r>
          </w:p>
        </w:tc>
      </w:tr>
      <w:tr w:rsidR="00E806C4" w14:paraId="71FA3844" w14:textId="77777777" w:rsidTr="009C34D0">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51B67462"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55320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5F9BBF46"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Průměrný počet osob využívající sociální bydlení</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7505BAF1"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Osoby/rok</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77E19992"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24CD772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1 388,000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796078B7"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2014</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0504001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9 634,000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0585274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6040F1AF" w14:textId="77777777" w:rsidR="00533CD2" w:rsidRDefault="00533CD2">
            <w:pPr>
              <w:tabs>
                <w:tab w:val="left" w:pos="828"/>
              </w:tabs>
              <w:ind w:left="57" w:right="57"/>
              <w:jc w:val="right"/>
              <w:rPr>
                <w:rFonts w:ascii="Arial" w:eastAsia="Arial" w:hAnsi="Arial" w:cs="Arial"/>
                <w:color w:val="000000"/>
                <w:sz w:val="14"/>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3684C26E" w14:textId="77777777" w:rsidR="00533CD2" w:rsidRDefault="00533CD2">
            <w:pPr>
              <w:tabs>
                <w:tab w:val="left" w:pos="828"/>
              </w:tabs>
              <w:ind w:left="57" w:right="57"/>
              <w:jc w:val="right"/>
              <w:rPr>
                <w:rFonts w:ascii="Arial" w:eastAsia="Arial" w:hAnsi="Arial" w:cs="Arial"/>
                <w:color w:val="000000"/>
                <w:sz w:val="14"/>
              </w:rPr>
            </w:pP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1E23D978" w14:textId="77777777" w:rsidR="00533CD2" w:rsidRDefault="00533CD2">
            <w:pPr>
              <w:tabs>
                <w:tab w:val="left" w:pos="828"/>
              </w:tabs>
              <w:ind w:left="57" w:right="57"/>
              <w:jc w:val="right"/>
              <w:rPr>
                <w:rFonts w:ascii="Arial" w:eastAsia="Arial" w:hAnsi="Arial" w:cs="Arial"/>
                <w:color w:val="000000"/>
                <w:sz w:val="14"/>
              </w:rPr>
            </w:pP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605A8C7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18,300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0CCB69BB" w14:textId="005680AC" w:rsidR="00533CD2" w:rsidRDefault="003F2A14">
            <w:pPr>
              <w:tabs>
                <w:tab w:val="left" w:pos="828"/>
              </w:tabs>
              <w:ind w:left="57" w:right="57"/>
              <w:jc w:val="right"/>
              <w:rPr>
                <w:rFonts w:ascii="Arial" w:eastAsia="Arial" w:hAnsi="Arial" w:cs="Arial"/>
                <w:color w:val="000000"/>
                <w:sz w:val="14"/>
              </w:rPr>
            </w:pPr>
            <w:r>
              <w:rPr>
                <w:rFonts w:ascii="Arial" w:eastAsia="Arial" w:hAnsi="Arial" w:cs="Arial"/>
                <w:color w:val="000000"/>
                <w:sz w:val="14"/>
              </w:rPr>
              <w:t>2</w:t>
            </w:r>
            <w:r w:rsidR="004F3575">
              <w:rPr>
                <w:rFonts w:ascii="Arial" w:eastAsia="Arial" w:hAnsi="Arial" w:cs="Arial"/>
                <w:color w:val="000000"/>
                <w:sz w:val="14"/>
              </w:rPr>
              <w:t>91</w:t>
            </w:r>
            <w:r>
              <w:rPr>
                <w:rFonts w:ascii="Arial" w:eastAsia="Arial" w:hAnsi="Arial" w:cs="Arial"/>
                <w:color w:val="000000"/>
                <w:sz w:val="14"/>
              </w:rPr>
              <w:t>,</w:t>
            </w:r>
            <w:r w:rsidR="00E14510">
              <w:rPr>
                <w:rFonts w:ascii="Arial" w:eastAsia="Arial" w:hAnsi="Arial" w:cs="Arial"/>
                <w:color w:val="000000"/>
                <w:sz w:val="14"/>
              </w:rPr>
              <w:t>03</w:t>
            </w:r>
            <w:r w:rsidR="00006A16">
              <w:rPr>
                <w:rFonts w:ascii="Arial" w:eastAsia="Arial" w:hAnsi="Arial" w:cs="Arial"/>
                <w:color w:val="000000"/>
                <w:sz w:val="14"/>
              </w:rPr>
              <w:t>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72A3DCC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1358F6A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56FB98B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683" w:type="dxa"/>
            <w:tcBorders>
              <w:top w:val="single" w:sz="4" w:space="0" w:color="000000"/>
              <w:left w:val="single" w:sz="4" w:space="0" w:color="000000"/>
              <w:bottom w:val="single" w:sz="4" w:space="0" w:color="000000"/>
              <w:right w:val="single" w:sz="4" w:space="0" w:color="000000"/>
            </w:tcBorders>
            <w:shd w:val="clear" w:color="auto" w:fill="FFFFFF"/>
          </w:tcPr>
          <w:p w14:paraId="0D1EB73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1021" w:type="dxa"/>
            <w:tcBorders>
              <w:top w:val="single" w:sz="4" w:space="0" w:color="000000"/>
              <w:left w:val="single" w:sz="4" w:space="0" w:color="000000"/>
              <w:bottom w:val="single" w:sz="4" w:space="0" w:color="000000"/>
              <w:right w:val="single" w:sz="4" w:space="0" w:color="000000"/>
            </w:tcBorders>
            <w:shd w:val="clear" w:color="auto" w:fill="FFFFFF"/>
          </w:tcPr>
          <w:p w14:paraId="6E669F4D" w14:textId="159A2962" w:rsidR="00533CD2" w:rsidRDefault="00E14510">
            <w:pPr>
              <w:ind w:left="57" w:right="57"/>
              <w:rPr>
                <w:rFonts w:ascii="Arial" w:eastAsia="Arial" w:hAnsi="Arial" w:cs="Arial"/>
                <w:color w:val="000000"/>
                <w:sz w:val="14"/>
              </w:rPr>
            </w:pPr>
            <w:r w:rsidRPr="00DF3DC1">
              <w:rPr>
                <w:rFonts w:ascii="Arial" w:eastAsia="Arial" w:hAnsi="Arial" w:cs="Arial"/>
                <w:color w:val="000000"/>
                <w:sz w:val="14"/>
              </w:rPr>
              <w:t>Hodnota je vykazována za první rok po ukončení realiz</w:t>
            </w:r>
            <w:r>
              <w:rPr>
                <w:rFonts w:ascii="Arial" w:eastAsia="Arial" w:hAnsi="Arial" w:cs="Arial"/>
                <w:color w:val="000000"/>
                <w:sz w:val="14"/>
              </w:rPr>
              <w:t>a</w:t>
            </w:r>
            <w:r w:rsidRPr="00DF3DC1">
              <w:rPr>
                <w:rFonts w:ascii="Arial" w:eastAsia="Arial" w:hAnsi="Arial" w:cs="Arial"/>
                <w:color w:val="000000"/>
                <w:sz w:val="14"/>
              </w:rPr>
              <w:t>ce projektu, z tohoto důvodu je vykazovaná hodnota součtem</w:t>
            </w:r>
            <w:r w:rsidR="00607878">
              <w:rPr>
                <w:rFonts w:ascii="Arial" w:eastAsia="Arial" w:hAnsi="Arial" w:cs="Arial"/>
                <w:color w:val="000000"/>
                <w:sz w:val="14"/>
              </w:rPr>
              <w:t xml:space="preserve"> z projektů</w:t>
            </w:r>
            <w:r w:rsidRPr="00DF3DC1">
              <w:rPr>
                <w:rFonts w:ascii="Arial" w:eastAsia="Arial" w:hAnsi="Arial" w:cs="Arial"/>
                <w:color w:val="000000"/>
                <w:sz w:val="14"/>
              </w:rPr>
              <w:t xml:space="preserve"> ukončených </w:t>
            </w:r>
            <w:r>
              <w:rPr>
                <w:rFonts w:ascii="Arial" w:eastAsia="Arial" w:hAnsi="Arial" w:cs="Arial"/>
                <w:color w:val="000000"/>
                <w:sz w:val="14"/>
              </w:rPr>
              <w:t xml:space="preserve">do konce roku 2018. Plánované hodnoty </w:t>
            </w:r>
            <w:r w:rsidR="00607878">
              <w:rPr>
                <w:rFonts w:ascii="Arial" w:eastAsia="Arial" w:hAnsi="Arial" w:cs="Arial"/>
                <w:color w:val="000000"/>
                <w:sz w:val="14"/>
              </w:rPr>
              <w:t xml:space="preserve">všech </w:t>
            </w:r>
            <w:r>
              <w:rPr>
                <w:rFonts w:ascii="Arial" w:eastAsia="Arial" w:hAnsi="Arial" w:cs="Arial"/>
                <w:color w:val="000000"/>
                <w:sz w:val="14"/>
              </w:rPr>
              <w:t>ukočených projektů se pohybují na úrovni 1221 osob/rok</w:t>
            </w:r>
          </w:p>
        </w:tc>
      </w:tr>
      <w:tr w:rsidR="00A3019B" w14:paraId="6C92C380" w14:textId="77777777" w:rsidTr="009C34D0">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274D8D1A" w14:textId="479DA4AA" w:rsidR="00A3019B" w:rsidRDefault="00A3019B">
            <w:pPr>
              <w:tabs>
                <w:tab w:val="left" w:pos="828"/>
              </w:tabs>
              <w:ind w:left="57" w:right="57"/>
              <w:rPr>
                <w:rFonts w:ascii="Arial" w:eastAsia="Arial" w:hAnsi="Arial" w:cs="Arial"/>
                <w:color w:val="000000"/>
                <w:sz w:val="14"/>
              </w:rPr>
            </w:pPr>
            <w:r>
              <w:rPr>
                <w:rFonts w:ascii="Arial" w:eastAsia="Arial" w:hAnsi="Arial" w:cs="Arial"/>
                <w:color w:val="000000"/>
                <w:sz w:val="14"/>
              </w:rPr>
              <w:t>57410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652AF6C9" w14:textId="05C2D6E4" w:rsidR="00A3019B" w:rsidRDefault="00A3019B">
            <w:pPr>
              <w:tabs>
                <w:tab w:val="left" w:pos="828"/>
              </w:tabs>
              <w:ind w:left="57" w:right="57"/>
              <w:rPr>
                <w:rFonts w:ascii="Arial" w:eastAsia="Arial" w:hAnsi="Arial" w:cs="Arial"/>
                <w:color w:val="000000"/>
                <w:sz w:val="14"/>
              </w:rPr>
            </w:pPr>
            <w:r>
              <w:rPr>
                <w:rFonts w:ascii="Arial" w:eastAsia="Arial" w:hAnsi="Arial" w:cs="Arial"/>
                <w:color w:val="000000"/>
                <w:sz w:val="14"/>
              </w:rPr>
              <w:t>Průměrná délka hospitalizace v institucích dlouhodobé psychiatrické péče</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3C4A5CC7" w14:textId="1EBAA719" w:rsidR="00A3019B" w:rsidRDefault="00A3019B">
            <w:pPr>
              <w:ind w:left="57" w:right="57"/>
              <w:rPr>
                <w:rFonts w:ascii="Arial" w:eastAsia="Arial" w:hAnsi="Arial" w:cs="Arial"/>
                <w:color w:val="000000"/>
                <w:sz w:val="14"/>
              </w:rPr>
            </w:pPr>
            <w:r>
              <w:rPr>
                <w:rFonts w:ascii="Arial" w:eastAsia="Arial" w:hAnsi="Arial" w:cs="Arial"/>
                <w:color w:val="000000"/>
                <w:sz w:val="14"/>
              </w:rPr>
              <w:t>Dny</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0BD61D61" w14:textId="79A91B62" w:rsidR="00A3019B" w:rsidRDefault="00A3019B">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3031D8F9" w14:textId="11265666" w:rsidR="00A3019B" w:rsidRDefault="00A3019B">
            <w:pPr>
              <w:tabs>
                <w:tab w:val="left" w:pos="828"/>
              </w:tabs>
              <w:ind w:left="57" w:right="57"/>
              <w:jc w:val="right"/>
              <w:rPr>
                <w:rFonts w:ascii="Arial" w:eastAsia="Arial" w:hAnsi="Arial" w:cs="Arial"/>
                <w:color w:val="000000"/>
                <w:sz w:val="14"/>
              </w:rPr>
            </w:pPr>
            <w:r>
              <w:rPr>
                <w:rFonts w:ascii="Arial" w:eastAsia="Arial" w:hAnsi="Arial" w:cs="Arial"/>
                <w:color w:val="000000"/>
                <w:sz w:val="14"/>
              </w:rPr>
              <w:t>115,000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035D8DEB" w14:textId="06CD5163" w:rsidR="00A3019B" w:rsidRDefault="00A3019B">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2012</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371A3275" w14:textId="0DB7FDA3" w:rsidR="00A3019B" w:rsidRDefault="00A3019B">
            <w:pPr>
              <w:tabs>
                <w:tab w:val="left" w:pos="828"/>
              </w:tabs>
              <w:ind w:left="57" w:right="57"/>
              <w:jc w:val="right"/>
              <w:rPr>
                <w:rFonts w:ascii="Arial" w:eastAsia="Arial" w:hAnsi="Arial" w:cs="Arial"/>
                <w:color w:val="000000"/>
                <w:sz w:val="14"/>
              </w:rPr>
            </w:pPr>
            <w:r>
              <w:rPr>
                <w:rFonts w:ascii="Arial" w:eastAsia="Arial" w:hAnsi="Arial" w:cs="Arial"/>
                <w:color w:val="000000"/>
                <w:sz w:val="14"/>
              </w:rPr>
              <w:t>103,000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030E944A" w14:textId="668A124E" w:rsidR="00A3019B" w:rsidRDefault="00A3019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615B8FEE" w14:textId="77777777" w:rsidR="00A3019B" w:rsidRDefault="00A3019B">
            <w:pPr>
              <w:tabs>
                <w:tab w:val="left" w:pos="828"/>
              </w:tabs>
              <w:ind w:left="57" w:right="57"/>
              <w:jc w:val="right"/>
              <w:rPr>
                <w:rFonts w:ascii="Arial" w:eastAsia="Arial" w:hAnsi="Arial" w:cs="Arial"/>
                <w:color w:val="000000"/>
                <w:sz w:val="14"/>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10AD8E62" w14:textId="4923E464" w:rsidR="00A3019B" w:rsidRDefault="00A3019B">
            <w:pPr>
              <w:tabs>
                <w:tab w:val="left" w:pos="828"/>
              </w:tabs>
              <w:ind w:left="57" w:right="57"/>
              <w:jc w:val="right"/>
              <w:rPr>
                <w:rFonts w:ascii="Arial" w:eastAsia="Arial" w:hAnsi="Arial" w:cs="Arial"/>
                <w:color w:val="000000"/>
                <w:sz w:val="14"/>
              </w:rPr>
            </w:pPr>
            <w:r>
              <w:rPr>
                <w:rFonts w:ascii="Arial" w:eastAsia="Arial" w:hAnsi="Arial" w:cs="Arial"/>
                <w:color w:val="000000"/>
                <w:sz w:val="14"/>
              </w:rPr>
              <w:t>98,700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6D3C05D0" w14:textId="77777777" w:rsidR="00A3019B" w:rsidRDefault="00A3019B">
            <w:pPr>
              <w:tabs>
                <w:tab w:val="left" w:pos="828"/>
              </w:tabs>
              <w:ind w:left="57" w:right="57"/>
              <w:jc w:val="right"/>
              <w:rPr>
                <w:rFonts w:ascii="Arial" w:eastAsia="Arial" w:hAnsi="Arial" w:cs="Arial"/>
                <w:color w:val="000000"/>
                <w:sz w:val="14"/>
              </w:rPr>
            </w:pP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32B7EFF4" w14:textId="59ED2E19" w:rsidR="00A3019B" w:rsidRPr="00E826E9" w:rsidRDefault="00A3019B">
            <w:pPr>
              <w:tabs>
                <w:tab w:val="left" w:pos="828"/>
              </w:tabs>
              <w:ind w:left="57" w:right="57"/>
              <w:jc w:val="right"/>
              <w:rPr>
                <w:rFonts w:ascii="Arial" w:eastAsia="Arial" w:hAnsi="Arial" w:cs="Arial"/>
                <w:color w:val="000000"/>
                <w:sz w:val="14"/>
              </w:rPr>
            </w:pPr>
            <w:r>
              <w:rPr>
                <w:rFonts w:ascii="Arial" w:eastAsia="Arial" w:hAnsi="Arial" w:cs="Arial"/>
                <w:color w:val="000000"/>
                <w:sz w:val="14"/>
              </w:rPr>
              <w:t>110,300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557D32FD" w14:textId="7B0E6745" w:rsidR="00A3019B" w:rsidRPr="00E826E9" w:rsidRDefault="00A3019B">
            <w:pPr>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F19FB76" w14:textId="729CBB5F" w:rsidR="00A3019B" w:rsidRDefault="00A3019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62D0B8C1" w14:textId="01CD2EB7" w:rsidR="00A3019B" w:rsidRDefault="00A3019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7C4CAA9D" w14:textId="3785D80E" w:rsidR="00A3019B" w:rsidRDefault="00A3019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683" w:type="dxa"/>
            <w:tcBorders>
              <w:top w:val="single" w:sz="4" w:space="0" w:color="000000"/>
              <w:left w:val="single" w:sz="4" w:space="0" w:color="000000"/>
              <w:bottom w:val="single" w:sz="4" w:space="0" w:color="000000"/>
              <w:right w:val="single" w:sz="4" w:space="0" w:color="000000"/>
            </w:tcBorders>
            <w:shd w:val="clear" w:color="auto" w:fill="FFFFFF"/>
          </w:tcPr>
          <w:p w14:paraId="243A3575" w14:textId="24BE660F" w:rsidR="00A3019B" w:rsidRDefault="00A3019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1021" w:type="dxa"/>
            <w:tcBorders>
              <w:top w:val="single" w:sz="4" w:space="0" w:color="000000"/>
              <w:left w:val="single" w:sz="4" w:space="0" w:color="000000"/>
              <w:bottom w:val="single" w:sz="4" w:space="0" w:color="000000"/>
              <w:right w:val="single" w:sz="4" w:space="0" w:color="000000"/>
            </w:tcBorders>
            <w:shd w:val="clear" w:color="auto" w:fill="FFFFFF"/>
          </w:tcPr>
          <w:p w14:paraId="68219D0C" w14:textId="2EC6BA6D" w:rsidR="00A3019B" w:rsidRDefault="00A3019B">
            <w:pPr>
              <w:ind w:left="57" w:right="57"/>
              <w:rPr>
                <w:rFonts w:ascii="Arial" w:eastAsia="Arial" w:hAnsi="Arial" w:cs="Arial"/>
                <w:color w:val="000000"/>
                <w:sz w:val="14"/>
              </w:rPr>
            </w:pPr>
            <w:r>
              <w:rPr>
                <w:rFonts w:ascii="Arial" w:eastAsia="Arial" w:hAnsi="Arial" w:cs="Arial"/>
                <w:color w:val="000000"/>
                <w:sz w:val="14"/>
              </w:rPr>
              <w:t>Aktualizace hodnoty probíhá ve dvouletých intervalech.</w:t>
            </w:r>
          </w:p>
        </w:tc>
      </w:tr>
      <w:tr w:rsidR="00A3019B" w14:paraId="59E89C13" w14:textId="77777777" w:rsidTr="009C34D0">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55630627" w14:textId="375E172E" w:rsidR="00A3019B" w:rsidRDefault="00A3019B">
            <w:pPr>
              <w:tabs>
                <w:tab w:val="left" w:pos="828"/>
              </w:tabs>
              <w:ind w:left="57" w:right="57"/>
              <w:rPr>
                <w:rFonts w:ascii="Arial" w:eastAsia="Arial" w:hAnsi="Arial" w:cs="Arial"/>
                <w:color w:val="000000"/>
                <w:sz w:val="14"/>
              </w:rPr>
            </w:pPr>
            <w:r>
              <w:rPr>
                <w:rFonts w:ascii="Arial" w:eastAsia="Arial" w:hAnsi="Arial" w:cs="Arial"/>
                <w:color w:val="000000"/>
                <w:sz w:val="14"/>
              </w:rPr>
              <w:t>57910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52EFDB5C" w14:textId="2FAC0F5C" w:rsidR="00A3019B" w:rsidRDefault="00A3019B">
            <w:pPr>
              <w:tabs>
                <w:tab w:val="left" w:pos="828"/>
              </w:tabs>
              <w:ind w:left="57" w:right="57"/>
              <w:rPr>
                <w:rFonts w:ascii="Arial" w:eastAsia="Arial" w:hAnsi="Arial" w:cs="Arial"/>
                <w:color w:val="000000"/>
                <w:sz w:val="14"/>
              </w:rPr>
            </w:pPr>
            <w:r>
              <w:rPr>
                <w:rFonts w:ascii="Arial" w:eastAsia="Arial" w:hAnsi="Arial" w:cs="Arial"/>
                <w:color w:val="000000"/>
                <w:sz w:val="14"/>
              </w:rPr>
              <w:t>Kapacity modernizované vysoce specializované a návazné zdravotní péče</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56BF466A" w14:textId="76D6197B" w:rsidR="00A3019B" w:rsidRDefault="00A3019B">
            <w:pPr>
              <w:ind w:left="57" w:right="57"/>
              <w:rPr>
                <w:rFonts w:ascii="Arial" w:eastAsia="Arial" w:hAnsi="Arial" w:cs="Arial"/>
                <w:color w:val="000000"/>
                <w:sz w:val="14"/>
              </w:rPr>
            </w:pPr>
            <w:r>
              <w:rPr>
                <w:rFonts w:ascii="Arial" w:eastAsia="Arial" w:hAnsi="Arial" w:cs="Arial"/>
                <w:color w:val="000000"/>
                <w:sz w:val="14"/>
              </w:rPr>
              <w:t>Lůžka</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02FD433A" w14:textId="0E9C7474" w:rsidR="00A3019B" w:rsidRDefault="00A3019B">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4908BF11" w14:textId="232C47DB" w:rsidR="00A3019B" w:rsidRDefault="00A3019B">
            <w:pPr>
              <w:tabs>
                <w:tab w:val="left" w:pos="828"/>
              </w:tabs>
              <w:ind w:left="57" w:right="57"/>
              <w:jc w:val="right"/>
              <w:rPr>
                <w:rFonts w:ascii="Arial" w:eastAsia="Arial" w:hAnsi="Arial" w:cs="Arial"/>
                <w:color w:val="000000"/>
                <w:sz w:val="14"/>
              </w:rPr>
            </w:pPr>
            <w:r>
              <w:rPr>
                <w:rFonts w:ascii="Arial" w:eastAsia="Arial" w:hAnsi="Arial" w:cs="Arial"/>
                <w:color w:val="000000"/>
                <w:sz w:val="14"/>
              </w:rPr>
              <w:t>44 211,000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6F96D574" w14:textId="74CD5B7F" w:rsidR="00A3019B" w:rsidRDefault="00A3019B">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2014</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0887B1AA" w14:textId="053C0729" w:rsidR="00A3019B" w:rsidRDefault="00A3019B">
            <w:pPr>
              <w:tabs>
                <w:tab w:val="left" w:pos="828"/>
              </w:tabs>
              <w:ind w:left="57" w:right="57"/>
              <w:jc w:val="right"/>
              <w:rPr>
                <w:rFonts w:ascii="Arial" w:eastAsia="Arial" w:hAnsi="Arial" w:cs="Arial"/>
                <w:color w:val="000000"/>
                <w:sz w:val="14"/>
              </w:rPr>
            </w:pPr>
            <w:r>
              <w:rPr>
                <w:rFonts w:ascii="Arial" w:eastAsia="Arial" w:hAnsi="Arial" w:cs="Arial"/>
                <w:color w:val="000000"/>
                <w:sz w:val="14"/>
              </w:rPr>
              <w:t>38 368,000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58B7773C" w14:textId="6AEB5249" w:rsidR="00A3019B" w:rsidRDefault="00A3019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116626A5" w14:textId="77777777" w:rsidR="00A3019B" w:rsidRDefault="00A3019B">
            <w:pPr>
              <w:tabs>
                <w:tab w:val="left" w:pos="828"/>
              </w:tabs>
              <w:ind w:left="57" w:right="57"/>
              <w:jc w:val="right"/>
              <w:rPr>
                <w:rFonts w:ascii="Arial" w:eastAsia="Arial" w:hAnsi="Arial" w:cs="Arial"/>
                <w:color w:val="000000"/>
                <w:sz w:val="14"/>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16E5465C" w14:textId="60C0A2AB" w:rsidR="00A3019B" w:rsidRDefault="00A3019B">
            <w:pPr>
              <w:tabs>
                <w:tab w:val="left" w:pos="828"/>
              </w:tabs>
              <w:ind w:left="57" w:right="57"/>
              <w:jc w:val="right"/>
              <w:rPr>
                <w:rFonts w:ascii="Arial" w:eastAsia="Arial" w:hAnsi="Arial" w:cs="Arial"/>
                <w:color w:val="000000"/>
                <w:sz w:val="14"/>
              </w:rPr>
            </w:pP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74C8F6A9" w14:textId="77777777" w:rsidR="00A3019B" w:rsidRDefault="00A3019B">
            <w:pPr>
              <w:tabs>
                <w:tab w:val="left" w:pos="828"/>
              </w:tabs>
              <w:ind w:left="57" w:right="57"/>
              <w:jc w:val="right"/>
              <w:rPr>
                <w:rFonts w:ascii="Arial" w:eastAsia="Arial" w:hAnsi="Arial" w:cs="Arial"/>
                <w:color w:val="000000"/>
                <w:sz w:val="14"/>
              </w:rPr>
            </w:pP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5CAB96EC" w14:textId="592D668B" w:rsidR="00A3019B" w:rsidRDefault="00A3019B">
            <w:pPr>
              <w:tabs>
                <w:tab w:val="left" w:pos="828"/>
              </w:tabs>
              <w:ind w:left="57" w:right="57"/>
              <w:jc w:val="right"/>
              <w:rPr>
                <w:rFonts w:ascii="Arial" w:eastAsia="Arial" w:hAnsi="Arial" w:cs="Arial"/>
                <w:color w:val="000000"/>
                <w:sz w:val="14"/>
              </w:rPr>
            </w:pPr>
            <w:r>
              <w:rPr>
                <w:rFonts w:ascii="Arial" w:eastAsia="Arial" w:hAnsi="Arial" w:cs="Arial"/>
                <w:color w:val="000000"/>
                <w:sz w:val="14"/>
              </w:rPr>
              <w:t>44 224,000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3DC9BA5F" w14:textId="6D31B9E6" w:rsidR="00A3019B" w:rsidRDefault="00A3019B">
            <w:pPr>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7EFF91CB" w14:textId="3DC3B5F7" w:rsidR="00A3019B" w:rsidRDefault="00A3019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2D891D4C" w14:textId="1828ABE9" w:rsidR="00A3019B" w:rsidRDefault="00A3019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0035AC87" w14:textId="6B57C1B0" w:rsidR="00A3019B" w:rsidRDefault="00A3019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683" w:type="dxa"/>
            <w:tcBorders>
              <w:top w:val="single" w:sz="4" w:space="0" w:color="000000"/>
              <w:left w:val="single" w:sz="4" w:space="0" w:color="000000"/>
              <w:bottom w:val="single" w:sz="4" w:space="0" w:color="000000"/>
              <w:right w:val="single" w:sz="4" w:space="0" w:color="000000"/>
            </w:tcBorders>
            <w:shd w:val="clear" w:color="auto" w:fill="FFFFFF"/>
          </w:tcPr>
          <w:p w14:paraId="26286833" w14:textId="20AE780C" w:rsidR="00A3019B" w:rsidRDefault="00A3019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1021" w:type="dxa"/>
            <w:tcBorders>
              <w:top w:val="single" w:sz="4" w:space="0" w:color="000000"/>
              <w:left w:val="single" w:sz="4" w:space="0" w:color="000000"/>
              <w:bottom w:val="single" w:sz="4" w:space="0" w:color="000000"/>
              <w:right w:val="single" w:sz="4" w:space="0" w:color="000000"/>
            </w:tcBorders>
            <w:shd w:val="clear" w:color="auto" w:fill="FFFFFF"/>
          </w:tcPr>
          <w:p w14:paraId="773225FF" w14:textId="6040289E" w:rsidR="00A3019B" w:rsidRDefault="00A3019B">
            <w:pPr>
              <w:ind w:left="57" w:right="57"/>
              <w:rPr>
                <w:rFonts w:ascii="Arial" w:eastAsia="Arial" w:hAnsi="Arial" w:cs="Arial"/>
                <w:color w:val="000000"/>
                <w:sz w:val="14"/>
              </w:rPr>
            </w:pPr>
            <w:r>
              <w:rPr>
                <w:rFonts w:ascii="Arial" w:eastAsia="Arial" w:hAnsi="Arial" w:cs="Arial"/>
                <w:color w:val="000000"/>
                <w:sz w:val="14"/>
              </w:rPr>
              <w:t>Aktualizace hodnoty probíhá ve dvouletých intervalech.</w:t>
            </w:r>
          </w:p>
        </w:tc>
      </w:tr>
      <w:tr w:rsidR="00A3019B" w14:paraId="7D36422C" w14:textId="77777777" w:rsidTr="009C34D0">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4BB8693B" w14:textId="18632173" w:rsidR="00A3019B" w:rsidRDefault="00A3019B">
            <w:pPr>
              <w:tabs>
                <w:tab w:val="left" w:pos="828"/>
              </w:tabs>
              <w:ind w:left="57" w:right="57"/>
              <w:rPr>
                <w:rFonts w:ascii="Arial" w:eastAsia="Arial" w:hAnsi="Arial" w:cs="Arial"/>
                <w:color w:val="000000"/>
                <w:sz w:val="14"/>
              </w:rPr>
            </w:pPr>
            <w:r>
              <w:rPr>
                <w:rFonts w:ascii="Arial" w:eastAsia="Arial" w:hAnsi="Arial" w:cs="Arial"/>
                <w:color w:val="000000"/>
                <w:sz w:val="14"/>
              </w:rPr>
              <w:t>67510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7CA9DE96" w14:textId="2E06E968" w:rsidR="00A3019B" w:rsidRDefault="00A3019B">
            <w:pPr>
              <w:tabs>
                <w:tab w:val="left" w:pos="828"/>
              </w:tabs>
              <w:ind w:left="57" w:right="57"/>
              <w:rPr>
                <w:rFonts w:ascii="Arial" w:eastAsia="Arial" w:hAnsi="Arial" w:cs="Arial"/>
                <w:color w:val="000000"/>
                <w:sz w:val="14"/>
              </w:rPr>
            </w:pPr>
            <w:r>
              <w:rPr>
                <w:rFonts w:ascii="Arial" w:eastAsia="Arial" w:hAnsi="Arial" w:cs="Arial"/>
                <w:color w:val="000000"/>
                <w:sz w:val="14"/>
              </w:rPr>
              <w:t>Kapacita služeb a sociální práce</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1BCD1EC0" w14:textId="5A351033" w:rsidR="00A3019B" w:rsidRDefault="00A3019B">
            <w:pPr>
              <w:ind w:left="57" w:right="57"/>
              <w:rPr>
                <w:rFonts w:ascii="Arial" w:eastAsia="Arial" w:hAnsi="Arial" w:cs="Arial"/>
                <w:color w:val="000000"/>
                <w:sz w:val="14"/>
              </w:rPr>
            </w:pPr>
            <w:r>
              <w:rPr>
                <w:rFonts w:ascii="Arial" w:eastAsia="Arial" w:hAnsi="Arial" w:cs="Arial"/>
                <w:color w:val="000000"/>
                <w:sz w:val="14"/>
              </w:rPr>
              <w:t>Klienti</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272161C6" w14:textId="40BB5110" w:rsidR="00A3019B" w:rsidRDefault="00A3019B">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46B0C158" w14:textId="6D21B92A" w:rsidR="00A3019B" w:rsidRDefault="00A3019B">
            <w:pPr>
              <w:tabs>
                <w:tab w:val="left" w:pos="828"/>
              </w:tabs>
              <w:ind w:left="57" w:right="57"/>
              <w:jc w:val="right"/>
              <w:rPr>
                <w:rFonts w:ascii="Arial" w:eastAsia="Arial" w:hAnsi="Arial" w:cs="Arial"/>
                <w:color w:val="000000"/>
                <w:sz w:val="14"/>
              </w:rPr>
            </w:pPr>
            <w:r>
              <w:rPr>
                <w:rFonts w:ascii="Arial" w:eastAsia="Arial" w:hAnsi="Arial" w:cs="Arial"/>
                <w:color w:val="000000"/>
                <w:sz w:val="14"/>
              </w:rPr>
              <w:t>1 121,000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05F633B3" w14:textId="41C95EBE" w:rsidR="00A3019B" w:rsidRDefault="00A3019B">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2014</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512A0EA0" w14:textId="65447ACF" w:rsidR="00A3019B" w:rsidRDefault="00A3019B">
            <w:pPr>
              <w:tabs>
                <w:tab w:val="left" w:pos="828"/>
              </w:tabs>
              <w:ind w:left="57" w:right="57"/>
              <w:jc w:val="right"/>
              <w:rPr>
                <w:rFonts w:ascii="Arial" w:eastAsia="Arial" w:hAnsi="Arial" w:cs="Arial"/>
                <w:color w:val="000000"/>
                <w:sz w:val="14"/>
              </w:rPr>
            </w:pPr>
            <w:r>
              <w:rPr>
                <w:rFonts w:ascii="Arial" w:eastAsia="Arial" w:hAnsi="Arial" w:cs="Arial"/>
                <w:color w:val="000000"/>
                <w:sz w:val="14"/>
              </w:rPr>
              <w:t>7 270,000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557FFD98" w14:textId="0F284499" w:rsidR="00A3019B" w:rsidRDefault="00A3019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2A309885" w14:textId="77777777" w:rsidR="00A3019B" w:rsidRDefault="00A3019B">
            <w:pPr>
              <w:tabs>
                <w:tab w:val="left" w:pos="828"/>
              </w:tabs>
              <w:ind w:left="57" w:right="57"/>
              <w:jc w:val="right"/>
              <w:rPr>
                <w:rFonts w:ascii="Arial" w:eastAsia="Arial" w:hAnsi="Arial" w:cs="Arial"/>
                <w:color w:val="000000"/>
                <w:sz w:val="14"/>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2557FA2A" w14:textId="77777777" w:rsidR="00A3019B" w:rsidRDefault="00A3019B">
            <w:pPr>
              <w:tabs>
                <w:tab w:val="left" w:pos="828"/>
              </w:tabs>
              <w:ind w:left="57" w:right="57"/>
              <w:jc w:val="right"/>
              <w:rPr>
                <w:rFonts w:ascii="Arial" w:eastAsia="Arial" w:hAnsi="Arial" w:cs="Arial"/>
                <w:color w:val="000000"/>
                <w:sz w:val="14"/>
              </w:rPr>
            </w:pP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3B24DA8D" w14:textId="467A2F7A" w:rsidR="00A3019B" w:rsidRDefault="00A3019B">
            <w:pPr>
              <w:tabs>
                <w:tab w:val="left" w:pos="828"/>
              </w:tabs>
              <w:ind w:left="57" w:right="57"/>
              <w:jc w:val="right"/>
              <w:rPr>
                <w:rFonts w:ascii="Arial" w:eastAsia="Arial" w:hAnsi="Arial" w:cs="Arial"/>
                <w:color w:val="000000"/>
                <w:sz w:val="14"/>
              </w:rPr>
            </w:pPr>
            <w:r>
              <w:rPr>
                <w:rFonts w:ascii="Arial" w:eastAsia="Arial" w:hAnsi="Arial" w:cs="Arial"/>
                <w:color w:val="000000"/>
                <w:sz w:val="14"/>
              </w:rPr>
              <w:t>217,000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0FE11D08" w14:textId="16DC5C8E" w:rsidR="00A3019B" w:rsidRDefault="00A3019B">
            <w:pPr>
              <w:tabs>
                <w:tab w:val="left" w:pos="828"/>
              </w:tabs>
              <w:ind w:left="57" w:right="57"/>
              <w:jc w:val="right"/>
              <w:rPr>
                <w:rFonts w:ascii="Arial" w:eastAsia="Arial" w:hAnsi="Arial" w:cs="Arial"/>
                <w:color w:val="000000"/>
                <w:sz w:val="14"/>
              </w:rPr>
            </w:pPr>
            <w:r>
              <w:rPr>
                <w:rFonts w:ascii="Arial" w:eastAsia="Arial" w:hAnsi="Arial" w:cs="Arial"/>
                <w:color w:val="000000"/>
                <w:sz w:val="14"/>
              </w:rPr>
              <w:t>3 289,000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4A236C29" w14:textId="6FAE1ABE" w:rsidR="00A3019B" w:rsidRDefault="00A3019B">
            <w:pPr>
              <w:tabs>
                <w:tab w:val="left" w:pos="828"/>
              </w:tabs>
              <w:ind w:left="57" w:right="57"/>
              <w:jc w:val="right"/>
              <w:rPr>
                <w:rFonts w:ascii="Arial" w:eastAsia="Arial" w:hAnsi="Arial" w:cs="Arial"/>
                <w:color w:val="000000"/>
                <w:sz w:val="14"/>
              </w:rPr>
            </w:pPr>
            <w:r>
              <w:rPr>
                <w:rFonts w:ascii="Arial" w:eastAsia="Arial" w:hAnsi="Arial" w:cs="Arial"/>
                <w:color w:val="000000"/>
                <w:sz w:val="14"/>
              </w:rPr>
              <w:t>8 484, 000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4BF939D6" w14:textId="1ED76531" w:rsidR="00A3019B" w:rsidRDefault="00A3019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332C9186" w14:textId="4851C5B8" w:rsidR="00A3019B" w:rsidRDefault="00A3019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4FD77FCB" w14:textId="041AF12C" w:rsidR="00A3019B" w:rsidRDefault="00A3019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683" w:type="dxa"/>
            <w:tcBorders>
              <w:top w:val="single" w:sz="4" w:space="0" w:color="000000"/>
              <w:left w:val="single" w:sz="4" w:space="0" w:color="000000"/>
              <w:bottom w:val="single" w:sz="4" w:space="0" w:color="000000"/>
              <w:right w:val="single" w:sz="4" w:space="0" w:color="000000"/>
            </w:tcBorders>
            <w:shd w:val="clear" w:color="auto" w:fill="FFFFFF"/>
          </w:tcPr>
          <w:p w14:paraId="194E7ED7" w14:textId="18A2E9D9" w:rsidR="00A3019B" w:rsidRDefault="00A3019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1021" w:type="dxa"/>
            <w:tcBorders>
              <w:top w:val="single" w:sz="4" w:space="0" w:color="000000"/>
              <w:left w:val="single" w:sz="4" w:space="0" w:color="000000"/>
              <w:bottom w:val="single" w:sz="4" w:space="0" w:color="000000"/>
              <w:right w:val="single" w:sz="4" w:space="0" w:color="000000"/>
            </w:tcBorders>
            <w:shd w:val="clear" w:color="auto" w:fill="FFFFFF"/>
          </w:tcPr>
          <w:p w14:paraId="7364CDC0" w14:textId="3CF1DA89" w:rsidR="00A3019B" w:rsidRDefault="00A3019B">
            <w:pPr>
              <w:ind w:left="57" w:right="57"/>
              <w:rPr>
                <w:rFonts w:ascii="Arial" w:eastAsia="Arial" w:hAnsi="Arial" w:cs="Arial"/>
                <w:color w:val="000000"/>
                <w:sz w:val="14"/>
              </w:rPr>
            </w:pPr>
          </w:p>
        </w:tc>
      </w:tr>
      <w:tr w:rsidR="00A3019B" w14:paraId="53040BE7" w14:textId="77777777" w:rsidTr="009C34D0">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259582E7" w14:textId="25599628" w:rsidR="00A3019B" w:rsidRDefault="00A3019B">
            <w:pPr>
              <w:tabs>
                <w:tab w:val="left" w:pos="828"/>
              </w:tabs>
              <w:ind w:left="57" w:right="57"/>
              <w:rPr>
                <w:rFonts w:ascii="Arial" w:eastAsia="Arial" w:hAnsi="Arial" w:cs="Arial"/>
                <w:color w:val="000000"/>
                <w:sz w:val="1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73CBA790" w14:textId="1DE1AEA5" w:rsidR="00A3019B" w:rsidRDefault="00A3019B">
            <w:pPr>
              <w:tabs>
                <w:tab w:val="left" w:pos="828"/>
              </w:tabs>
              <w:ind w:left="57" w:right="57"/>
              <w:rPr>
                <w:rFonts w:ascii="Arial" w:eastAsia="Arial" w:hAnsi="Arial" w:cs="Arial"/>
                <w:color w:val="000000"/>
                <w:sz w:val="14"/>
              </w:rPr>
            </w:pP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66E842BC" w14:textId="75F5A49D" w:rsidR="00A3019B" w:rsidRDefault="00A3019B">
            <w:pPr>
              <w:ind w:left="57" w:right="57"/>
              <w:rPr>
                <w:rFonts w:ascii="Arial" w:eastAsia="Arial" w:hAnsi="Arial" w:cs="Arial"/>
                <w:color w:val="000000"/>
                <w:sz w:val="14"/>
              </w:rPr>
            </w:pP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77551736" w14:textId="6BB90F79" w:rsidR="00A3019B" w:rsidRDefault="00A3019B">
            <w:pPr>
              <w:tabs>
                <w:tab w:val="left" w:pos="828"/>
              </w:tabs>
              <w:ind w:left="57" w:right="57"/>
              <w:rPr>
                <w:rFonts w:ascii="Arial" w:eastAsia="Arial" w:hAnsi="Arial" w:cs="Arial"/>
                <w:color w:val="000000"/>
                <w:sz w:val="14"/>
              </w:rPr>
            </w:pP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1668688F" w14:textId="35937949" w:rsidR="00A3019B" w:rsidRDefault="00A3019B">
            <w:pPr>
              <w:tabs>
                <w:tab w:val="left" w:pos="828"/>
              </w:tabs>
              <w:ind w:left="57" w:right="57"/>
              <w:jc w:val="right"/>
              <w:rPr>
                <w:rFonts w:ascii="Arial" w:eastAsia="Arial" w:hAnsi="Arial" w:cs="Arial"/>
                <w:color w:val="000000"/>
                <w:sz w:val="14"/>
              </w:rPr>
            </w:pP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3E7FE5D4" w14:textId="75A0C7BF" w:rsidR="00A3019B" w:rsidRDefault="00A3019B">
            <w:pPr>
              <w:tabs>
                <w:tab w:val="left" w:pos="828"/>
              </w:tabs>
              <w:ind w:left="57" w:right="57"/>
              <w:jc w:val="center"/>
              <w:rPr>
                <w:rFonts w:ascii="Arial" w:eastAsia="Arial" w:hAnsi="Arial" w:cs="Arial"/>
                <w:color w:val="000000"/>
                <w:sz w:val="14"/>
              </w:rPr>
            </w:pP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4BA0D27A" w14:textId="341BEF9C" w:rsidR="00A3019B" w:rsidRDefault="00A3019B">
            <w:pPr>
              <w:tabs>
                <w:tab w:val="left" w:pos="828"/>
              </w:tabs>
              <w:ind w:left="57" w:right="57"/>
              <w:jc w:val="right"/>
              <w:rPr>
                <w:rFonts w:ascii="Arial" w:eastAsia="Arial" w:hAnsi="Arial" w:cs="Arial"/>
                <w:color w:val="000000"/>
                <w:sz w:val="14"/>
              </w:rPr>
            </w:pP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73B771B4" w14:textId="2EC40C04" w:rsidR="00A3019B" w:rsidRDefault="00A3019B">
            <w:pPr>
              <w:tabs>
                <w:tab w:val="left" w:pos="828"/>
              </w:tabs>
              <w:ind w:left="57" w:right="57"/>
              <w:jc w:val="right"/>
              <w:rPr>
                <w:rFonts w:ascii="Arial" w:eastAsia="Arial" w:hAnsi="Arial" w:cs="Arial"/>
                <w:color w:val="000000"/>
                <w:sz w:val="14"/>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5F91E8FF" w14:textId="77777777" w:rsidR="00A3019B" w:rsidRDefault="00A3019B">
            <w:pPr>
              <w:tabs>
                <w:tab w:val="left" w:pos="828"/>
              </w:tabs>
              <w:ind w:left="57" w:right="57"/>
              <w:jc w:val="right"/>
              <w:rPr>
                <w:rFonts w:ascii="Arial" w:eastAsia="Arial" w:hAnsi="Arial" w:cs="Arial"/>
                <w:color w:val="000000"/>
                <w:sz w:val="14"/>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7BA459F9" w14:textId="77777777" w:rsidR="00A3019B" w:rsidRDefault="00A3019B">
            <w:pPr>
              <w:tabs>
                <w:tab w:val="left" w:pos="828"/>
              </w:tabs>
              <w:ind w:left="57" w:right="57"/>
              <w:jc w:val="right"/>
              <w:rPr>
                <w:rFonts w:ascii="Arial" w:eastAsia="Arial" w:hAnsi="Arial" w:cs="Arial"/>
                <w:color w:val="000000"/>
                <w:sz w:val="14"/>
              </w:rPr>
            </w:pP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6B1C8F67" w14:textId="320DAED9" w:rsidR="00A3019B" w:rsidRDefault="00A3019B">
            <w:pPr>
              <w:tabs>
                <w:tab w:val="left" w:pos="828"/>
              </w:tabs>
              <w:ind w:left="57" w:right="57"/>
              <w:jc w:val="right"/>
              <w:rPr>
                <w:rFonts w:ascii="Arial" w:eastAsia="Arial" w:hAnsi="Arial" w:cs="Arial"/>
                <w:color w:val="000000"/>
                <w:sz w:val="14"/>
              </w:rPr>
            </w:pP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41B65CA0" w14:textId="51F999EA" w:rsidR="00A3019B" w:rsidRDefault="00A3019B">
            <w:pPr>
              <w:tabs>
                <w:tab w:val="left" w:pos="828"/>
              </w:tabs>
              <w:ind w:left="57" w:right="57"/>
              <w:jc w:val="right"/>
              <w:rPr>
                <w:rFonts w:ascii="Arial" w:eastAsia="Arial" w:hAnsi="Arial" w:cs="Arial"/>
                <w:color w:val="000000"/>
                <w:sz w:val="14"/>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0C0C49DC" w14:textId="6F92931A" w:rsidR="00A3019B" w:rsidRDefault="00A3019B">
            <w:pPr>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4E7A2755" w14:textId="65223844" w:rsidR="00A3019B" w:rsidRDefault="00A3019B">
            <w:pPr>
              <w:tabs>
                <w:tab w:val="left" w:pos="828"/>
              </w:tabs>
              <w:ind w:left="57" w:right="57"/>
              <w:jc w:val="right"/>
              <w:rPr>
                <w:rFonts w:ascii="Arial" w:eastAsia="Arial" w:hAnsi="Arial" w:cs="Arial"/>
                <w:color w:val="000000"/>
                <w:sz w:val="14"/>
              </w:rPr>
            </w:pP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3F43BA60" w14:textId="6CD5713A" w:rsidR="00A3019B" w:rsidRDefault="00A3019B">
            <w:pPr>
              <w:tabs>
                <w:tab w:val="left" w:pos="828"/>
              </w:tabs>
              <w:ind w:left="57" w:right="57"/>
              <w:jc w:val="right"/>
              <w:rPr>
                <w:rFonts w:ascii="Arial" w:eastAsia="Arial" w:hAnsi="Arial" w:cs="Arial"/>
                <w:color w:val="000000"/>
                <w:sz w:val="14"/>
              </w:rPr>
            </w:pP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2451CE31" w14:textId="5365A6D2" w:rsidR="00A3019B" w:rsidRDefault="00A3019B">
            <w:pPr>
              <w:tabs>
                <w:tab w:val="left" w:pos="828"/>
              </w:tabs>
              <w:ind w:left="57" w:right="57"/>
              <w:jc w:val="right"/>
              <w:rPr>
                <w:rFonts w:ascii="Arial" w:eastAsia="Arial" w:hAnsi="Arial" w:cs="Arial"/>
                <w:color w:val="000000"/>
                <w:sz w:val="14"/>
              </w:rPr>
            </w:pPr>
          </w:p>
        </w:tc>
        <w:tc>
          <w:tcPr>
            <w:tcW w:w="683" w:type="dxa"/>
            <w:tcBorders>
              <w:top w:val="single" w:sz="4" w:space="0" w:color="000000"/>
              <w:left w:val="single" w:sz="4" w:space="0" w:color="000000"/>
              <w:bottom w:val="single" w:sz="4" w:space="0" w:color="000000"/>
              <w:right w:val="single" w:sz="4" w:space="0" w:color="000000"/>
            </w:tcBorders>
            <w:shd w:val="clear" w:color="auto" w:fill="FFFFFF"/>
          </w:tcPr>
          <w:p w14:paraId="715FF50E" w14:textId="7DBD9DBA" w:rsidR="00A3019B" w:rsidRDefault="00A3019B">
            <w:pPr>
              <w:tabs>
                <w:tab w:val="left" w:pos="828"/>
              </w:tabs>
              <w:ind w:left="57" w:right="57"/>
              <w:jc w:val="right"/>
              <w:rPr>
                <w:rFonts w:ascii="Arial" w:eastAsia="Arial" w:hAnsi="Arial" w:cs="Arial"/>
                <w:color w:val="000000"/>
                <w:sz w:val="14"/>
              </w:rPr>
            </w:pPr>
          </w:p>
        </w:tc>
        <w:tc>
          <w:tcPr>
            <w:tcW w:w="1021" w:type="dxa"/>
            <w:tcBorders>
              <w:top w:val="single" w:sz="4" w:space="0" w:color="000000"/>
              <w:left w:val="single" w:sz="4" w:space="0" w:color="000000"/>
              <w:bottom w:val="single" w:sz="4" w:space="0" w:color="000000"/>
              <w:right w:val="single" w:sz="4" w:space="0" w:color="000000"/>
            </w:tcBorders>
            <w:shd w:val="clear" w:color="auto" w:fill="FFFFFF"/>
          </w:tcPr>
          <w:p w14:paraId="09491054" w14:textId="4064B57E" w:rsidR="00A3019B" w:rsidRDefault="00A3019B">
            <w:pPr>
              <w:ind w:left="57" w:right="57"/>
              <w:rPr>
                <w:rFonts w:ascii="Arial" w:eastAsia="Arial" w:hAnsi="Arial" w:cs="Arial"/>
                <w:color w:val="000000"/>
                <w:sz w:val="14"/>
              </w:rPr>
            </w:pPr>
          </w:p>
        </w:tc>
      </w:tr>
    </w:tbl>
    <w:p w14:paraId="5D498F42" w14:textId="77777777" w:rsidR="00533CD2" w:rsidRDefault="0046046C">
      <w:pPr>
        <w:keepNext/>
        <w:spacing w:before="240"/>
        <w:ind w:left="115" w:right="106"/>
        <w:jc w:val="both"/>
        <w:rPr>
          <w:rFonts w:ascii="Arial" w:eastAsia="Arial" w:hAnsi="Arial" w:cs="Arial"/>
          <w:color w:val="000000"/>
          <w:sz w:val="20"/>
        </w:rPr>
      </w:pPr>
      <w:r>
        <w:rPr>
          <w:rFonts w:ascii="Arial" w:eastAsia="Arial" w:hAnsi="Arial" w:cs="Arial"/>
          <w:color w:val="000000"/>
          <w:sz w:val="20"/>
        </w:rPr>
        <w:t>Investiční priorita: 06.2.58 Poskytování podpory sociálním podnikům</w:t>
      </w:r>
    </w:p>
    <w:tbl>
      <w:tblPr>
        <w:tblW w:w="0" w:type="auto"/>
        <w:tblInd w:w="58" w:type="dxa"/>
        <w:tblLayout w:type="fixed"/>
        <w:tblCellMar>
          <w:left w:w="0" w:type="dxa"/>
          <w:right w:w="0" w:type="dxa"/>
        </w:tblCellMar>
        <w:tblLook w:val="04A0" w:firstRow="1" w:lastRow="0" w:firstColumn="1" w:lastColumn="0" w:noHBand="0" w:noVBand="1"/>
      </w:tblPr>
      <w:tblGrid>
        <w:gridCol w:w="800"/>
        <w:gridCol w:w="974"/>
        <w:gridCol w:w="1257"/>
        <w:gridCol w:w="1117"/>
        <w:gridCol w:w="848"/>
        <w:gridCol w:w="1112"/>
        <w:gridCol w:w="1137"/>
        <w:gridCol w:w="713"/>
        <w:gridCol w:w="700"/>
        <w:gridCol w:w="712"/>
        <w:gridCol w:w="739"/>
        <w:gridCol w:w="766"/>
        <w:gridCol w:w="708"/>
        <w:gridCol w:w="709"/>
        <w:gridCol w:w="711"/>
        <w:gridCol w:w="710"/>
        <w:gridCol w:w="712"/>
        <w:gridCol w:w="992"/>
      </w:tblGrid>
      <w:tr w:rsidR="00533CD2" w14:paraId="38C96ABE" w14:textId="77777777">
        <w:trPr>
          <w:tblHeader/>
        </w:trPr>
        <w:tc>
          <w:tcPr>
            <w:tcW w:w="7245"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6A09B7DB" w14:textId="77777777" w:rsidR="00533CD2" w:rsidRDefault="00533CD2">
            <w:pPr>
              <w:ind w:left="57" w:right="57"/>
              <w:jc w:val="both"/>
            </w:pPr>
          </w:p>
        </w:tc>
        <w:tc>
          <w:tcPr>
            <w:tcW w:w="7180"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14:paraId="11DF4772"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ROČNÍ HODNOTA</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C48FB2" w14:textId="77777777" w:rsidR="00533CD2" w:rsidRDefault="00533CD2">
            <w:pPr>
              <w:ind w:left="57" w:right="57"/>
              <w:jc w:val="both"/>
            </w:pPr>
          </w:p>
        </w:tc>
      </w:tr>
      <w:tr w:rsidR="00533CD2" w14:paraId="6CBFFF24" w14:textId="77777777">
        <w:trPr>
          <w:tblHeader/>
        </w:trPr>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10D504"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ID</w:t>
            </w:r>
          </w:p>
        </w:tc>
        <w:tc>
          <w:tcPr>
            <w:tcW w:w="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C8B3B2"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Indikátor</w:t>
            </w:r>
          </w:p>
        </w:tc>
        <w:tc>
          <w:tcPr>
            <w:tcW w:w="12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A2AB2E"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Měrná jednotka</w:t>
            </w:r>
          </w:p>
        </w:tc>
        <w:tc>
          <w:tcPr>
            <w:tcW w:w="11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8DAC65"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Kategorie regionu</w:t>
            </w:r>
          </w:p>
          <w:p w14:paraId="051B90BD"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(je-li relevantní)</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8C4CD9"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Výchozí hodnota</w:t>
            </w:r>
          </w:p>
        </w:tc>
        <w:tc>
          <w:tcPr>
            <w:tcW w:w="11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6CDE6C"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Výchozí rok</w:t>
            </w:r>
          </w:p>
        </w:tc>
        <w:tc>
          <w:tcPr>
            <w:tcW w:w="11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9DBAEA"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Cílová hodnota (2023)</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186924"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2014</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866485"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2015</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CAFF02"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2016</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A5CE84"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2017</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F048D1"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262981"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1320D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DEBB6E"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2021</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C94C11"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2022</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781199"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480A4D"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Vysvětlení (v případě potřeby)</w:t>
            </w:r>
          </w:p>
        </w:tc>
      </w:tr>
      <w:tr w:rsidR="00533CD2" w14:paraId="199B8CFB" w14:textId="77777777">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1CABF9B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10411</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0C98DCF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Míra nezaměstnanosti osob s nejnižším vzděláním</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5F62D67C"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6DCB478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2A85241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28,500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50C6A354"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2012</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6F74BBF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22,000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6C5B9C2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1182E255" w14:textId="77777777" w:rsidR="00533CD2" w:rsidRDefault="00533CD2">
            <w:pPr>
              <w:tabs>
                <w:tab w:val="left" w:pos="828"/>
              </w:tabs>
              <w:ind w:left="57" w:right="57"/>
              <w:jc w:val="right"/>
              <w:rPr>
                <w:rFonts w:ascii="Arial" w:eastAsia="Arial" w:hAnsi="Arial" w:cs="Arial"/>
                <w:color w:val="000000"/>
                <w:sz w:val="14"/>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6531A01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22,000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3BD7313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22,200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4988519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13,100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0DAFE22F" w14:textId="06DF143C" w:rsidR="00533CD2" w:rsidRDefault="00006A16">
            <w:pPr>
              <w:tabs>
                <w:tab w:val="left" w:pos="828"/>
              </w:tabs>
              <w:ind w:left="57" w:right="57"/>
              <w:jc w:val="right"/>
              <w:rPr>
                <w:rFonts w:ascii="Arial" w:eastAsia="Arial" w:hAnsi="Arial" w:cs="Arial"/>
                <w:color w:val="000000"/>
                <w:sz w:val="14"/>
              </w:rPr>
            </w:pPr>
            <w:r>
              <w:rPr>
                <w:rFonts w:ascii="Arial" w:eastAsia="Arial" w:hAnsi="Arial" w:cs="Arial"/>
                <w:color w:val="000000"/>
                <w:sz w:val="14"/>
              </w:rPr>
              <w:t>10,800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F84D90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1685AA1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20DC27E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38F47F9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16CEE107" w14:textId="224AFA5B" w:rsidR="00533CD2" w:rsidRDefault="00006A16">
            <w:pPr>
              <w:ind w:left="57" w:right="57"/>
              <w:rPr>
                <w:rFonts w:ascii="Arial" w:eastAsia="Arial" w:hAnsi="Arial" w:cs="Arial"/>
                <w:color w:val="000000"/>
                <w:sz w:val="14"/>
              </w:rPr>
            </w:pPr>
            <w:r w:rsidRPr="00DF3DC1">
              <w:rPr>
                <w:rFonts w:ascii="Arial" w:eastAsia="Arial" w:hAnsi="Arial" w:cs="Arial"/>
                <w:color w:val="000000"/>
                <w:sz w:val="14"/>
              </w:rPr>
              <w:t>Meziročně byl zaznamená</w:t>
            </w:r>
            <w:r>
              <w:rPr>
                <w:rFonts w:ascii="Arial" w:eastAsia="Arial" w:hAnsi="Arial" w:cs="Arial"/>
                <w:color w:val="000000"/>
                <w:sz w:val="14"/>
              </w:rPr>
              <w:t>n</w:t>
            </w:r>
            <w:r w:rsidRPr="00DF3DC1">
              <w:rPr>
                <w:rFonts w:ascii="Arial" w:eastAsia="Arial" w:hAnsi="Arial" w:cs="Arial"/>
                <w:color w:val="000000"/>
                <w:sz w:val="14"/>
              </w:rPr>
              <w:t xml:space="preserve"> </w:t>
            </w:r>
            <w:r>
              <w:rPr>
                <w:rFonts w:ascii="Arial" w:eastAsia="Arial" w:hAnsi="Arial" w:cs="Arial"/>
                <w:color w:val="000000"/>
                <w:sz w:val="14"/>
              </w:rPr>
              <w:t xml:space="preserve">další </w:t>
            </w:r>
            <w:r w:rsidRPr="00DF3DC1">
              <w:rPr>
                <w:rFonts w:ascii="Arial" w:eastAsia="Arial" w:hAnsi="Arial" w:cs="Arial"/>
                <w:color w:val="000000"/>
                <w:sz w:val="14"/>
              </w:rPr>
              <w:t xml:space="preserve">výrazný pokles, který lze vysvětlit bezprecedentní ekonomickou situací </w:t>
            </w:r>
            <w:proofErr w:type="gramStart"/>
            <w:r w:rsidRPr="00DF3DC1">
              <w:rPr>
                <w:rFonts w:ascii="Arial" w:eastAsia="Arial" w:hAnsi="Arial" w:cs="Arial"/>
                <w:color w:val="000000"/>
                <w:sz w:val="14"/>
              </w:rPr>
              <w:t>a</w:t>
            </w:r>
            <w:proofErr w:type="gramEnd"/>
            <w:r w:rsidRPr="00DF3DC1">
              <w:rPr>
                <w:rFonts w:ascii="Arial" w:eastAsia="Arial" w:hAnsi="Arial" w:cs="Arial"/>
                <w:color w:val="000000"/>
                <w:sz w:val="14"/>
              </w:rPr>
              <w:t xml:space="preserve"> s tím souvisejícím vývojem na trhu práce v ČR, který vykazuje jednu z nejnižších nezaměstnaností v EU.</w:t>
            </w:r>
          </w:p>
        </w:tc>
      </w:tr>
    </w:tbl>
    <w:p w14:paraId="7F7C3EF0" w14:textId="77777777" w:rsidR="00533CD2" w:rsidRDefault="0046046C">
      <w:pPr>
        <w:keepNext/>
        <w:spacing w:before="240"/>
        <w:ind w:left="115" w:right="106"/>
        <w:jc w:val="both"/>
        <w:rPr>
          <w:rFonts w:ascii="Arial" w:eastAsia="Arial" w:hAnsi="Arial" w:cs="Arial"/>
          <w:color w:val="000000"/>
          <w:sz w:val="20"/>
        </w:rPr>
      </w:pPr>
      <w:r>
        <w:rPr>
          <w:rFonts w:ascii="Arial" w:eastAsia="Arial" w:hAnsi="Arial" w:cs="Arial"/>
          <w:color w:val="000000"/>
          <w:sz w:val="20"/>
        </w:rPr>
        <w:t>Investiční priorita: 06.2.67 Investice do vzdělávání, odborného vzdělávání a odborné přípravy pro získání dovedností a do celoživotního učení rozvíjením infrastruktury pro vzdělávání a odbornou přípravu</w:t>
      </w:r>
    </w:p>
    <w:tbl>
      <w:tblPr>
        <w:tblW w:w="0" w:type="auto"/>
        <w:tblInd w:w="58" w:type="dxa"/>
        <w:tblLayout w:type="fixed"/>
        <w:tblCellMar>
          <w:left w:w="0" w:type="dxa"/>
          <w:right w:w="0" w:type="dxa"/>
        </w:tblCellMar>
        <w:tblLook w:val="04A0" w:firstRow="1" w:lastRow="0" w:firstColumn="1" w:lastColumn="0" w:noHBand="0" w:noVBand="1"/>
      </w:tblPr>
      <w:tblGrid>
        <w:gridCol w:w="800"/>
        <w:gridCol w:w="974"/>
        <w:gridCol w:w="1257"/>
        <w:gridCol w:w="1117"/>
        <w:gridCol w:w="848"/>
        <w:gridCol w:w="1112"/>
        <w:gridCol w:w="1137"/>
        <w:gridCol w:w="713"/>
        <w:gridCol w:w="700"/>
        <w:gridCol w:w="712"/>
        <w:gridCol w:w="739"/>
        <w:gridCol w:w="766"/>
        <w:gridCol w:w="708"/>
        <w:gridCol w:w="709"/>
        <w:gridCol w:w="711"/>
        <w:gridCol w:w="710"/>
        <w:gridCol w:w="712"/>
        <w:gridCol w:w="992"/>
      </w:tblGrid>
      <w:tr w:rsidR="00533CD2" w14:paraId="1A26DD7D" w14:textId="77777777">
        <w:trPr>
          <w:tblHeader/>
        </w:trPr>
        <w:tc>
          <w:tcPr>
            <w:tcW w:w="7245"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5C878182" w14:textId="77777777" w:rsidR="00533CD2" w:rsidRDefault="00533CD2">
            <w:pPr>
              <w:ind w:left="57" w:right="57"/>
              <w:jc w:val="both"/>
            </w:pPr>
          </w:p>
        </w:tc>
        <w:tc>
          <w:tcPr>
            <w:tcW w:w="7180"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14:paraId="55805009"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ROČNÍ HODNOTA</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8B541E" w14:textId="77777777" w:rsidR="00533CD2" w:rsidRDefault="00533CD2">
            <w:pPr>
              <w:ind w:left="57" w:right="57"/>
              <w:jc w:val="both"/>
            </w:pPr>
          </w:p>
        </w:tc>
      </w:tr>
      <w:tr w:rsidR="00533CD2" w14:paraId="4179F7FF" w14:textId="77777777">
        <w:trPr>
          <w:tblHeader/>
        </w:trPr>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0BCF09"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ID</w:t>
            </w:r>
          </w:p>
        </w:tc>
        <w:tc>
          <w:tcPr>
            <w:tcW w:w="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12892D"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Indikátor</w:t>
            </w:r>
          </w:p>
        </w:tc>
        <w:tc>
          <w:tcPr>
            <w:tcW w:w="12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255552"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Měrná jednotka</w:t>
            </w:r>
          </w:p>
        </w:tc>
        <w:tc>
          <w:tcPr>
            <w:tcW w:w="11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46F9B1"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Kategorie regionu</w:t>
            </w:r>
          </w:p>
          <w:p w14:paraId="76E5B90A"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(je-li relevantní)</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F8A83F"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Výchozí hodnota</w:t>
            </w:r>
          </w:p>
        </w:tc>
        <w:tc>
          <w:tcPr>
            <w:tcW w:w="11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5B5D38"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Výchozí rok</w:t>
            </w:r>
          </w:p>
        </w:tc>
        <w:tc>
          <w:tcPr>
            <w:tcW w:w="11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13E923"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Cílová hodnota (2023)</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E3BB9A"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2014</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A1059F"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2015</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61763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2016</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00BA1A"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2017</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F05208"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87EDE5"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BE6719"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85FC22"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2021</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2653DB"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2022</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6BD88B"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5F1A2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Vysvětlení (v případě potřeby)</w:t>
            </w:r>
          </w:p>
        </w:tc>
      </w:tr>
      <w:tr w:rsidR="00533CD2" w14:paraId="10192A62" w14:textId="77777777">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7F2BB837"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50020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4B471A3B"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Podíl tříletých dětí umístěných v předškolním zařízení</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01C613D7"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26F3E0B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7501B75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77,300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5DE42933"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2013</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150D6F3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90,500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3F700A6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484B526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84,100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0CA51C7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82,500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35422CB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83,900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46BB463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82,100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1982B4D5" w14:textId="395C083F" w:rsidR="00533CD2" w:rsidRPr="00E806C4" w:rsidRDefault="00386F3A">
            <w:pPr>
              <w:tabs>
                <w:tab w:val="left" w:pos="828"/>
              </w:tabs>
              <w:ind w:left="57" w:right="57"/>
              <w:jc w:val="right"/>
              <w:rPr>
                <w:rFonts w:ascii="Arial" w:eastAsia="Arial" w:hAnsi="Arial" w:cs="Arial"/>
                <w:color w:val="000000"/>
                <w:sz w:val="14"/>
                <w:highlight w:val="yellow"/>
              </w:rPr>
            </w:pPr>
            <w:r w:rsidRPr="00E806C4">
              <w:rPr>
                <w:rFonts w:ascii="Arial" w:eastAsia="Arial" w:hAnsi="Arial" w:cs="Arial"/>
                <w:color w:val="000000"/>
                <w:sz w:val="14"/>
              </w:rPr>
              <w:t>82,8</w:t>
            </w:r>
            <w:r w:rsidR="00D10ED9" w:rsidRPr="00E806C4">
              <w:rPr>
                <w:rFonts w:ascii="Arial" w:eastAsia="Arial" w:hAnsi="Arial" w:cs="Arial"/>
                <w:color w:val="000000"/>
                <w:sz w:val="14"/>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46600FF8" w14:textId="77777777" w:rsidR="00533CD2" w:rsidRPr="00006A16" w:rsidRDefault="0046046C">
            <w:pPr>
              <w:tabs>
                <w:tab w:val="left" w:pos="828"/>
              </w:tabs>
              <w:ind w:left="57" w:right="57"/>
              <w:jc w:val="right"/>
              <w:rPr>
                <w:rFonts w:ascii="Arial" w:eastAsia="Arial" w:hAnsi="Arial" w:cs="Arial"/>
                <w:color w:val="000000"/>
                <w:sz w:val="14"/>
              </w:rPr>
            </w:pPr>
            <w:r w:rsidRPr="00006A16">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6E516699" w14:textId="77777777" w:rsidR="00533CD2" w:rsidRPr="00006A16" w:rsidRDefault="0046046C">
            <w:pPr>
              <w:tabs>
                <w:tab w:val="left" w:pos="828"/>
              </w:tabs>
              <w:ind w:left="57" w:right="57"/>
              <w:jc w:val="right"/>
              <w:rPr>
                <w:rFonts w:ascii="Arial" w:eastAsia="Arial" w:hAnsi="Arial" w:cs="Arial"/>
                <w:color w:val="000000"/>
                <w:sz w:val="14"/>
              </w:rPr>
            </w:pPr>
            <w:r w:rsidRPr="00006A16">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43D9DCB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17F4355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0EAFFA12" w14:textId="6FFA70EF" w:rsidR="00533CD2" w:rsidRDefault="00533CD2">
            <w:pPr>
              <w:ind w:left="57" w:right="57"/>
              <w:rPr>
                <w:rFonts w:ascii="Arial" w:eastAsia="Arial" w:hAnsi="Arial" w:cs="Arial"/>
                <w:color w:val="000000"/>
                <w:sz w:val="14"/>
              </w:rPr>
            </w:pPr>
          </w:p>
        </w:tc>
      </w:tr>
      <w:tr w:rsidR="00880FCB" w14:paraId="21461022" w14:textId="77777777">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307B9AAA" w14:textId="77777777" w:rsidR="00880FCB" w:rsidRDefault="00880FCB" w:rsidP="00880FCB">
            <w:pPr>
              <w:tabs>
                <w:tab w:val="left" w:pos="828"/>
              </w:tabs>
              <w:ind w:left="57" w:right="57"/>
              <w:rPr>
                <w:rFonts w:ascii="Arial" w:eastAsia="Arial" w:hAnsi="Arial" w:cs="Arial"/>
                <w:color w:val="000000"/>
                <w:sz w:val="14"/>
              </w:rPr>
            </w:pPr>
            <w:r>
              <w:rPr>
                <w:rFonts w:ascii="Arial" w:eastAsia="Arial" w:hAnsi="Arial" w:cs="Arial"/>
                <w:color w:val="000000"/>
                <w:sz w:val="14"/>
              </w:rPr>
              <w:t>50030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10E933EB" w14:textId="77777777" w:rsidR="00880FCB" w:rsidRDefault="00880FCB" w:rsidP="00880FCB">
            <w:pPr>
              <w:tabs>
                <w:tab w:val="left" w:pos="828"/>
              </w:tabs>
              <w:ind w:left="57" w:right="57"/>
              <w:rPr>
                <w:rFonts w:ascii="Arial" w:eastAsia="Arial" w:hAnsi="Arial" w:cs="Arial"/>
                <w:color w:val="000000"/>
                <w:sz w:val="14"/>
              </w:rPr>
            </w:pPr>
            <w:r>
              <w:rPr>
                <w:rFonts w:ascii="Arial" w:eastAsia="Arial" w:hAnsi="Arial" w:cs="Arial"/>
                <w:color w:val="000000"/>
                <w:sz w:val="14"/>
              </w:rPr>
              <w:t>Podíl osob předčasně opouštějících vzdělávací systém</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5D796EC6" w14:textId="77777777" w:rsidR="00880FCB" w:rsidRDefault="00880FCB" w:rsidP="00880FCB">
            <w:pPr>
              <w:ind w:left="57" w:right="57"/>
              <w:rPr>
                <w:rFonts w:ascii="Arial" w:eastAsia="Arial" w:hAnsi="Arial" w:cs="Arial"/>
                <w:color w:val="000000"/>
                <w:sz w:val="14"/>
              </w:rPr>
            </w:pPr>
            <w:r>
              <w:rPr>
                <w:rFonts w:ascii="Arial" w:eastAsia="Arial" w:hAnsi="Arial" w:cs="Arial"/>
                <w:color w:val="000000"/>
                <w:sz w:val="14"/>
              </w:rPr>
              <w:t>%</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169B88CF" w14:textId="77777777" w:rsidR="00880FCB" w:rsidRDefault="00880FCB" w:rsidP="00880FCB">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67DC2FBC" w14:textId="77777777" w:rsidR="00880FCB" w:rsidRDefault="00880FCB" w:rsidP="00880FCB">
            <w:pPr>
              <w:tabs>
                <w:tab w:val="left" w:pos="828"/>
              </w:tabs>
              <w:ind w:left="57" w:right="57"/>
              <w:jc w:val="right"/>
              <w:rPr>
                <w:rFonts w:ascii="Arial" w:eastAsia="Arial" w:hAnsi="Arial" w:cs="Arial"/>
                <w:color w:val="000000"/>
                <w:sz w:val="14"/>
              </w:rPr>
            </w:pPr>
            <w:r>
              <w:rPr>
                <w:rFonts w:ascii="Arial" w:eastAsia="Arial" w:hAnsi="Arial" w:cs="Arial"/>
                <w:color w:val="000000"/>
                <w:sz w:val="14"/>
              </w:rPr>
              <w:t>5,400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05202487" w14:textId="77777777" w:rsidR="00880FCB" w:rsidRDefault="00880FCB" w:rsidP="00880FCB">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2013</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3D2611BB" w14:textId="77777777" w:rsidR="00880FCB" w:rsidRDefault="00880FCB" w:rsidP="00880FCB">
            <w:pPr>
              <w:tabs>
                <w:tab w:val="left" w:pos="828"/>
              </w:tabs>
              <w:ind w:left="57" w:right="57"/>
              <w:jc w:val="right"/>
              <w:rPr>
                <w:rFonts w:ascii="Arial" w:eastAsia="Arial" w:hAnsi="Arial" w:cs="Arial"/>
                <w:color w:val="000000"/>
                <w:sz w:val="14"/>
              </w:rPr>
            </w:pPr>
            <w:r>
              <w:rPr>
                <w:rFonts w:ascii="Arial" w:eastAsia="Arial" w:hAnsi="Arial" w:cs="Arial"/>
                <w:color w:val="000000"/>
                <w:sz w:val="14"/>
              </w:rPr>
              <w:t>5,000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7882FFBB" w14:textId="77777777" w:rsidR="00880FCB" w:rsidRDefault="00880FCB" w:rsidP="00880FC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5499B01A" w14:textId="77777777" w:rsidR="00880FCB" w:rsidRDefault="00880FCB" w:rsidP="00880FCB">
            <w:pPr>
              <w:tabs>
                <w:tab w:val="left" w:pos="828"/>
              </w:tabs>
              <w:ind w:left="57" w:right="57"/>
              <w:jc w:val="right"/>
              <w:rPr>
                <w:rFonts w:ascii="Arial" w:eastAsia="Arial" w:hAnsi="Arial" w:cs="Arial"/>
                <w:color w:val="000000"/>
                <w:sz w:val="14"/>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2705C95C" w14:textId="77777777" w:rsidR="00880FCB" w:rsidRDefault="00880FCB" w:rsidP="00880FCB">
            <w:pPr>
              <w:tabs>
                <w:tab w:val="left" w:pos="828"/>
              </w:tabs>
              <w:ind w:left="57" w:right="57"/>
              <w:jc w:val="right"/>
              <w:rPr>
                <w:rFonts w:ascii="Arial" w:eastAsia="Arial" w:hAnsi="Arial" w:cs="Arial"/>
                <w:color w:val="000000"/>
                <w:sz w:val="14"/>
              </w:rPr>
            </w:pPr>
            <w:r>
              <w:rPr>
                <w:rFonts w:ascii="Arial" w:eastAsia="Arial" w:hAnsi="Arial" w:cs="Arial"/>
                <w:color w:val="000000"/>
                <w:sz w:val="14"/>
              </w:rPr>
              <w:t>5,300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240AA830" w14:textId="77777777" w:rsidR="00880FCB" w:rsidRDefault="00880FCB" w:rsidP="00880FCB">
            <w:pPr>
              <w:tabs>
                <w:tab w:val="left" w:pos="828"/>
              </w:tabs>
              <w:ind w:left="57" w:right="57"/>
              <w:jc w:val="right"/>
              <w:rPr>
                <w:rFonts w:ascii="Arial" w:eastAsia="Arial" w:hAnsi="Arial" w:cs="Arial"/>
                <w:color w:val="000000"/>
                <w:sz w:val="14"/>
              </w:rPr>
            </w:pPr>
            <w:r>
              <w:rPr>
                <w:rFonts w:ascii="Arial" w:eastAsia="Arial" w:hAnsi="Arial" w:cs="Arial"/>
                <w:color w:val="000000"/>
                <w:sz w:val="14"/>
              </w:rPr>
              <w:t>6,800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47E30424" w14:textId="44DBDAE5" w:rsidR="00880FCB" w:rsidRDefault="00880FCB" w:rsidP="00880FCB">
            <w:pPr>
              <w:tabs>
                <w:tab w:val="left" w:pos="828"/>
              </w:tabs>
              <w:ind w:left="57" w:right="57"/>
              <w:jc w:val="right"/>
              <w:rPr>
                <w:rFonts w:ascii="Arial" w:eastAsia="Arial" w:hAnsi="Arial" w:cs="Arial"/>
                <w:color w:val="000000"/>
                <w:sz w:val="14"/>
              </w:rPr>
            </w:pPr>
            <w:r>
              <w:rPr>
                <w:rFonts w:ascii="Arial" w:eastAsia="Arial" w:hAnsi="Arial" w:cs="Arial"/>
                <w:color w:val="000000"/>
                <w:sz w:val="14"/>
              </w:rPr>
              <w:t>6,200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6B22B696" w14:textId="0167F5FD" w:rsidR="00880FCB" w:rsidRDefault="00880FCB" w:rsidP="00880FCB">
            <w:pPr>
              <w:tabs>
                <w:tab w:val="left" w:pos="828"/>
              </w:tabs>
              <w:ind w:left="57" w:right="57"/>
              <w:jc w:val="right"/>
              <w:rPr>
                <w:rFonts w:ascii="Arial" w:eastAsia="Arial" w:hAnsi="Arial" w:cs="Arial"/>
                <w:color w:val="000000"/>
                <w:sz w:val="14"/>
              </w:rPr>
            </w:pPr>
            <w:r>
              <w:rPr>
                <w:rFonts w:ascii="Arial" w:eastAsia="Arial" w:hAnsi="Arial" w:cs="Arial"/>
                <w:color w:val="000000"/>
                <w:sz w:val="14"/>
              </w:rPr>
              <w:t>6,200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DC38CB5" w14:textId="77777777" w:rsidR="00880FCB" w:rsidRDefault="00880FCB" w:rsidP="00880FC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41F9CB1A" w14:textId="77777777" w:rsidR="00880FCB" w:rsidRDefault="00880FCB" w:rsidP="00880FC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26F18C00" w14:textId="77777777" w:rsidR="00880FCB" w:rsidRDefault="00880FCB" w:rsidP="00880FC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1B949087" w14:textId="77777777" w:rsidR="00880FCB" w:rsidRDefault="00880FCB" w:rsidP="00880FC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2D794B2F" w14:textId="7A7744A1" w:rsidR="00880FCB" w:rsidRDefault="00880FCB">
            <w:pPr>
              <w:ind w:left="57" w:right="57"/>
              <w:rPr>
                <w:rFonts w:ascii="Arial" w:eastAsia="Arial" w:hAnsi="Arial" w:cs="Arial"/>
                <w:color w:val="000000"/>
                <w:sz w:val="14"/>
              </w:rPr>
            </w:pPr>
            <w:r>
              <w:rPr>
                <w:rFonts w:ascii="Arial" w:eastAsia="Arial" w:hAnsi="Arial" w:cs="Arial"/>
                <w:color w:val="000000"/>
                <w:sz w:val="14"/>
              </w:rPr>
              <w:t xml:space="preserve">Po roce 2014 došlo v databázi SFC ke změně metodiky výpočtu statistiky s názvem </w:t>
            </w:r>
            <w:r w:rsidR="00677405">
              <w:rPr>
                <w:rFonts w:ascii="Arial" w:eastAsia="Arial" w:hAnsi="Arial" w:cs="Arial"/>
                <w:color w:val="000000"/>
                <w:sz w:val="14"/>
              </w:rPr>
              <w:t>u</w:t>
            </w:r>
            <w:r w:rsidRPr="006A3A6C">
              <w:rPr>
                <w:rFonts w:ascii="Arial" w:eastAsia="Arial" w:hAnsi="Arial" w:cs="Arial"/>
                <w:color w:val="000000"/>
                <w:sz w:val="14"/>
              </w:rPr>
              <w:t>nemployment rates by sex, age and educational attainment level</w:t>
            </w:r>
            <w:r>
              <w:rPr>
                <w:rFonts w:ascii="Arial" w:eastAsia="Arial" w:hAnsi="Arial" w:cs="Arial"/>
                <w:color w:val="000000"/>
                <w:sz w:val="14"/>
              </w:rPr>
              <w:t>,což vedlo ke zvýšení hodnoty 5,3 (vykazováno v SFC v roce 2016) na 6.2, která je v SFC obsažena nyní .. tzn, že hodnoty za rok 2017 a 2018 jsou přibližně o jeden procentní bod vyšší, než podle původních metod výpočtu, podle kterých by se hodnota mohla nyní pohybovat na úrovni 5</w:t>
            </w:r>
            <w:r w:rsidR="00EC109E">
              <w:rPr>
                <w:rFonts w:ascii="Arial" w:eastAsia="Arial" w:hAnsi="Arial" w:cs="Arial"/>
                <w:color w:val="000000"/>
                <w:sz w:val="14"/>
              </w:rPr>
              <w:t>,</w:t>
            </w:r>
            <w:r>
              <w:rPr>
                <w:rFonts w:ascii="Arial" w:eastAsia="Arial" w:hAnsi="Arial" w:cs="Arial"/>
                <w:color w:val="000000"/>
                <w:sz w:val="14"/>
              </w:rPr>
              <w:t>2-5</w:t>
            </w:r>
            <w:r w:rsidR="00EC109E">
              <w:rPr>
                <w:rFonts w:ascii="Arial" w:eastAsia="Arial" w:hAnsi="Arial" w:cs="Arial"/>
                <w:color w:val="000000"/>
                <w:sz w:val="14"/>
              </w:rPr>
              <w:t>,3</w:t>
            </w:r>
            <w:r>
              <w:rPr>
                <w:rFonts w:ascii="Arial" w:eastAsia="Arial" w:hAnsi="Arial" w:cs="Arial"/>
                <w:color w:val="000000"/>
                <w:sz w:val="14"/>
              </w:rPr>
              <w:t>%.</w:t>
            </w:r>
          </w:p>
        </w:tc>
      </w:tr>
    </w:tbl>
    <w:p w14:paraId="17E5BBD3" w14:textId="77777777" w:rsidR="00533CD2" w:rsidRDefault="0046046C">
      <w:pPr>
        <w:keepNext/>
        <w:spacing w:before="240"/>
        <w:ind w:left="115" w:right="106"/>
        <w:jc w:val="both"/>
        <w:rPr>
          <w:rFonts w:ascii="Arial" w:eastAsia="Arial" w:hAnsi="Arial" w:cs="Arial"/>
          <w:color w:val="000000"/>
          <w:sz w:val="20"/>
        </w:rPr>
      </w:pPr>
      <w:r>
        <w:rPr>
          <w:rFonts w:ascii="Arial" w:eastAsia="Arial" w:hAnsi="Arial" w:cs="Arial"/>
          <w:color w:val="000000"/>
          <w:sz w:val="20"/>
        </w:rPr>
        <w:t>Investiční priorita: 06.3.05 Posilování aplikací v oblasti IKT určených pro elektronickou veřejnou správu, elektronické učení, začlenění do informační společnosti, elektronickou kulturu a elektronické zdravotnictví</w:t>
      </w:r>
    </w:p>
    <w:tbl>
      <w:tblPr>
        <w:tblW w:w="0" w:type="auto"/>
        <w:tblInd w:w="58" w:type="dxa"/>
        <w:tblLayout w:type="fixed"/>
        <w:tblCellMar>
          <w:left w:w="0" w:type="dxa"/>
          <w:right w:w="0" w:type="dxa"/>
        </w:tblCellMar>
        <w:tblLook w:val="04A0" w:firstRow="1" w:lastRow="0" w:firstColumn="1" w:lastColumn="0" w:noHBand="0" w:noVBand="1"/>
      </w:tblPr>
      <w:tblGrid>
        <w:gridCol w:w="800"/>
        <w:gridCol w:w="974"/>
        <w:gridCol w:w="1257"/>
        <w:gridCol w:w="1117"/>
        <w:gridCol w:w="848"/>
        <w:gridCol w:w="1112"/>
        <w:gridCol w:w="1137"/>
        <w:gridCol w:w="713"/>
        <w:gridCol w:w="700"/>
        <w:gridCol w:w="712"/>
        <w:gridCol w:w="739"/>
        <w:gridCol w:w="766"/>
        <w:gridCol w:w="708"/>
        <w:gridCol w:w="709"/>
        <w:gridCol w:w="711"/>
        <w:gridCol w:w="710"/>
        <w:gridCol w:w="712"/>
        <w:gridCol w:w="992"/>
      </w:tblGrid>
      <w:tr w:rsidR="00533CD2" w14:paraId="57420D69" w14:textId="77777777">
        <w:trPr>
          <w:tblHeader/>
        </w:trPr>
        <w:tc>
          <w:tcPr>
            <w:tcW w:w="7245"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63634E77" w14:textId="77777777" w:rsidR="00533CD2" w:rsidRDefault="00533CD2">
            <w:pPr>
              <w:ind w:left="57" w:right="57"/>
              <w:jc w:val="both"/>
            </w:pPr>
          </w:p>
        </w:tc>
        <w:tc>
          <w:tcPr>
            <w:tcW w:w="7180"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14:paraId="73C609A3"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ROČNÍ HODNOTA</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6CAD53" w14:textId="77777777" w:rsidR="00533CD2" w:rsidRDefault="00533CD2">
            <w:pPr>
              <w:ind w:left="57" w:right="57"/>
              <w:jc w:val="both"/>
            </w:pPr>
          </w:p>
        </w:tc>
      </w:tr>
      <w:tr w:rsidR="00533CD2" w14:paraId="0BA47E1A" w14:textId="77777777">
        <w:trPr>
          <w:tblHeader/>
        </w:trPr>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096132"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ID</w:t>
            </w:r>
          </w:p>
        </w:tc>
        <w:tc>
          <w:tcPr>
            <w:tcW w:w="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E26BCB"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Indikátor</w:t>
            </w:r>
          </w:p>
        </w:tc>
        <w:tc>
          <w:tcPr>
            <w:tcW w:w="12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4E202A"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Měrná jednotka</w:t>
            </w:r>
          </w:p>
        </w:tc>
        <w:tc>
          <w:tcPr>
            <w:tcW w:w="11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34C7CC"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Kategorie regionu</w:t>
            </w:r>
          </w:p>
          <w:p w14:paraId="0AE19D1A"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(je-li relevantní)</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54A692"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Výchozí hodnota</w:t>
            </w:r>
          </w:p>
        </w:tc>
        <w:tc>
          <w:tcPr>
            <w:tcW w:w="11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86E464"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Výchozí rok</w:t>
            </w:r>
          </w:p>
        </w:tc>
        <w:tc>
          <w:tcPr>
            <w:tcW w:w="11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F49065"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Cílová hodnota (2023)</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5431C9"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2014</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069D4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2015</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CB60B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2016</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4921DF"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2017</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A52B12"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72412E"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3B7448"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E89738"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2021</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FE078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2022</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72A74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87DFE1"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Vysvětlení (v případě potřeby)</w:t>
            </w:r>
          </w:p>
        </w:tc>
      </w:tr>
      <w:tr w:rsidR="00533CD2" w14:paraId="0D0CCA44" w14:textId="77777777">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40866A3C"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30510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7FA661E0"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elektronických podání učiněných prostřednictvím Czech Point, ISDS, PVS a agendových portálů</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2D05C5AA"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elektronická podání</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517CC4D4"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3A97CA1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16 417 142,840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6C309C5C"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2014</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1FEB649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25 824 165,700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247FCA2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557B225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6FE069B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26 506 961,000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0F43BD9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30 733 729,130</w:t>
            </w: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34CC065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28 914 236,000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121D21D0" w14:textId="1BFC3177" w:rsidR="00533CD2" w:rsidRDefault="00EC109E">
            <w:pPr>
              <w:tabs>
                <w:tab w:val="left" w:pos="828"/>
              </w:tabs>
              <w:ind w:left="57" w:right="57"/>
              <w:jc w:val="right"/>
              <w:rPr>
                <w:rFonts w:ascii="Arial" w:eastAsia="Arial" w:hAnsi="Arial" w:cs="Arial"/>
                <w:color w:val="000000"/>
                <w:sz w:val="14"/>
              </w:rPr>
            </w:pPr>
            <w:r>
              <w:rPr>
                <w:rFonts w:ascii="Arial" w:eastAsia="Arial" w:hAnsi="Arial" w:cs="Arial"/>
                <w:color w:val="000000"/>
                <w:sz w:val="14"/>
              </w:rPr>
              <w:t>29 707</w:t>
            </w:r>
            <w:r w:rsidR="00D10ED9">
              <w:rPr>
                <w:rFonts w:ascii="Arial" w:eastAsia="Arial" w:hAnsi="Arial" w:cs="Arial"/>
                <w:color w:val="000000"/>
                <w:sz w:val="14"/>
              </w:rPr>
              <w:t> </w:t>
            </w:r>
            <w:r>
              <w:rPr>
                <w:rFonts w:ascii="Arial" w:eastAsia="Arial" w:hAnsi="Arial" w:cs="Arial"/>
                <w:color w:val="000000"/>
                <w:sz w:val="14"/>
              </w:rPr>
              <w:t>392</w:t>
            </w:r>
            <w:r w:rsidR="00D10ED9">
              <w:rPr>
                <w:rFonts w:ascii="Arial" w:eastAsia="Arial" w:hAnsi="Arial" w:cs="Arial"/>
                <w:color w:val="000000"/>
                <w:sz w:val="14"/>
              </w:rPr>
              <w:t>,</w:t>
            </w:r>
            <w:r>
              <w:rPr>
                <w:rFonts w:ascii="Arial" w:eastAsia="Arial" w:hAnsi="Arial" w:cs="Arial"/>
                <w:color w:val="000000"/>
                <w:sz w:val="14"/>
              </w:rPr>
              <w:t xml:space="preserve"> </w:t>
            </w:r>
            <w:r w:rsidR="00884D51">
              <w:rPr>
                <w:rFonts w:ascii="Arial" w:eastAsia="Arial" w:hAnsi="Arial" w:cs="Arial"/>
                <w:color w:val="000000"/>
                <w:sz w:val="14"/>
              </w:rPr>
              <w:t>560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2A6DDF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569EF9F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2BE773E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6955941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131E50C1" w14:textId="77777777" w:rsidR="00533CD2" w:rsidRDefault="00533CD2">
            <w:pPr>
              <w:ind w:left="57" w:right="57"/>
              <w:rPr>
                <w:rFonts w:ascii="Arial" w:eastAsia="Arial" w:hAnsi="Arial" w:cs="Arial"/>
                <w:color w:val="000000"/>
                <w:sz w:val="14"/>
              </w:rPr>
            </w:pPr>
          </w:p>
        </w:tc>
      </w:tr>
      <w:tr w:rsidR="00533CD2" w14:paraId="73428235" w14:textId="77777777">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3EB8577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30510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41012682"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elektronických podání učiněných prostřednictvím Czech Point, ISDS, PVS a agendových portálů</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642F29BB"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elektronická podání</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0060E958"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Více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20E4727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1 262 857,140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770914FA"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2014</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3276B4C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1 986 474,290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0F03119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03C67DA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70CF91E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2 038 997,000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661C94F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2 364 133,010</w:t>
            </w: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718BD05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2 224 172,000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1BC3DF04" w14:textId="35025602" w:rsidR="00533CD2" w:rsidRDefault="00884D51">
            <w:pPr>
              <w:tabs>
                <w:tab w:val="left" w:pos="828"/>
              </w:tabs>
              <w:ind w:left="57" w:right="57"/>
              <w:jc w:val="right"/>
              <w:rPr>
                <w:rFonts w:ascii="Arial" w:eastAsia="Arial" w:hAnsi="Arial" w:cs="Arial"/>
                <w:color w:val="000000"/>
                <w:sz w:val="14"/>
              </w:rPr>
            </w:pPr>
            <w:r w:rsidRPr="00884D51">
              <w:rPr>
                <w:rFonts w:ascii="Arial" w:eastAsia="Arial" w:hAnsi="Arial" w:cs="Arial"/>
                <w:color w:val="000000"/>
                <w:sz w:val="14"/>
              </w:rPr>
              <w:t>2</w:t>
            </w:r>
            <w:r w:rsidR="00D10ED9">
              <w:rPr>
                <w:rFonts w:ascii="Arial" w:eastAsia="Arial" w:hAnsi="Arial" w:cs="Arial"/>
                <w:color w:val="000000"/>
                <w:sz w:val="14"/>
              </w:rPr>
              <w:t xml:space="preserve"> </w:t>
            </w:r>
            <w:r w:rsidRPr="00884D51">
              <w:rPr>
                <w:rFonts w:ascii="Arial" w:eastAsia="Arial" w:hAnsi="Arial" w:cs="Arial"/>
                <w:color w:val="000000"/>
                <w:sz w:val="14"/>
              </w:rPr>
              <w:t>285</w:t>
            </w:r>
            <w:r w:rsidR="00D10ED9">
              <w:rPr>
                <w:rFonts w:ascii="Arial" w:eastAsia="Arial" w:hAnsi="Arial" w:cs="Arial"/>
                <w:color w:val="000000"/>
                <w:sz w:val="14"/>
              </w:rPr>
              <w:t xml:space="preserve"> </w:t>
            </w:r>
            <w:r w:rsidRPr="00884D51">
              <w:rPr>
                <w:rFonts w:ascii="Arial" w:eastAsia="Arial" w:hAnsi="Arial" w:cs="Arial"/>
                <w:color w:val="000000"/>
                <w:sz w:val="14"/>
              </w:rPr>
              <w:t>207,440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444F4E6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3180B1B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312EBEE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695F773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0E6C7EA0" w14:textId="77777777" w:rsidR="00533CD2" w:rsidRDefault="00533CD2">
            <w:pPr>
              <w:ind w:left="57" w:right="57"/>
              <w:rPr>
                <w:rFonts w:ascii="Arial" w:eastAsia="Arial" w:hAnsi="Arial" w:cs="Arial"/>
                <w:color w:val="000000"/>
                <w:sz w:val="14"/>
              </w:rPr>
            </w:pPr>
          </w:p>
        </w:tc>
      </w:tr>
    </w:tbl>
    <w:p w14:paraId="598A3366" w14:textId="77777777" w:rsidR="00533CD2" w:rsidRDefault="0046046C">
      <w:pPr>
        <w:keepNext/>
        <w:spacing w:before="240"/>
        <w:ind w:left="115" w:right="106"/>
        <w:jc w:val="both"/>
        <w:rPr>
          <w:rFonts w:ascii="Arial" w:eastAsia="Arial" w:hAnsi="Arial" w:cs="Arial"/>
          <w:color w:val="000000"/>
          <w:sz w:val="20"/>
        </w:rPr>
      </w:pPr>
      <w:r>
        <w:rPr>
          <w:rFonts w:ascii="Arial" w:eastAsia="Arial" w:hAnsi="Arial" w:cs="Arial"/>
          <w:color w:val="000000"/>
          <w:sz w:val="20"/>
        </w:rPr>
        <w:t>Investiční priorita: 06.3.33 Zachování, ochrana, propagace a rozvoj přírodního a kulturního dědictví</w:t>
      </w:r>
    </w:p>
    <w:tbl>
      <w:tblPr>
        <w:tblW w:w="0" w:type="auto"/>
        <w:tblInd w:w="58" w:type="dxa"/>
        <w:tblLayout w:type="fixed"/>
        <w:tblCellMar>
          <w:left w:w="0" w:type="dxa"/>
          <w:right w:w="0" w:type="dxa"/>
        </w:tblCellMar>
        <w:tblLook w:val="04A0" w:firstRow="1" w:lastRow="0" w:firstColumn="1" w:lastColumn="0" w:noHBand="0" w:noVBand="1"/>
      </w:tblPr>
      <w:tblGrid>
        <w:gridCol w:w="800"/>
        <w:gridCol w:w="974"/>
        <w:gridCol w:w="1257"/>
        <w:gridCol w:w="1117"/>
        <w:gridCol w:w="848"/>
        <w:gridCol w:w="1112"/>
        <w:gridCol w:w="1137"/>
        <w:gridCol w:w="713"/>
        <w:gridCol w:w="700"/>
        <w:gridCol w:w="712"/>
        <w:gridCol w:w="739"/>
        <w:gridCol w:w="766"/>
        <w:gridCol w:w="708"/>
        <w:gridCol w:w="709"/>
        <w:gridCol w:w="711"/>
        <w:gridCol w:w="710"/>
        <w:gridCol w:w="712"/>
        <w:gridCol w:w="992"/>
      </w:tblGrid>
      <w:tr w:rsidR="00533CD2" w14:paraId="34A35989" w14:textId="77777777">
        <w:trPr>
          <w:tblHeader/>
        </w:trPr>
        <w:tc>
          <w:tcPr>
            <w:tcW w:w="7245"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25E2AB8B" w14:textId="77777777" w:rsidR="00533CD2" w:rsidRDefault="00533CD2">
            <w:pPr>
              <w:ind w:left="57" w:right="57"/>
              <w:jc w:val="both"/>
            </w:pPr>
          </w:p>
        </w:tc>
        <w:tc>
          <w:tcPr>
            <w:tcW w:w="7180"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14:paraId="03DBC50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ROČNÍ HODNOTA</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221C45" w14:textId="77777777" w:rsidR="00533CD2" w:rsidRDefault="00533CD2">
            <w:pPr>
              <w:ind w:left="57" w:right="57"/>
              <w:jc w:val="both"/>
            </w:pPr>
          </w:p>
        </w:tc>
      </w:tr>
      <w:tr w:rsidR="00533CD2" w14:paraId="2F3FE023" w14:textId="77777777">
        <w:trPr>
          <w:tblHeader/>
        </w:trPr>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AEA7C5"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ID</w:t>
            </w:r>
          </w:p>
        </w:tc>
        <w:tc>
          <w:tcPr>
            <w:tcW w:w="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6729F3"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Indikátor</w:t>
            </w:r>
          </w:p>
        </w:tc>
        <w:tc>
          <w:tcPr>
            <w:tcW w:w="12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C13301"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Měrná jednotka</w:t>
            </w:r>
          </w:p>
        </w:tc>
        <w:tc>
          <w:tcPr>
            <w:tcW w:w="11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CEA47F"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Kategorie regionu</w:t>
            </w:r>
          </w:p>
          <w:p w14:paraId="648994FF"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(je-li relevantní)</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25D408"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Výchozí hodnota</w:t>
            </w:r>
          </w:p>
        </w:tc>
        <w:tc>
          <w:tcPr>
            <w:tcW w:w="11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43DEC4"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Výchozí rok</w:t>
            </w:r>
          </w:p>
        </w:tc>
        <w:tc>
          <w:tcPr>
            <w:tcW w:w="11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C5F751"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Cílová hodnota (2023)</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ADD0D7"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2014</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31AFF5"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2015</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381A6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2016</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59B76F"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2017</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DF0B3F"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BF3558"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6E596B"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693FCD"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2021</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C184D3"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2022</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1154F8"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F5580F"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Vysvětlení (v případě potřeby)</w:t>
            </w:r>
          </w:p>
        </w:tc>
      </w:tr>
      <w:tr w:rsidR="00533CD2" w14:paraId="1DEC98E4" w14:textId="77777777">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408675E5"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91010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0165A5DA"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návštěv kulturních památek a paměťových institucí zpřístupněných za vstupné</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33985B49"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Návštěvy/rok</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76F2D71C"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5D333F7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26 553 793,000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1216F594"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2013</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15D7E27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27 500 000,000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1617D5C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2B72333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30 852 398,000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5724076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33 355 747,000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1C3D7B6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34 021 133,000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7DB4B91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29 327 035,000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192EC0C4" w14:textId="6215208C" w:rsidR="00533CD2" w:rsidRPr="00D10ED9" w:rsidRDefault="00D10ED9">
            <w:pPr>
              <w:tabs>
                <w:tab w:val="left" w:pos="828"/>
              </w:tabs>
              <w:ind w:left="57" w:right="57"/>
              <w:jc w:val="right"/>
              <w:rPr>
                <w:rFonts w:ascii="Arial" w:eastAsia="Arial" w:hAnsi="Arial" w:cs="Arial"/>
                <w:color w:val="000000"/>
                <w:sz w:val="14"/>
              </w:rPr>
            </w:pPr>
            <w:r w:rsidRPr="00D10ED9">
              <w:rPr>
                <w:rFonts w:ascii="Arial" w:eastAsia="Arial" w:hAnsi="Arial" w:cs="Arial"/>
                <w:color w:val="000000"/>
                <w:sz w:val="14"/>
              </w:rPr>
              <w:t>35 640 990</w:t>
            </w:r>
            <w:r w:rsidRPr="00E806C4">
              <w:rPr>
                <w:rFonts w:ascii="Arial" w:eastAsia="Arial" w:hAnsi="Arial" w:cs="Arial"/>
                <w:color w:val="000000"/>
                <w:sz w:val="14"/>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1A5E543" w14:textId="77777777" w:rsidR="00533CD2" w:rsidRPr="00D10ED9" w:rsidRDefault="0046046C">
            <w:pPr>
              <w:tabs>
                <w:tab w:val="left" w:pos="828"/>
              </w:tabs>
              <w:ind w:left="57" w:right="57"/>
              <w:jc w:val="right"/>
              <w:rPr>
                <w:rFonts w:ascii="Arial" w:eastAsia="Arial" w:hAnsi="Arial" w:cs="Arial"/>
                <w:color w:val="000000"/>
                <w:sz w:val="14"/>
              </w:rPr>
            </w:pPr>
            <w:r w:rsidRPr="00D10ED9">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44590EC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279A026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5A59FB4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4909F443" w14:textId="3F1705A8" w:rsidR="00533CD2" w:rsidRDefault="00884D51">
            <w:pPr>
              <w:ind w:left="57" w:right="57"/>
              <w:rPr>
                <w:rFonts w:ascii="Arial" w:eastAsia="Arial" w:hAnsi="Arial" w:cs="Arial"/>
                <w:color w:val="000000"/>
                <w:sz w:val="14"/>
              </w:rPr>
            </w:pPr>
            <w:r>
              <w:rPr>
                <w:rFonts w:ascii="Arial" w:eastAsia="Arial" w:hAnsi="Arial" w:cs="Arial"/>
                <w:color w:val="000000"/>
                <w:sz w:val="14"/>
              </w:rPr>
              <w:t>Po utlumení následků světové ekonomické krize došlo ke skokovému zvýšení počtu návštěv kulturních památek v ČR, který nemohl být v původních hodnotách započítán – hodnota nyní už narůstá pouze mírně v souladu s nárůstem návštěvnosti. ŘO IROP v další revizi PD přistoupí ke zvednutí cílové hodnoty.</w:t>
            </w:r>
          </w:p>
        </w:tc>
      </w:tr>
    </w:tbl>
    <w:p w14:paraId="18B2218C" w14:textId="77777777" w:rsidR="00533CD2" w:rsidRDefault="0046046C">
      <w:pPr>
        <w:keepNext/>
        <w:spacing w:before="240"/>
        <w:ind w:left="115" w:right="106"/>
        <w:jc w:val="both"/>
        <w:rPr>
          <w:rFonts w:ascii="Arial" w:eastAsia="Arial" w:hAnsi="Arial" w:cs="Arial"/>
          <w:color w:val="000000"/>
          <w:sz w:val="20"/>
        </w:rPr>
      </w:pPr>
      <w:r>
        <w:rPr>
          <w:rFonts w:ascii="Arial" w:eastAsia="Arial" w:hAnsi="Arial" w:cs="Arial"/>
          <w:color w:val="000000"/>
          <w:sz w:val="20"/>
        </w:rPr>
        <w:t>Investiční priorita: 06.3.72 Zvyšování institucionální kapacity orgánů veřejné správy a zúčastněných subjektů a zlepšování účinnosti veřejné správy prostřednictvím opatření pro posilování institucionální kapacity a účinnosti veřejné správy a veřejných služeb souvisejících s prováděním EFRR, jež přispívají k realizaci opatření podporovaných z ESF v oblasti institucionální kapacity a účinnosti veřejné správy</w:t>
      </w:r>
    </w:p>
    <w:tbl>
      <w:tblPr>
        <w:tblW w:w="0" w:type="auto"/>
        <w:tblInd w:w="58" w:type="dxa"/>
        <w:tblLayout w:type="fixed"/>
        <w:tblCellMar>
          <w:left w:w="0" w:type="dxa"/>
          <w:right w:w="0" w:type="dxa"/>
        </w:tblCellMar>
        <w:tblLook w:val="04A0" w:firstRow="1" w:lastRow="0" w:firstColumn="1" w:lastColumn="0" w:noHBand="0" w:noVBand="1"/>
      </w:tblPr>
      <w:tblGrid>
        <w:gridCol w:w="800"/>
        <w:gridCol w:w="974"/>
        <w:gridCol w:w="1257"/>
        <w:gridCol w:w="1117"/>
        <w:gridCol w:w="848"/>
        <w:gridCol w:w="1112"/>
        <w:gridCol w:w="1137"/>
        <w:gridCol w:w="713"/>
        <w:gridCol w:w="700"/>
        <w:gridCol w:w="712"/>
        <w:gridCol w:w="739"/>
        <w:gridCol w:w="766"/>
        <w:gridCol w:w="708"/>
        <w:gridCol w:w="709"/>
        <w:gridCol w:w="711"/>
        <w:gridCol w:w="710"/>
        <w:gridCol w:w="712"/>
        <w:gridCol w:w="992"/>
      </w:tblGrid>
      <w:tr w:rsidR="00533CD2" w14:paraId="13B017E1" w14:textId="77777777">
        <w:trPr>
          <w:tblHeader/>
        </w:trPr>
        <w:tc>
          <w:tcPr>
            <w:tcW w:w="7245"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04BDAC9D" w14:textId="77777777" w:rsidR="00533CD2" w:rsidRDefault="00533CD2">
            <w:pPr>
              <w:ind w:left="57" w:right="57"/>
              <w:jc w:val="both"/>
            </w:pPr>
          </w:p>
        </w:tc>
        <w:tc>
          <w:tcPr>
            <w:tcW w:w="7180"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14:paraId="7B93B1B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ROČNÍ HODNOTA</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159989" w14:textId="77777777" w:rsidR="00533CD2" w:rsidRDefault="00533CD2">
            <w:pPr>
              <w:ind w:left="57" w:right="57"/>
              <w:jc w:val="both"/>
            </w:pPr>
          </w:p>
        </w:tc>
      </w:tr>
      <w:tr w:rsidR="00533CD2" w14:paraId="752836F1" w14:textId="77777777">
        <w:trPr>
          <w:tblHeader/>
        </w:trPr>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90D6FF"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ID</w:t>
            </w:r>
          </w:p>
        </w:tc>
        <w:tc>
          <w:tcPr>
            <w:tcW w:w="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94E0B0"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Indikátor</w:t>
            </w:r>
          </w:p>
        </w:tc>
        <w:tc>
          <w:tcPr>
            <w:tcW w:w="12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7C709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Měrná jednotka</w:t>
            </w:r>
          </w:p>
        </w:tc>
        <w:tc>
          <w:tcPr>
            <w:tcW w:w="11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F74018"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Kategorie regionu</w:t>
            </w:r>
          </w:p>
          <w:p w14:paraId="2262C0B9"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(je-li relevantní)</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88312E"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Výchozí hodnota</w:t>
            </w:r>
          </w:p>
        </w:tc>
        <w:tc>
          <w:tcPr>
            <w:tcW w:w="11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D37F7D"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Výchozí rok</w:t>
            </w:r>
          </w:p>
        </w:tc>
        <w:tc>
          <w:tcPr>
            <w:tcW w:w="11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CEA6B7"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Cílová hodnota (2023)</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DE9F2F"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2014</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8DACB5"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2015</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278567"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2016</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359E9A"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2017</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12602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FF6259"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6CFAA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D89822"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2021</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51246C"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2022</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EF156E"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1600C3"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Vysvětlení (v případě potřeby)</w:t>
            </w:r>
          </w:p>
        </w:tc>
      </w:tr>
      <w:tr w:rsidR="00533CD2" w14:paraId="4AE24B3B" w14:textId="77777777">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22D0B04B"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90210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3B07E0B9"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Plocha území pokrytá územním plánem, regulačním plánem a územní studií</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3844EAE1"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km2</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46F39321"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0960273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26 793,000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48CD34BC"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2014</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036CDC4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45 493,000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024B4A5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1D6EB396" w14:textId="77777777" w:rsidR="00533CD2" w:rsidRDefault="00533CD2">
            <w:pPr>
              <w:tabs>
                <w:tab w:val="left" w:pos="828"/>
              </w:tabs>
              <w:ind w:left="57" w:right="57"/>
              <w:jc w:val="right"/>
              <w:rPr>
                <w:rFonts w:ascii="Arial" w:eastAsia="Arial" w:hAnsi="Arial" w:cs="Arial"/>
                <w:color w:val="000000"/>
                <w:sz w:val="14"/>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3AEC30C6" w14:textId="77777777" w:rsidR="00533CD2" w:rsidRDefault="00533CD2">
            <w:pPr>
              <w:tabs>
                <w:tab w:val="left" w:pos="828"/>
              </w:tabs>
              <w:ind w:left="57" w:right="57"/>
              <w:jc w:val="right"/>
              <w:rPr>
                <w:rFonts w:ascii="Arial" w:eastAsia="Arial" w:hAnsi="Arial" w:cs="Arial"/>
                <w:color w:val="000000"/>
                <w:sz w:val="14"/>
              </w:rPr>
            </w:pP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1217FE04" w14:textId="77777777" w:rsidR="00533CD2" w:rsidRDefault="00533CD2">
            <w:pPr>
              <w:tabs>
                <w:tab w:val="left" w:pos="828"/>
              </w:tabs>
              <w:ind w:left="57" w:right="57"/>
              <w:jc w:val="right"/>
              <w:rPr>
                <w:rFonts w:ascii="Arial" w:eastAsia="Arial" w:hAnsi="Arial" w:cs="Arial"/>
                <w:color w:val="000000"/>
                <w:sz w:val="14"/>
              </w:rPr>
            </w:pP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3D788A0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30 873,000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54537586" w14:textId="7F154531" w:rsidR="00533CD2" w:rsidRDefault="004F3575">
            <w:pPr>
              <w:tabs>
                <w:tab w:val="left" w:pos="828"/>
              </w:tabs>
              <w:ind w:left="57" w:right="57"/>
              <w:jc w:val="right"/>
              <w:rPr>
                <w:rFonts w:ascii="Arial" w:eastAsia="Arial" w:hAnsi="Arial" w:cs="Arial"/>
                <w:color w:val="000000"/>
                <w:sz w:val="14"/>
              </w:rPr>
            </w:pPr>
            <w:r>
              <w:rPr>
                <w:rFonts w:ascii="Arial" w:eastAsia="Arial" w:hAnsi="Arial" w:cs="Arial"/>
                <w:color w:val="000000"/>
                <w:sz w:val="14"/>
              </w:rPr>
              <w:t>41 932,000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0D066C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7602C21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62DDE81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761DA97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6AFB6F1B" w14:textId="77777777" w:rsidR="00533CD2" w:rsidRDefault="00533CD2">
            <w:pPr>
              <w:ind w:left="57" w:right="57"/>
              <w:rPr>
                <w:rFonts w:ascii="Arial" w:eastAsia="Arial" w:hAnsi="Arial" w:cs="Arial"/>
                <w:color w:val="000000"/>
                <w:sz w:val="14"/>
              </w:rPr>
            </w:pPr>
          </w:p>
        </w:tc>
      </w:tr>
    </w:tbl>
    <w:p w14:paraId="666CE9FA" w14:textId="77777777" w:rsidR="00533CD2" w:rsidRDefault="0046046C">
      <w:pPr>
        <w:keepNext/>
        <w:spacing w:before="240"/>
        <w:ind w:left="115" w:right="106"/>
        <w:jc w:val="both"/>
        <w:rPr>
          <w:rFonts w:ascii="Arial" w:eastAsia="Arial" w:hAnsi="Arial" w:cs="Arial"/>
          <w:color w:val="000000"/>
          <w:sz w:val="20"/>
        </w:rPr>
      </w:pPr>
      <w:r>
        <w:rPr>
          <w:rFonts w:ascii="Arial" w:eastAsia="Arial" w:hAnsi="Arial" w:cs="Arial"/>
          <w:color w:val="000000"/>
          <w:sz w:val="20"/>
        </w:rPr>
        <w:t>Investiční priorita: 06.4.59 Provádění investic v rámci komunitně vedených strategií místního rozvoje</w:t>
      </w:r>
    </w:p>
    <w:tbl>
      <w:tblPr>
        <w:tblW w:w="0" w:type="auto"/>
        <w:tblInd w:w="58" w:type="dxa"/>
        <w:tblLayout w:type="fixed"/>
        <w:tblCellMar>
          <w:left w:w="0" w:type="dxa"/>
          <w:right w:w="0" w:type="dxa"/>
        </w:tblCellMar>
        <w:tblLook w:val="04A0" w:firstRow="1" w:lastRow="0" w:firstColumn="1" w:lastColumn="0" w:noHBand="0" w:noVBand="1"/>
      </w:tblPr>
      <w:tblGrid>
        <w:gridCol w:w="800"/>
        <w:gridCol w:w="974"/>
        <w:gridCol w:w="1257"/>
        <w:gridCol w:w="1117"/>
        <w:gridCol w:w="848"/>
        <w:gridCol w:w="1112"/>
        <w:gridCol w:w="1137"/>
        <w:gridCol w:w="713"/>
        <w:gridCol w:w="700"/>
        <w:gridCol w:w="712"/>
        <w:gridCol w:w="739"/>
        <w:gridCol w:w="766"/>
        <w:gridCol w:w="686"/>
        <w:gridCol w:w="22"/>
        <w:gridCol w:w="709"/>
        <w:gridCol w:w="711"/>
        <w:gridCol w:w="710"/>
        <w:gridCol w:w="712"/>
        <w:gridCol w:w="992"/>
      </w:tblGrid>
      <w:tr w:rsidR="00533CD2" w14:paraId="22ECD6B9" w14:textId="77777777">
        <w:trPr>
          <w:tblHeader/>
        </w:trPr>
        <w:tc>
          <w:tcPr>
            <w:tcW w:w="7245"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7B5909F6" w14:textId="77777777" w:rsidR="00533CD2" w:rsidRDefault="00533CD2">
            <w:pPr>
              <w:ind w:left="57" w:right="57"/>
              <w:jc w:val="both"/>
            </w:pPr>
          </w:p>
        </w:tc>
        <w:tc>
          <w:tcPr>
            <w:tcW w:w="7180"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14:paraId="21E02305"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ROČNÍ HODNOTA</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AC4C03" w14:textId="77777777" w:rsidR="00533CD2" w:rsidRDefault="00533CD2">
            <w:pPr>
              <w:ind w:left="57" w:right="57"/>
              <w:jc w:val="both"/>
            </w:pPr>
          </w:p>
        </w:tc>
      </w:tr>
      <w:tr w:rsidR="00643DE1" w14:paraId="10C17CB6" w14:textId="77777777" w:rsidTr="00D10ED9">
        <w:trPr>
          <w:tblHeader/>
        </w:trPr>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F6438E"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ID</w:t>
            </w:r>
          </w:p>
        </w:tc>
        <w:tc>
          <w:tcPr>
            <w:tcW w:w="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8AA24F"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Indikátor</w:t>
            </w:r>
          </w:p>
        </w:tc>
        <w:tc>
          <w:tcPr>
            <w:tcW w:w="12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819721"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Měrná jednotka</w:t>
            </w:r>
          </w:p>
        </w:tc>
        <w:tc>
          <w:tcPr>
            <w:tcW w:w="11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8F8C28"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Kategorie regionu</w:t>
            </w:r>
          </w:p>
          <w:p w14:paraId="110092BB"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(je-li relevantní)</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09CC40"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Výchozí hodnota</w:t>
            </w:r>
          </w:p>
        </w:tc>
        <w:tc>
          <w:tcPr>
            <w:tcW w:w="11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ED958F"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Výchozí rok</w:t>
            </w:r>
          </w:p>
        </w:tc>
        <w:tc>
          <w:tcPr>
            <w:tcW w:w="11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8F4E6B"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Cílová hodnota (2023)</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C00C94"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2014</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AF5BF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2015</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67D02B"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2016</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A9FFBA"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2017</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C45105"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2018</w:t>
            </w:r>
          </w:p>
        </w:tc>
        <w:tc>
          <w:tcPr>
            <w:tcW w:w="6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650D7A"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2019</w:t>
            </w:r>
          </w:p>
        </w:tc>
        <w:tc>
          <w:tcPr>
            <w:tcW w:w="73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FC2C0F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7072D4"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2021</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F21F55"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2022</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A8E47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50470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Vysvětlení (v případě potřeby)</w:t>
            </w:r>
          </w:p>
        </w:tc>
      </w:tr>
      <w:tr w:rsidR="00E806C4" w14:paraId="710AD8CE" w14:textId="77777777" w:rsidTr="00E806C4">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69DA0930"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10411</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6C9F63AE"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Míra nezaměstnanosti osob s nejnižším vzděláním</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39C003F8"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16652161"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40BE496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28,500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5F11B81F"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2012</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45D16BB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22,000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0E1DCE8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2889E239" w14:textId="77777777" w:rsidR="00533CD2" w:rsidRDefault="00533CD2">
            <w:pPr>
              <w:tabs>
                <w:tab w:val="left" w:pos="828"/>
              </w:tabs>
              <w:ind w:left="57" w:right="57"/>
              <w:jc w:val="right"/>
              <w:rPr>
                <w:rFonts w:ascii="Arial" w:eastAsia="Arial" w:hAnsi="Arial" w:cs="Arial"/>
                <w:color w:val="000000"/>
                <w:sz w:val="14"/>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4CB866D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22,000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594F3B6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22,200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4FA68F5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13,100</w:t>
            </w:r>
          </w:p>
        </w:tc>
        <w:tc>
          <w:tcPr>
            <w:tcW w:w="686" w:type="dxa"/>
            <w:tcBorders>
              <w:top w:val="single" w:sz="4" w:space="0" w:color="000000"/>
              <w:left w:val="single" w:sz="4" w:space="0" w:color="000000"/>
              <w:bottom w:val="single" w:sz="4" w:space="0" w:color="000000"/>
              <w:right w:val="single" w:sz="4" w:space="0" w:color="000000"/>
            </w:tcBorders>
            <w:shd w:val="clear" w:color="auto" w:fill="FFFFFF"/>
          </w:tcPr>
          <w:p w14:paraId="43D61443" w14:textId="6E0C77B0" w:rsidR="00533CD2" w:rsidRDefault="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10,800</w:t>
            </w:r>
          </w:p>
        </w:tc>
        <w:tc>
          <w:tcPr>
            <w:tcW w:w="731" w:type="dxa"/>
            <w:gridSpan w:val="2"/>
            <w:tcBorders>
              <w:top w:val="single" w:sz="4" w:space="0" w:color="000000"/>
              <w:left w:val="single" w:sz="4" w:space="0" w:color="000000"/>
              <w:bottom w:val="single" w:sz="4" w:space="0" w:color="000000"/>
              <w:right w:val="single" w:sz="4" w:space="0" w:color="000000"/>
            </w:tcBorders>
            <w:shd w:val="clear" w:color="auto" w:fill="FFFFFF"/>
          </w:tcPr>
          <w:p w14:paraId="06D41A6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1205562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71C7F31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1EC64F3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38D8D25C" w14:textId="1EE7BA7A" w:rsidR="00533CD2" w:rsidRDefault="00E976D6">
            <w:pPr>
              <w:ind w:left="57" w:right="57"/>
              <w:rPr>
                <w:rFonts w:ascii="Arial" w:eastAsia="Arial" w:hAnsi="Arial" w:cs="Arial"/>
                <w:color w:val="000000"/>
                <w:sz w:val="14"/>
              </w:rPr>
            </w:pPr>
            <w:r w:rsidRPr="00DF3DC1">
              <w:rPr>
                <w:rFonts w:ascii="Arial" w:eastAsia="Arial" w:hAnsi="Arial" w:cs="Arial"/>
                <w:color w:val="000000"/>
                <w:sz w:val="14"/>
              </w:rPr>
              <w:t>Meziročně byl zaznamená</w:t>
            </w:r>
            <w:r>
              <w:rPr>
                <w:rFonts w:ascii="Arial" w:eastAsia="Arial" w:hAnsi="Arial" w:cs="Arial"/>
                <w:color w:val="000000"/>
                <w:sz w:val="14"/>
              </w:rPr>
              <w:t>n</w:t>
            </w:r>
            <w:r w:rsidRPr="00DF3DC1">
              <w:rPr>
                <w:rFonts w:ascii="Arial" w:eastAsia="Arial" w:hAnsi="Arial" w:cs="Arial"/>
                <w:color w:val="000000"/>
                <w:sz w:val="14"/>
              </w:rPr>
              <w:t xml:space="preserve"> </w:t>
            </w:r>
            <w:r>
              <w:rPr>
                <w:rFonts w:ascii="Arial" w:eastAsia="Arial" w:hAnsi="Arial" w:cs="Arial"/>
                <w:color w:val="000000"/>
                <w:sz w:val="14"/>
              </w:rPr>
              <w:t xml:space="preserve">další </w:t>
            </w:r>
            <w:r w:rsidRPr="00DF3DC1">
              <w:rPr>
                <w:rFonts w:ascii="Arial" w:eastAsia="Arial" w:hAnsi="Arial" w:cs="Arial"/>
                <w:color w:val="000000"/>
                <w:sz w:val="14"/>
              </w:rPr>
              <w:t xml:space="preserve">výrazný pokles, který lze vysvětlit bezprecedentní ekonomickou situací </w:t>
            </w:r>
            <w:proofErr w:type="gramStart"/>
            <w:r w:rsidRPr="00DF3DC1">
              <w:rPr>
                <w:rFonts w:ascii="Arial" w:eastAsia="Arial" w:hAnsi="Arial" w:cs="Arial"/>
                <w:color w:val="000000"/>
                <w:sz w:val="14"/>
              </w:rPr>
              <w:t>a</w:t>
            </w:r>
            <w:proofErr w:type="gramEnd"/>
            <w:r w:rsidRPr="00DF3DC1">
              <w:rPr>
                <w:rFonts w:ascii="Arial" w:eastAsia="Arial" w:hAnsi="Arial" w:cs="Arial"/>
                <w:color w:val="000000"/>
                <w:sz w:val="14"/>
              </w:rPr>
              <w:t xml:space="preserve"> s tím souvisejícím vývojem na trhu práce v ČR, který vykazuje jednu z nejnižších nezaměstnaností v EU.</w:t>
            </w:r>
          </w:p>
        </w:tc>
      </w:tr>
      <w:tr w:rsidR="00533CD2" w14:paraId="08CB0918" w14:textId="77777777" w:rsidTr="00D10ED9">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482C3851"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50020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63796167"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Podíl tříletých dětí umístěných v předškolním zařízení</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429A8E6D"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3E56B58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1F7FC6C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77,300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03F990FF"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2013</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183C2BC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90,500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576934E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7A1F958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84,100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28B82F7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82,500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3D00BBF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83,900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6038029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82,100</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FFFFFF"/>
          </w:tcPr>
          <w:p w14:paraId="5FC85177" w14:textId="3AFDC233" w:rsidR="00533CD2" w:rsidRDefault="00386F3A">
            <w:pPr>
              <w:tabs>
                <w:tab w:val="left" w:pos="828"/>
              </w:tabs>
              <w:ind w:left="57" w:right="57"/>
              <w:jc w:val="right"/>
              <w:rPr>
                <w:rFonts w:ascii="Arial" w:eastAsia="Arial" w:hAnsi="Arial" w:cs="Arial"/>
                <w:color w:val="000000"/>
                <w:sz w:val="14"/>
              </w:rPr>
            </w:pPr>
            <w:r w:rsidRPr="00E806C4">
              <w:rPr>
                <w:rFonts w:ascii="Arial" w:eastAsia="Arial" w:hAnsi="Arial" w:cs="Arial"/>
                <w:color w:val="000000"/>
                <w:sz w:val="14"/>
              </w:rPr>
              <w:t>82,7</w:t>
            </w:r>
            <w:r w:rsidR="00D10ED9" w:rsidRPr="00386F3A">
              <w:rPr>
                <w:rFonts w:ascii="Arial" w:eastAsia="Arial" w:hAnsi="Arial" w:cs="Arial"/>
                <w:color w:val="000000"/>
                <w:sz w:val="14"/>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2EA30A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0D5A2CA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576FA0F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707DFFB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2CC7D1DE" w14:textId="340FEDCD" w:rsidR="00533CD2" w:rsidRDefault="00533CD2">
            <w:pPr>
              <w:ind w:left="57" w:right="57"/>
              <w:rPr>
                <w:rFonts w:ascii="Arial" w:eastAsia="Arial" w:hAnsi="Arial" w:cs="Arial"/>
                <w:color w:val="000000"/>
                <w:sz w:val="14"/>
              </w:rPr>
            </w:pPr>
          </w:p>
        </w:tc>
      </w:tr>
      <w:tr w:rsidR="00E806C4" w14:paraId="4FB463D5" w14:textId="77777777" w:rsidTr="00E806C4">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70289038" w14:textId="77777777" w:rsidR="00E976D6" w:rsidRDefault="00E976D6" w:rsidP="00E976D6">
            <w:pPr>
              <w:tabs>
                <w:tab w:val="left" w:pos="828"/>
              </w:tabs>
              <w:ind w:left="57" w:right="57"/>
              <w:rPr>
                <w:rFonts w:ascii="Arial" w:eastAsia="Arial" w:hAnsi="Arial" w:cs="Arial"/>
                <w:color w:val="000000"/>
                <w:sz w:val="14"/>
              </w:rPr>
            </w:pPr>
            <w:r>
              <w:rPr>
                <w:rFonts w:ascii="Arial" w:eastAsia="Arial" w:hAnsi="Arial" w:cs="Arial"/>
                <w:color w:val="000000"/>
                <w:sz w:val="14"/>
              </w:rPr>
              <w:t>50030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5F319E84" w14:textId="77777777" w:rsidR="00E976D6" w:rsidRDefault="00E976D6" w:rsidP="00E976D6">
            <w:pPr>
              <w:tabs>
                <w:tab w:val="left" w:pos="828"/>
              </w:tabs>
              <w:ind w:left="57" w:right="57"/>
              <w:rPr>
                <w:rFonts w:ascii="Arial" w:eastAsia="Arial" w:hAnsi="Arial" w:cs="Arial"/>
                <w:color w:val="000000"/>
                <w:sz w:val="14"/>
              </w:rPr>
            </w:pPr>
            <w:r>
              <w:rPr>
                <w:rFonts w:ascii="Arial" w:eastAsia="Arial" w:hAnsi="Arial" w:cs="Arial"/>
                <w:color w:val="000000"/>
                <w:sz w:val="14"/>
              </w:rPr>
              <w:t>Podíl osob předčasně opouštějících vzdělávací systém</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0D9B16A2" w14:textId="77777777" w:rsidR="00E976D6" w:rsidRDefault="00E976D6" w:rsidP="00E976D6">
            <w:pPr>
              <w:ind w:left="57" w:right="57"/>
              <w:rPr>
                <w:rFonts w:ascii="Arial" w:eastAsia="Arial" w:hAnsi="Arial" w:cs="Arial"/>
                <w:color w:val="000000"/>
                <w:sz w:val="14"/>
              </w:rPr>
            </w:pPr>
            <w:r>
              <w:rPr>
                <w:rFonts w:ascii="Arial" w:eastAsia="Arial" w:hAnsi="Arial" w:cs="Arial"/>
                <w:color w:val="000000"/>
                <w:sz w:val="14"/>
              </w:rPr>
              <w:t>%</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11BFEED1" w14:textId="77777777" w:rsidR="00E976D6" w:rsidRDefault="00E976D6" w:rsidP="00E976D6">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0B39709E"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5,400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35A202B7" w14:textId="77777777" w:rsidR="00E976D6" w:rsidRDefault="00E976D6" w:rsidP="00E976D6">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2014</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234EEB7E"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5,000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25ACFF6A"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78CF59A6" w14:textId="77777777" w:rsidR="00E976D6" w:rsidRDefault="00E976D6" w:rsidP="00E976D6">
            <w:pPr>
              <w:tabs>
                <w:tab w:val="left" w:pos="828"/>
              </w:tabs>
              <w:ind w:left="57" w:right="57"/>
              <w:jc w:val="right"/>
              <w:rPr>
                <w:rFonts w:ascii="Arial" w:eastAsia="Arial" w:hAnsi="Arial" w:cs="Arial"/>
                <w:color w:val="000000"/>
                <w:sz w:val="14"/>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45AF34D5"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5,300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6D8AAF36"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6,800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7C7090AB" w14:textId="3F1B5593"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6,200</w:t>
            </w:r>
          </w:p>
        </w:tc>
        <w:tc>
          <w:tcPr>
            <w:tcW w:w="686" w:type="dxa"/>
            <w:tcBorders>
              <w:top w:val="single" w:sz="4" w:space="0" w:color="000000"/>
              <w:left w:val="single" w:sz="4" w:space="0" w:color="000000"/>
              <w:bottom w:val="single" w:sz="4" w:space="0" w:color="000000"/>
              <w:right w:val="single" w:sz="4" w:space="0" w:color="000000"/>
            </w:tcBorders>
            <w:shd w:val="clear" w:color="auto" w:fill="FFFFFF"/>
          </w:tcPr>
          <w:p w14:paraId="056AD940" w14:textId="6406E24E"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6,200</w:t>
            </w:r>
          </w:p>
        </w:tc>
        <w:tc>
          <w:tcPr>
            <w:tcW w:w="731" w:type="dxa"/>
            <w:gridSpan w:val="2"/>
            <w:tcBorders>
              <w:top w:val="single" w:sz="4" w:space="0" w:color="000000"/>
              <w:left w:val="single" w:sz="4" w:space="0" w:color="000000"/>
              <w:bottom w:val="single" w:sz="4" w:space="0" w:color="000000"/>
              <w:right w:val="single" w:sz="4" w:space="0" w:color="000000"/>
            </w:tcBorders>
            <w:shd w:val="clear" w:color="auto" w:fill="FFFFFF"/>
          </w:tcPr>
          <w:p w14:paraId="6F1D19BB"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4A70FE97"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6BE3B0CF"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1902D9C1"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1D6891F7" w14:textId="457DF9DF" w:rsidR="00E976D6" w:rsidRDefault="00E976D6" w:rsidP="00E976D6">
            <w:pPr>
              <w:ind w:left="57" w:right="57"/>
              <w:rPr>
                <w:rFonts w:ascii="Arial" w:eastAsia="Arial" w:hAnsi="Arial" w:cs="Arial"/>
                <w:color w:val="000000"/>
                <w:sz w:val="14"/>
              </w:rPr>
            </w:pPr>
            <w:r>
              <w:rPr>
                <w:rFonts w:ascii="Arial" w:eastAsia="Arial" w:hAnsi="Arial" w:cs="Arial"/>
                <w:color w:val="000000"/>
                <w:sz w:val="14"/>
              </w:rPr>
              <w:t xml:space="preserve">Po roce 2014 došlo v databázi SFC ke změně metodiky výpočtu statistiky s názvem </w:t>
            </w:r>
            <w:r w:rsidRPr="006A3A6C">
              <w:rPr>
                <w:rFonts w:ascii="Arial" w:eastAsia="Arial" w:hAnsi="Arial" w:cs="Arial"/>
                <w:color w:val="000000"/>
                <w:sz w:val="14"/>
              </w:rPr>
              <w:t>nemployment rates by sex, age and educational attainment level</w:t>
            </w:r>
            <w:r>
              <w:rPr>
                <w:rFonts w:ascii="Arial" w:eastAsia="Arial" w:hAnsi="Arial" w:cs="Arial"/>
                <w:color w:val="000000"/>
                <w:sz w:val="14"/>
              </w:rPr>
              <w:t>,což vedlo ke zvýšení hodnoty 5,3 (vykazováno v SFC v roce 2016) na 6.2, která je v SFC obsažena nyní .. tzn, že hodnoty za rok 2017 a 2018 jsou přibližně o jeden procentní bod vyšší, než podle původních metod výpočtu, podle kterých by se hodnota mohla nyní pohybovat na úrovni 5,2-5,3%.</w:t>
            </w:r>
          </w:p>
        </w:tc>
      </w:tr>
      <w:tr w:rsidR="00E806C4" w14:paraId="0655F098" w14:textId="77777777" w:rsidTr="00E806C4">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5666B792" w14:textId="77777777" w:rsidR="00E976D6" w:rsidRDefault="00E976D6" w:rsidP="00E976D6">
            <w:pPr>
              <w:tabs>
                <w:tab w:val="left" w:pos="828"/>
              </w:tabs>
              <w:ind w:left="57" w:right="57"/>
              <w:rPr>
                <w:rFonts w:ascii="Arial" w:eastAsia="Arial" w:hAnsi="Arial" w:cs="Arial"/>
                <w:color w:val="000000"/>
                <w:sz w:val="14"/>
              </w:rPr>
            </w:pPr>
            <w:r>
              <w:rPr>
                <w:rFonts w:ascii="Arial" w:eastAsia="Arial" w:hAnsi="Arial" w:cs="Arial"/>
                <w:color w:val="000000"/>
                <w:sz w:val="14"/>
              </w:rPr>
              <w:t>55320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3D9D4A09" w14:textId="77777777" w:rsidR="00E976D6" w:rsidRDefault="00E976D6" w:rsidP="00E976D6">
            <w:pPr>
              <w:tabs>
                <w:tab w:val="left" w:pos="828"/>
              </w:tabs>
              <w:ind w:left="57" w:right="57"/>
              <w:rPr>
                <w:rFonts w:ascii="Arial" w:eastAsia="Arial" w:hAnsi="Arial" w:cs="Arial"/>
                <w:color w:val="000000"/>
                <w:sz w:val="14"/>
              </w:rPr>
            </w:pPr>
            <w:r>
              <w:rPr>
                <w:rFonts w:ascii="Arial" w:eastAsia="Arial" w:hAnsi="Arial" w:cs="Arial"/>
                <w:color w:val="000000"/>
                <w:sz w:val="14"/>
              </w:rPr>
              <w:t>Průměrný počet osob využívající sociální bydlení</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562E079F" w14:textId="77777777" w:rsidR="00E976D6" w:rsidRDefault="00E976D6" w:rsidP="00E976D6">
            <w:pPr>
              <w:ind w:left="57" w:right="57"/>
              <w:rPr>
                <w:rFonts w:ascii="Arial" w:eastAsia="Arial" w:hAnsi="Arial" w:cs="Arial"/>
                <w:color w:val="000000"/>
                <w:sz w:val="14"/>
              </w:rPr>
            </w:pPr>
            <w:r>
              <w:rPr>
                <w:rFonts w:ascii="Arial" w:eastAsia="Arial" w:hAnsi="Arial" w:cs="Arial"/>
                <w:color w:val="000000"/>
                <w:sz w:val="14"/>
              </w:rPr>
              <w:t>Osoby/rok</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3EE73C1F" w14:textId="77777777" w:rsidR="00E976D6" w:rsidRDefault="00E976D6" w:rsidP="00E976D6">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47FA578A"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1 388,000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69FD20A6" w14:textId="77777777" w:rsidR="00E976D6" w:rsidRDefault="00E976D6" w:rsidP="00E976D6">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2014</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2EDA6024"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9 634,000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0AA704C5"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446EBC2D" w14:textId="77777777" w:rsidR="00E976D6" w:rsidRDefault="00E976D6" w:rsidP="00E976D6">
            <w:pPr>
              <w:tabs>
                <w:tab w:val="left" w:pos="828"/>
              </w:tabs>
              <w:ind w:left="57" w:right="57"/>
              <w:jc w:val="right"/>
              <w:rPr>
                <w:rFonts w:ascii="Arial" w:eastAsia="Arial" w:hAnsi="Arial" w:cs="Arial"/>
                <w:color w:val="000000"/>
                <w:sz w:val="14"/>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6735F68B" w14:textId="77777777" w:rsidR="00E976D6" w:rsidRDefault="00E976D6" w:rsidP="00E976D6">
            <w:pPr>
              <w:tabs>
                <w:tab w:val="left" w:pos="828"/>
              </w:tabs>
              <w:ind w:left="57" w:right="57"/>
              <w:jc w:val="right"/>
              <w:rPr>
                <w:rFonts w:ascii="Arial" w:eastAsia="Arial" w:hAnsi="Arial" w:cs="Arial"/>
                <w:color w:val="000000"/>
                <w:sz w:val="14"/>
              </w:rPr>
            </w:pP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1C40176D" w14:textId="77777777" w:rsidR="00E976D6" w:rsidRDefault="00E976D6" w:rsidP="00E976D6">
            <w:pPr>
              <w:tabs>
                <w:tab w:val="left" w:pos="828"/>
              </w:tabs>
              <w:ind w:left="57" w:right="57"/>
              <w:jc w:val="right"/>
              <w:rPr>
                <w:rFonts w:ascii="Arial" w:eastAsia="Arial" w:hAnsi="Arial" w:cs="Arial"/>
                <w:color w:val="000000"/>
                <w:sz w:val="14"/>
              </w:rPr>
            </w:pP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61CF7DC6" w14:textId="6222B20E"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18,300</w:t>
            </w:r>
          </w:p>
        </w:tc>
        <w:tc>
          <w:tcPr>
            <w:tcW w:w="686" w:type="dxa"/>
            <w:tcBorders>
              <w:top w:val="single" w:sz="4" w:space="0" w:color="000000"/>
              <w:left w:val="single" w:sz="4" w:space="0" w:color="000000"/>
              <w:bottom w:val="single" w:sz="4" w:space="0" w:color="000000"/>
              <w:right w:val="single" w:sz="4" w:space="0" w:color="000000"/>
            </w:tcBorders>
            <w:shd w:val="clear" w:color="auto" w:fill="FFFFFF"/>
          </w:tcPr>
          <w:p w14:paraId="7018F236" w14:textId="6815A218"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291,030</w:t>
            </w:r>
          </w:p>
        </w:tc>
        <w:tc>
          <w:tcPr>
            <w:tcW w:w="731" w:type="dxa"/>
            <w:gridSpan w:val="2"/>
            <w:tcBorders>
              <w:top w:val="single" w:sz="4" w:space="0" w:color="000000"/>
              <w:left w:val="single" w:sz="4" w:space="0" w:color="000000"/>
              <w:bottom w:val="single" w:sz="4" w:space="0" w:color="000000"/>
              <w:right w:val="single" w:sz="4" w:space="0" w:color="000000"/>
            </w:tcBorders>
            <w:shd w:val="clear" w:color="auto" w:fill="FFFFFF"/>
          </w:tcPr>
          <w:p w14:paraId="0811074B"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10517D86"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214936C7"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10C73382"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450FB314" w14:textId="407587A8" w:rsidR="00E976D6" w:rsidRDefault="00E976D6" w:rsidP="00E976D6">
            <w:pPr>
              <w:ind w:left="57" w:right="57"/>
              <w:rPr>
                <w:rFonts w:ascii="Arial" w:eastAsia="Arial" w:hAnsi="Arial" w:cs="Arial"/>
                <w:color w:val="000000"/>
                <w:sz w:val="14"/>
              </w:rPr>
            </w:pPr>
            <w:r w:rsidRPr="00DF3DC1">
              <w:rPr>
                <w:rFonts w:ascii="Arial" w:eastAsia="Arial" w:hAnsi="Arial" w:cs="Arial"/>
                <w:color w:val="000000"/>
                <w:sz w:val="14"/>
              </w:rPr>
              <w:t>Hodnota je vykazována za první rok po ukončení realiz</w:t>
            </w:r>
            <w:r>
              <w:rPr>
                <w:rFonts w:ascii="Arial" w:eastAsia="Arial" w:hAnsi="Arial" w:cs="Arial"/>
                <w:color w:val="000000"/>
                <w:sz w:val="14"/>
              </w:rPr>
              <w:t>a</w:t>
            </w:r>
            <w:r w:rsidRPr="00DF3DC1">
              <w:rPr>
                <w:rFonts w:ascii="Arial" w:eastAsia="Arial" w:hAnsi="Arial" w:cs="Arial"/>
                <w:color w:val="000000"/>
                <w:sz w:val="14"/>
              </w:rPr>
              <w:t xml:space="preserve">ce projektu, z tohoto důvodu je vykazovaná hodnota součtem ukončených </w:t>
            </w:r>
            <w:r>
              <w:rPr>
                <w:rFonts w:ascii="Arial" w:eastAsia="Arial" w:hAnsi="Arial" w:cs="Arial"/>
                <w:color w:val="000000"/>
                <w:sz w:val="14"/>
              </w:rPr>
              <w:t>do konce roku 2018. Plánované hodnoty ukočených projektů se pohybují na úrovni 1221 osob/rok</w:t>
            </w:r>
          </w:p>
        </w:tc>
      </w:tr>
      <w:tr w:rsidR="00E806C4" w14:paraId="38CA4A2F" w14:textId="77777777" w:rsidTr="00E806C4">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29FBA108" w14:textId="77777777" w:rsidR="00E976D6" w:rsidRDefault="00E976D6" w:rsidP="00E976D6">
            <w:pPr>
              <w:tabs>
                <w:tab w:val="left" w:pos="828"/>
              </w:tabs>
              <w:ind w:left="57" w:right="57"/>
              <w:rPr>
                <w:rFonts w:ascii="Arial" w:eastAsia="Arial" w:hAnsi="Arial" w:cs="Arial"/>
                <w:color w:val="000000"/>
                <w:sz w:val="14"/>
              </w:rPr>
            </w:pPr>
            <w:r>
              <w:rPr>
                <w:rFonts w:ascii="Arial" w:eastAsia="Arial" w:hAnsi="Arial" w:cs="Arial"/>
                <w:color w:val="000000"/>
                <w:sz w:val="14"/>
              </w:rPr>
              <w:t>57410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355D7105" w14:textId="77777777" w:rsidR="00E976D6" w:rsidRDefault="00E976D6" w:rsidP="00E976D6">
            <w:pPr>
              <w:tabs>
                <w:tab w:val="left" w:pos="828"/>
              </w:tabs>
              <w:ind w:left="57" w:right="57"/>
              <w:rPr>
                <w:rFonts w:ascii="Arial" w:eastAsia="Arial" w:hAnsi="Arial" w:cs="Arial"/>
                <w:color w:val="000000"/>
                <w:sz w:val="14"/>
              </w:rPr>
            </w:pPr>
            <w:r>
              <w:rPr>
                <w:rFonts w:ascii="Arial" w:eastAsia="Arial" w:hAnsi="Arial" w:cs="Arial"/>
                <w:color w:val="000000"/>
                <w:sz w:val="14"/>
              </w:rPr>
              <w:t>Průměrná délka hospitalizace v institucích dlouhodobé psychiatrické péče</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5CC5A0BC" w14:textId="77777777" w:rsidR="00E976D6" w:rsidRDefault="00E976D6" w:rsidP="00E976D6">
            <w:pPr>
              <w:ind w:left="57" w:right="57"/>
              <w:rPr>
                <w:rFonts w:ascii="Arial" w:eastAsia="Arial" w:hAnsi="Arial" w:cs="Arial"/>
                <w:color w:val="000000"/>
                <w:sz w:val="14"/>
              </w:rPr>
            </w:pPr>
            <w:r>
              <w:rPr>
                <w:rFonts w:ascii="Arial" w:eastAsia="Arial" w:hAnsi="Arial" w:cs="Arial"/>
                <w:color w:val="000000"/>
                <w:sz w:val="14"/>
              </w:rPr>
              <w:t>Dny</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24B436EC" w14:textId="77777777" w:rsidR="00E976D6" w:rsidRDefault="00E976D6" w:rsidP="00E976D6">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30ABC16B"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115,000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4827FCDD" w14:textId="77777777" w:rsidR="00E976D6" w:rsidRDefault="00E976D6" w:rsidP="00E976D6">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2012</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411C7FB4"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103,000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7D5BF8EC"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4C698273" w14:textId="77777777" w:rsidR="00E976D6" w:rsidRDefault="00E976D6" w:rsidP="00E976D6">
            <w:pPr>
              <w:tabs>
                <w:tab w:val="left" w:pos="828"/>
              </w:tabs>
              <w:ind w:left="57" w:right="57"/>
              <w:jc w:val="right"/>
              <w:rPr>
                <w:rFonts w:ascii="Arial" w:eastAsia="Arial" w:hAnsi="Arial" w:cs="Arial"/>
                <w:color w:val="000000"/>
                <w:sz w:val="14"/>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06BE546A"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98,700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4EB929CB" w14:textId="77777777" w:rsidR="00E976D6" w:rsidRDefault="00E976D6" w:rsidP="00E976D6">
            <w:pPr>
              <w:tabs>
                <w:tab w:val="left" w:pos="828"/>
              </w:tabs>
              <w:ind w:left="57" w:right="57"/>
              <w:jc w:val="right"/>
              <w:rPr>
                <w:rFonts w:ascii="Arial" w:eastAsia="Arial" w:hAnsi="Arial" w:cs="Arial"/>
                <w:color w:val="000000"/>
                <w:sz w:val="14"/>
              </w:rPr>
            </w:pP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30852EEF"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110,300</w:t>
            </w:r>
          </w:p>
        </w:tc>
        <w:tc>
          <w:tcPr>
            <w:tcW w:w="686" w:type="dxa"/>
            <w:tcBorders>
              <w:top w:val="single" w:sz="4" w:space="0" w:color="000000"/>
              <w:left w:val="single" w:sz="4" w:space="0" w:color="000000"/>
              <w:bottom w:val="single" w:sz="4" w:space="0" w:color="000000"/>
              <w:right w:val="single" w:sz="4" w:space="0" w:color="000000"/>
            </w:tcBorders>
            <w:shd w:val="clear" w:color="auto" w:fill="FFFFFF"/>
          </w:tcPr>
          <w:p w14:paraId="006646AB" w14:textId="20F858D9" w:rsidR="00E976D6" w:rsidRDefault="00E976D6" w:rsidP="00E976D6">
            <w:pPr>
              <w:tabs>
                <w:tab w:val="left" w:pos="828"/>
              </w:tabs>
              <w:ind w:left="57" w:right="57"/>
              <w:jc w:val="right"/>
              <w:rPr>
                <w:rFonts w:ascii="Arial" w:eastAsia="Arial" w:hAnsi="Arial" w:cs="Arial"/>
                <w:color w:val="000000"/>
                <w:sz w:val="14"/>
              </w:rPr>
            </w:pPr>
          </w:p>
        </w:tc>
        <w:tc>
          <w:tcPr>
            <w:tcW w:w="731" w:type="dxa"/>
            <w:gridSpan w:val="2"/>
            <w:tcBorders>
              <w:top w:val="single" w:sz="4" w:space="0" w:color="000000"/>
              <w:left w:val="single" w:sz="4" w:space="0" w:color="000000"/>
              <w:bottom w:val="single" w:sz="4" w:space="0" w:color="000000"/>
              <w:right w:val="single" w:sz="4" w:space="0" w:color="000000"/>
            </w:tcBorders>
            <w:shd w:val="clear" w:color="auto" w:fill="FFFFFF"/>
          </w:tcPr>
          <w:p w14:paraId="6EB1B84E"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32F86C4B"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7F5F46F1"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0531999E"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5ADF04DC" w14:textId="1A29CD04" w:rsidR="00E976D6" w:rsidRDefault="00E976D6" w:rsidP="00E976D6">
            <w:pPr>
              <w:ind w:left="57" w:right="57"/>
              <w:rPr>
                <w:rFonts w:ascii="Arial" w:eastAsia="Arial" w:hAnsi="Arial" w:cs="Arial"/>
                <w:color w:val="000000"/>
                <w:sz w:val="14"/>
              </w:rPr>
            </w:pPr>
            <w:r>
              <w:rPr>
                <w:rFonts w:ascii="Arial" w:eastAsia="Arial" w:hAnsi="Arial" w:cs="Arial"/>
                <w:color w:val="000000"/>
                <w:sz w:val="14"/>
              </w:rPr>
              <w:t>Aktualizace hodnoty probíhá ve dvouletých intervalech.</w:t>
            </w:r>
          </w:p>
        </w:tc>
      </w:tr>
      <w:tr w:rsidR="00E806C4" w14:paraId="7D66F24B" w14:textId="77777777" w:rsidTr="00E806C4">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438CB3E2" w14:textId="77777777" w:rsidR="00E976D6" w:rsidRDefault="00E976D6" w:rsidP="00E976D6">
            <w:pPr>
              <w:tabs>
                <w:tab w:val="left" w:pos="828"/>
              </w:tabs>
              <w:ind w:left="57" w:right="57"/>
              <w:rPr>
                <w:rFonts w:ascii="Arial" w:eastAsia="Arial" w:hAnsi="Arial" w:cs="Arial"/>
                <w:color w:val="000000"/>
                <w:sz w:val="14"/>
              </w:rPr>
            </w:pPr>
            <w:r>
              <w:rPr>
                <w:rFonts w:ascii="Arial" w:eastAsia="Arial" w:hAnsi="Arial" w:cs="Arial"/>
                <w:color w:val="000000"/>
                <w:sz w:val="14"/>
              </w:rPr>
              <w:t>57520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07DDB188" w14:textId="77777777" w:rsidR="00E976D6" w:rsidRDefault="00E976D6" w:rsidP="00E976D6">
            <w:pPr>
              <w:tabs>
                <w:tab w:val="left" w:pos="828"/>
              </w:tabs>
              <w:ind w:left="57" w:right="57"/>
              <w:rPr>
                <w:rFonts w:ascii="Arial" w:eastAsia="Arial" w:hAnsi="Arial" w:cs="Arial"/>
                <w:color w:val="000000"/>
                <w:sz w:val="14"/>
              </w:rPr>
            </w:pPr>
            <w:r>
              <w:rPr>
                <w:rFonts w:ascii="Arial" w:eastAsia="Arial" w:hAnsi="Arial" w:cs="Arial"/>
                <w:color w:val="000000"/>
                <w:sz w:val="14"/>
              </w:rPr>
              <w:t>Počet exponovaných území s nedostatečnou připraveností složek IZS</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5EF06C5F" w14:textId="77777777" w:rsidR="00E976D6" w:rsidRDefault="00E976D6" w:rsidP="00E976D6">
            <w:pPr>
              <w:ind w:left="57" w:right="57"/>
              <w:rPr>
                <w:rFonts w:ascii="Arial" w:eastAsia="Arial" w:hAnsi="Arial" w:cs="Arial"/>
                <w:color w:val="000000"/>
                <w:sz w:val="14"/>
              </w:rPr>
            </w:pPr>
            <w:r>
              <w:rPr>
                <w:rFonts w:ascii="Arial" w:eastAsia="Arial" w:hAnsi="Arial" w:cs="Arial"/>
                <w:color w:val="000000"/>
                <w:sz w:val="14"/>
              </w:rPr>
              <w:t>Území</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487A5AAB" w14:textId="77777777" w:rsidR="00E976D6" w:rsidRDefault="00E976D6" w:rsidP="00E976D6">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18F52A04"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108,000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10599168" w14:textId="77777777" w:rsidR="00E976D6" w:rsidRDefault="00E976D6" w:rsidP="00E976D6">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2014</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572BEDDD"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48,000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4B512222"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02974CF2" w14:textId="77777777" w:rsidR="00E976D6" w:rsidRDefault="00E976D6" w:rsidP="00E976D6">
            <w:pPr>
              <w:tabs>
                <w:tab w:val="left" w:pos="828"/>
              </w:tabs>
              <w:ind w:left="57" w:right="57"/>
              <w:jc w:val="right"/>
              <w:rPr>
                <w:rFonts w:ascii="Arial" w:eastAsia="Arial" w:hAnsi="Arial" w:cs="Arial"/>
                <w:color w:val="000000"/>
                <w:sz w:val="14"/>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016F842F"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108,000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2E2EAF42"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108,000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50063995"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107,000</w:t>
            </w:r>
          </w:p>
        </w:tc>
        <w:tc>
          <w:tcPr>
            <w:tcW w:w="686" w:type="dxa"/>
            <w:tcBorders>
              <w:top w:val="single" w:sz="4" w:space="0" w:color="000000"/>
              <w:left w:val="single" w:sz="4" w:space="0" w:color="000000"/>
              <w:bottom w:val="single" w:sz="4" w:space="0" w:color="000000"/>
              <w:right w:val="single" w:sz="4" w:space="0" w:color="000000"/>
            </w:tcBorders>
            <w:shd w:val="clear" w:color="auto" w:fill="FFFFFF"/>
          </w:tcPr>
          <w:p w14:paraId="19DBE22F" w14:textId="72754669" w:rsidR="00E976D6" w:rsidRDefault="00E976D6" w:rsidP="00E976D6">
            <w:pPr>
              <w:tabs>
                <w:tab w:val="left" w:pos="828"/>
              </w:tabs>
              <w:ind w:left="57" w:right="57"/>
              <w:jc w:val="right"/>
              <w:rPr>
                <w:rFonts w:ascii="Arial" w:eastAsia="Arial" w:hAnsi="Arial" w:cs="Arial"/>
                <w:color w:val="000000"/>
                <w:sz w:val="14"/>
              </w:rPr>
            </w:pPr>
          </w:p>
        </w:tc>
        <w:tc>
          <w:tcPr>
            <w:tcW w:w="731" w:type="dxa"/>
            <w:gridSpan w:val="2"/>
            <w:tcBorders>
              <w:top w:val="single" w:sz="4" w:space="0" w:color="000000"/>
              <w:left w:val="single" w:sz="4" w:space="0" w:color="000000"/>
              <w:bottom w:val="single" w:sz="4" w:space="0" w:color="000000"/>
              <w:right w:val="single" w:sz="4" w:space="0" w:color="000000"/>
            </w:tcBorders>
            <w:shd w:val="clear" w:color="auto" w:fill="FFFFFF"/>
          </w:tcPr>
          <w:p w14:paraId="2380E72A"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2330F1AE"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27B45543"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4C37B5E5"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1049E1C5" w14:textId="239D2780" w:rsidR="00E976D6" w:rsidRDefault="00E976D6" w:rsidP="00E976D6">
            <w:pPr>
              <w:ind w:left="57" w:right="57"/>
              <w:rPr>
                <w:rFonts w:ascii="Arial" w:eastAsia="Arial" w:hAnsi="Arial" w:cs="Arial"/>
                <w:color w:val="000000"/>
                <w:sz w:val="14"/>
              </w:rPr>
            </w:pPr>
            <w:r>
              <w:rPr>
                <w:rFonts w:ascii="Arial" w:eastAsia="Arial" w:hAnsi="Arial" w:cs="Arial"/>
                <w:color w:val="000000"/>
                <w:sz w:val="14"/>
              </w:rPr>
              <w:t>ŘO IROP ve splupráci s Ministerstvem vnitra ČR pracuje na další aktualizaci indikátoru 57 520, výsledky výpočtů budou známy v Q3 2020.</w:t>
            </w:r>
          </w:p>
        </w:tc>
      </w:tr>
      <w:tr w:rsidR="00E806C4" w14:paraId="3D83DE4E" w14:textId="77777777" w:rsidTr="00E806C4">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716A1C22" w14:textId="77777777" w:rsidR="00E976D6" w:rsidRDefault="00E976D6" w:rsidP="00E976D6">
            <w:pPr>
              <w:tabs>
                <w:tab w:val="left" w:pos="828"/>
              </w:tabs>
              <w:ind w:left="57" w:right="57"/>
              <w:rPr>
                <w:rFonts w:ascii="Arial" w:eastAsia="Arial" w:hAnsi="Arial" w:cs="Arial"/>
                <w:color w:val="000000"/>
                <w:sz w:val="14"/>
              </w:rPr>
            </w:pPr>
            <w:r>
              <w:rPr>
                <w:rFonts w:ascii="Arial" w:eastAsia="Arial" w:hAnsi="Arial" w:cs="Arial"/>
                <w:color w:val="000000"/>
                <w:sz w:val="14"/>
              </w:rPr>
              <w:t>67510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0EC62BFB" w14:textId="77777777" w:rsidR="00E976D6" w:rsidRDefault="00E976D6" w:rsidP="00E976D6">
            <w:pPr>
              <w:tabs>
                <w:tab w:val="left" w:pos="828"/>
              </w:tabs>
              <w:ind w:left="57" w:right="57"/>
              <w:rPr>
                <w:rFonts w:ascii="Arial" w:eastAsia="Arial" w:hAnsi="Arial" w:cs="Arial"/>
                <w:color w:val="000000"/>
                <w:sz w:val="14"/>
              </w:rPr>
            </w:pPr>
            <w:r>
              <w:rPr>
                <w:rFonts w:ascii="Arial" w:eastAsia="Arial" w:hAnsi="Arial" w:cs="Arial"/>
                <w:color w:val="000000"/>
                <w:sz w:val="14"/>
              </w:rPr>
              <w:t>Kapacita služeb a sociální práce</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6391F7C0" w14:textId="77777777" w:rsidR="00E976D6" w:rsidRDefault="00E976D6" w:rsidP="00E976D6">
            <w:pPr>
              <w:ind w:left="57" w:right="57"/>
              <w:rPr>
                <w:rFonts w:ascii="Arial" w:eastAsia="Arial" w:hAnsi="Arial" w:cs="Arial"/>
                <w:color w:val="000000"/>
                <w:sz w:val="14"/>
              </w:rPr>
            </w:pPr>
            <w:r>
              <w:rPr>
                <w:rFonts w:ascii="Arial" w:eastAsia="Arial" w:hAnsi="Arial" w:cs="Arial"/>
                <w:color w:val="000000"/>
                <w:sz w:val="14"/>
              </w:rPr>
              <w:t>Klienti</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71DA6A19" w14:textId="77777777" w:rsidR="00E976D6" w:rsidRDefault="00E976D6" w:rsidP="00E976D6">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632529C1"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1 121,000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23BFC7E0" w14:textId="77777777" w:rsidR="00E976D6" w:rsidRDefault="00E976D6" w:rsidP="00E976D6">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2014</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0F63B265"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7 270,000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7EBF943F"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16A720A3" w14:textId="77777777" w:rsidR="00E976D6" w:rsidRDefault="00E976D6" w:rsidP="00E976D6">
            <w:pPr>
              <w:tabs>
                <w:tab w:val="left" w:pos="828"/>
              </w:tabs>
              <w:ind w:left="57" w:right="57"/>
              <w:jc w:val="right"/>
              <w:rPr>
                <w:rFonts w:ascii="Arial" w:eastAsia="Arial" w:hAnsi="Arial" w:cs="Arial"/>
                <w:color w:val="000000"/>
                <w:sz w:val="14"/>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249BC87C" w14:textId="77777777" w:rsidR="00E976D6" w:rsidRDefault="00E976D6" w:rsidP="00E976D6">
            <w:pPr>
              <w:tabs>
                <w:tab w:val="left" w:pos="828"/>
              </w:tabs>
              <w:ind w:left="57" w:right="57"/>
              <w:jc w:val="right"/>
              <w:rPr>
                <w:rFonts w:ascii="Arial" w:eastAsia="Arial" w:hAnsi="Arial" w:cs="Arial"/>
                <w:color w:val="000000"/>
                <w:sz w:val="14"/>
              </w:rPr>
            </w:pP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07670A87"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217,000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170B897A"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3 289,000</w:t>
            </w:r>
          </w:p>
        </w:tc>
        <w:tc>
          <w:tcPr>
            <w:tcW w:w="686" w:type="dxa"/>
            <w:tcBorders>
              <w:top w:val="single" w:sz="4" w:space="0" w:color="000000"/>
              <w:left w:val="single" w:sz="4" w:space="0" w:color="000000"/>
              <w:bottom w:val="single" w:sz="4" w:space="0" w:color="000000"/>
              <w:right w:val="single" w:sz="4" w:space="0" w:color="000000"/>
            </w:tcBorders>
            <w:shd w:val="clear" w:color="auto" w:fill="FFFFFF"/>
          </w:tcPr>
          <w:p w14:paraId="30A5DC25" w14:textId="181B1239"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8 484, 000</w:t>
            </w:r>
          </w:p>
        </w:tc>
        <w:tc>
          <w:tcPr>
            <w:tcW w:w="731" w:type="dxa"/>
            <w:gridSpan w:val="2"/>
            <w:tcBorders>
              <w:top w:val="single" w:sz="4" w:space="0" w:color="000000"/>
              <w:left w:val="single" w:sz="4" w:space="0" w:color="000000"/>
              <w:bottom w:val="single" w:sz="4" w:space="0" w:color="000000"/>
              <w:right w:val="single" w:sz="4" w:space="0" w:color="000000"/>
            </w:tcBorders>
            <w:shd w:val="clear" w:color="auto" w:fill="FFFFFF"/>
          </w:tcPr>
          <w:p w14:paraId="65FB5493"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75E88323"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73FBB997"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1B0BDB01"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30DD86A9" w14:textId="77777777" w:rsidR="00E976D6" w:rsidRDefault="00E976D6" w:rsidP="00E976D6">
            <w:pPr>
              <w:ind w:left="57" w:right="57"/>
              <w:rPr>
                <w:rFonts w:ascii="Arial" w:eastAsia="Arial" w:hAnsi="Arial" w:cs="Arial"/>
                <w:color w:val="000000"/>
                <w:sz w:val="14"/>
              </w:rPr>
            </w:pPr>
          </w:p>
        </w:tc>
      </w:tr>
      <w:tr w:rsidR="00A664FB" w14:paraId="0DBD904A" w14:textId="77777777" w:rsidTr="00E806C4">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06F4392C" w14:textId="77777777" w:rsidR="00A664FB" w:rsidRDefault="00A664FB" w:rsidP="00A664FB">
            <w:pPr>
              <w:tabs>
                <w:tab w:val="left" w:pos="828"/>
              </w:tabs>
              <w:ind w:left="57" w:right="57"/>
              <w:rPr>
                <w:rFonts w:ascii="Arial" w:eastAsia="Arial" w:hAnsi="Arial" w:cs="Arial"/>
                <w:color w:val="000000"/>
                <w:sz w:val="14"/>
              </w:rPr>
            </w:pPr>
            <w:r>
              <w:rPr>
                <w:rFonts w:ascii="Arial" w:eastAsia="Arial" w:hAnsi="Arial" w:cs="Arial"/>
                <w:color w:val="000000"/>
                <w:sz w:val="14"/>
              </w:rPr>
              <w:t>75120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6241F080" w14:textId="77777777" w:rsidR="00A664FB" w:rsidRDefault="00A664FB" w:rsidP="00A664FB">
            <w:pPr>
              <w:tabs>
                <w:tab w:val="left" w:pos="828"/>
              </w:tabs>
              <w:ind w:left="57" w:right="57"/>
              <w:rPr>
                <w:rFonts w:ascii="Arial" w:eastAsia="Arial" w:hAnsi="Arial" w:cs="Arial"/>
                <w:color w:val="000000"/>
                <w:sz w:val="14"/>
              </w:rPr>
            </w:pPr>
            <w:r>
              <w:rPr>
                <w:rFonts w:ascii="Arial" w:eastAsia="Arial" w:hAnsi="Arial" w:cs="Arial"/>
                <w:color w:val="000000"/>
                <w:sz w:val="14"/>
              </w:rPr>
              <w:t>Podíl veřejné osobní dopravy na celkových výkonech v osobní dopravě</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16B43C17" w14:textId="77777777" w:rsidR="00A664FB" w:rsidRDefault="00A664FB" w:rsidP="00A664FB">
            <w:pPr>
              <w:ind w:left="57" w:right="57"/>
              <w:rPr>
                <w:rFonts w:ascii="Arial" w:eastAsia="Arial" w:hAnsi="Arial" w:cs="Arial"/>
                <w:color w:val="000000"/>
                <w:sz w:val="14"/>
              </w:rPr>
            </w:pPr>
            <w:r>
              <w:rPr>
                <w:rFonts w:ascii="Arial" w:eastAsia="Arial" w:hAnsi="Arial" w:cs="Arial"/>
                <w:color w:val="000000"/>
                <w:sz w:val="14"/>
              </w:rPr>
              <w:t>%</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1B71ECD0" w14:textId="77777777" w:rsidR="00A664FB" w:rsidRDefault="00A664FB" w:rsidP="00A664FB">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7C96B2B6"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30,000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3C52F770" w14:textId="77777777" w:rsidR="00A664FB" w:rsidRDefault="00A664FB" w:rsidP="00A664FB">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2011</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55EB5F53"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35,000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41B4D29C"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5100943F" w14:textId="77777777" w:rsidR="00A664FB" w:rsidRDefault="00A664FB" w:rsidP="00A664FB">
            <w:pPr>
              <w:tabs>
                <w:tab w:val="left" w:pos="828"/>
              </w:tabs>
              <w:ind w:left="57" w:right="57"/>
              <w:jc w:val="right"/>
              <w:rPr>
                <w:rFonts w:ascii="Arial" w:eastAsia="Arial" w:hAnsi="Arial" w:cs="Arial"/>
                <w:color w:val="000000"/>
                <w:sz w:val="14"/>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1E440C1B"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30,700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33912BC5"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30,700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6348F4BD"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31,000</w:t>
            </w:r>
          </w:p>
        </w:tc>
        <w:tc>
          <w:tcPr>
            <w:tcW w:w="686" w:type="dxa"/>
            <w:tcBorders>
              <w:top w:val="single" w:sz="4" w:space="0" w:color="000000"/>
              <w:left w:val="single" w:sz="4" w:space="0" w:color="000000"/>
              <w:bottom w:val="single" w:sz="4" w:space="0" w:color="000000"/>
              <w:right w:val="single" w:sz="4" w:space="0" w:color="000000"/>
            </w:tcBorders>
            <w:shd w:val="clear" w:color="auto" w:fill="FFFFFF"/>
          </w:tcPr>
          <w:p w14:paraId="00E1DE24" w14:textId="724530D4"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30,100</w:t>
            </w:r>
          </w:p>
        </w:tc>
        <w:tc>
          <w:tcPr>
            <w:tcW w:w="731" w:type="dxa"/>
            <w:gridSpan w:val="2"/>
            <w:tcBorders>
              <w:top w:val="single" w:sz="4" w:space="0" w:color="000000"/>
              <w:left w:val="single" w:sz="4" w:space="0" w:color="000000"/>
              <w:bottom w:val="single" w:sz="4" w:space="0" w:color="000000"/>
              <w:right w:val="single" w:sz="4" w:space="0" w:color="000000"/>
            </w:tcBorders>
            <w:shd w:val="clear" w:color="auto" w:fill="FFFFFF"/>
          </w:tcPr>
          <w:p w14:paraId="7413B8A2"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339F097A"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773B5E9D"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3BA9B04F"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77DDA987" w14:textId="21C2B559" w:rsidR="00A664FB" w:rsidRDefault="00A664FB" w:rsidP="00A664FB">
            <w:pPr>
              <w:ind w:left="57" w:right="57"/>
              <w:rPr>
                <w:rFonts w:ascii="Arial" w:eastAsia="Arial" w:hAnsi="Arial" w:cs="Arial"/>
                <w:color w:val="000000"/>
                <w:sz w:val="14"/>
              </w:rPr>
            </w:pPr>
            <w:r w:rsidRPr="00AF551B">
              <w:rPr>
                <w:rFonts w:ascii="Arial" w:eastAsia="Arial" w:hAnsi="Arial" w:cs="Arial"/>
                <w:color w:val="000000"/>
                <w:sz w:val="14"/>
              </w:rPr>
              <w:t>I přes absolutní nárůst celkového počtu osobokilometrů došlo k poklesu podílu veřejné dopravy a to zejména s ohledem na fakt, že růst osobní individuální dopravy rostl ještě vyšším tempem, což je způsobeno stále nedostatečně rozvinutou sítí koridorů železniční přepravy, která je je v současnosti plně vytížena. Sekundárním důvodem je z změna v typu poptávky – počet cestujících v hromadné dopravě roste rychleji než objem osobokilometrů, cestující tedy pravděpodobně více využívají hromadné dopravy na kratší vzdálenosti.</w:t>
            </w:r>
          </w:p>
        </w:tc>
      </w:tr>
      <w:tr w:rsidR="00A664FB" w:rsidRPr="001E3EC2" w14:paraId="2C81F66D" w14:textId="77777777" w:rsidTr="00E806C4">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3C551E41" w14:textId="77777777" w:rsidR="00A664FB" w:rsidRDefault="00A664FB" w:rsidP="00A664FB">
            <w:pPr>
              <w:tabs>
                <w:tab w:val="left" w:pos="828"/>
              </w:tabs>
              <w:ind w:left="57" w:right="57"/>
              <w:rPr>
                <w:rFonts w:ascii="Arial" w:eastAsia="Arial" w:hAnsi="Arial" w:cs="Arial"/>
                <w:color w:val="000000"/>
                <w:sz w:val="14"/>
              </w:rPr>
            </w:pPr>
            <w:r>
              <w:rPr>
                <w:rFonts w:ascii="Arial" w:eastAsia="Arial" w:hAnsi="Arial" w:cs="Arial"/>
                <w:color w:val="000000"/>
                <w:sz w:val="14"/>
              </w:rPr>
              <w:t>76310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2876865F" w14:textId="77777777" w:rsidR="00A664FB" w:rsidRDefault="00A664FB" w:rsidP="00A664FB">
            <w:pPr>
              <w:tabs>
                <w:tab w:val="left" w:pos="828"/>
              </w:tabs>
              <w:ind w:left="57" w:right="57"/>
              <w:rPr>
                <w:rFonts w:ascii="Arial" w:eastAsia="Arial" w:hAnsi="Arial" w:cs="Arial"/>
                <w:color w:val="000000"/>
                <w:sz w:val="14"/>
              </w:rPr>
            </w:pPr>
            <w:r>
              <w:rPr>
                <w:rFonts w:ascii="Arial" w:eastAsia="Arial" w:hAnsi="Arial" w:cs="Arial"/>
                <w:color w:val="000000"/>
                <w:sz w:val="14"/>
              </w:rPr>
              <w:t>Podíl cyklistiky na přepravních výkonech</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660DAD6C" w14:textId="77777777" w:rsidR="00A664FB" w:rsidRDefault="00A664FB" w:rsidP="00A664FB">
            <w:pPr>
              <w:ind w:left="57" w:right="57"/>
              <w:rPr>
                <w:rFonts w:ascii="Arial" w:eastAsia="Arial" w:hAnsi="Arial" w:cs="Arial"/>
                <w:color w:val="000000"/>
                <w:sz w:val="14"/>
              </w:rPr>
            </w:pPr>
            <w:r>
              <w:rPr>
                <w:rFonts w:ascii="Arial" w:eastAsia="Arial" w:hAnsi="Arial" w:cs="Arial"/>
                <w:color w:val="000000"/>
                <w:sz w:val="14"/>
              </w:rPr>
              <w:t>%</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35C2E9F1" w14:textId="77777777" w:rsidR="00A664FB" w:rsidRDefault="00A664FB" w:rsidP="00A664FB">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11959700"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7,000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32CE8350" w14:textId="77777777" w:rsidR="00A664FB" w:rsidRDefault="00A664FB" w:rsidP="00A664FB">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2011</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37906343"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10,000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393CDAF4"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6EA8A5C5" w14:textId="77777777" w:rsidR="00A664FB" w:rsidRDefault="00A664FB" w:rsidP="00A664FB">
            <w:pPr>
              <w:tabs>
                <w:tab w:val="left" w:pos="828"/>
              </w:tabs>
              <w:ind w:left="57" w:right="57"/>
              <w:jc w:val="right"/>
              <w:rPr>
                <w:rFonts w:ascii="Arial" w:eastAsia="Arial" w:hAnsi="Arial" w:cs="Arial"/>
                <w:color w:val="000000"/>
                <w:sz w:val="14"/>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56EC5C51" w14:textId="77777777" w:rsidR="00A664FB" w:rsidRDefault="00A664FB" w:rsidP="00A664FB">
            <w:pPr>
              <w:tabs>
                <w:tab w:val="left" w:pos="828"/>
              </w:tabs>
              <w:ind w:left="57" w:right="57"/>
              <w:jc w:val="right"/>
              <w:rPr>
                <w:rFonts w:ascii="Arial" w:eastAsia="Arial" w:hAnsi="Arial" w:cs="Arial"/>
                <w:color w:val="000000"/>
                <w:sz w:val="14"/>
              </w:rPr>
            </w:pP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449E830A" w14:textId="77777777" w:rsidR="00A664FB" w:rsidRDefault="00A664FB" w:rsidP="00A664FB">
            <w:pPr>
              <w:tabs>
                <w:tab w:val="left" w:pos="828"/>
              </w:tabs>
              <w:ind w:left="57" w:right="57"/>
              <w:jc w:val="right"/>
              <w:rPr>
                <w:rFonts w:ascii="Arial" w:eastAsia="Arial" w:hAnsi="Arial" w:cs="Arial"/>
                <w:color w:val="000000"/>
                <w:sz w:val="14"/>
              </w:rPr>
            </w:pP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1015FAE4" w14:textId="77777777" w:rsidR="00A664FB" w:rsidRDefault="00A664FB" w:rsidP="00A664FB">
            <w:pPr>
              <w:tabs>
                <w:tab w:val="left" w:pos="828"/>
              </w:tabs>
              <w:ind w:left="57" w:right="57"/>
              <w:jc w:val="right"/>
              <w:rPr>
                <w:rFonts w:ascii="Arial" w:eastAsia="Arial" w:hAnsi="Arial" w:cs="Arial"/>
                <w:color w:val="000000"/>
                <w:sz w:val="14"/>
              </w:rPr>
            </w:pPr>
          </w:p>
        </w:tc>
        <w:tc>
          <w:tcPr>
            <w:tcW w:w="686" w:type="dxa"/>
            <w:tcBorders>
              <w:top w:val="single" w:sz="4" w:space="0" w:color="000000"/>
              <w:left w:val="single" w:sz="4" w:space="0" w:color="000000"/>
              <w:bottom w:val="single" w:sz="4" w:space="0" w:color="000000"/>
              <w:right w:val="single" w:sz="4" w:space="0" w:color="000000"/>
            </w:tcBorders>
            <w:shd w:val="clear" w:color="auto" w:fill="FFFFFF"/>
          </w:tcPr>
          <w:p w14:paraId="3646B1A7" w14:textId="4236E487" w:rsidR="00A664FB" w:rsidRDefault="00A664FB" w:rsidP="00A664FB">
            <w:pPr>
              <w:tabs>
                <w:tab w:val="left" w:pos="828"/>
              </w:tabs>
              <w:ind w:left="57" w:right="57"/>
              <w:jc w:val="right"/>
              <w:rPr>
                <w:rFonts w:ascii="Arial" w:eastAsia="Arial" w:hAnsi="Arial" w:cs="Arial"/>
                <w:color w:val="000000"/>
                <w:sz w:val="14"/>
              </w:rPr>
            </w:pPr>
          </w:p>
        </w:tc>
        <w:tc>
          <w:tcPr>
            <w:tcW w:w="731" w:type="dxa"/>
            <w:gridSpan w:val="2"/>
            <w:tcBorders>
              <w:top w:val="single" w:sz="4" w:space="0" w:color="000000"/>
              <w:left w:val="single" w:sz="4" w:space="0" w:color="000000"/>
              <w:bottom w:val="single" w:sz="4" w:space="0" w:color="000000"/>
              <w:right w:val="single" w:sz="4" w:space="0" w:color="000000"/>
            </w:tcBorders>
            <w:shd w:val="clear" w:color="auto" w:fill="FFFFFF"/>
          </w:tcPr>
          <w:p w14:paraId="511A2FAE"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74A40225"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52F340C6"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5908C52B"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4080E946" w14:textId="78ED5093" w:rsidR="00A664FB" w:rsidRPr="00060E61" w:rsidRDefault="00A664FB" w:rsidP="00A664FB">
            <w:pPr>
              <w:ind w:left="57" w:right="57"/>
              <w:rPr>
                <w:rFonts w:ascii="Arial" w:eastAsia="Arial" w:hAnsi="Arial" w:cs="Arial"/>
                <w:color w:val="000000"/>
                <w:sz w:val="14"/>
                <w:lang w:val="cs-CZ"/>
              </w:rPr>
            </w:pPr>
            <w:r w:rsidRPr="00AE7DE5">
              <w:rPr>
                <w:rFonts w:ascii="Arial" w:eastAsia="Arial" w:hAnsi="Arial" w:cs="Arial"/>
                <w:color w:val="000000"/>
                <w:sz w:val="14"/>
                <w:lang w:val="cs-CZ"/>
              </w:rPr>
              <w:t xml:space="preserve">Hodnota vychází ze sčítání, které nebylo oproti původním plánům periodicky opakováno. ŘO jedná s věcným garantem o náhradním zdroji hodnot. V roce 2018 byla realizována evaluace Indikátorů IROP a vyhodnocení informačních zdrojů a datové báze, která ovšem oproti předpokladům nedokázala doporučit nový datový zdroj. Z tohoto důvodu se ŘO rozhodl </w:t>
            </w:r>
            <w:proofErr w:type="gramStart"/>
            <w:r>
              <w:rPr>
                <w:rFonts w:ascii="Arial" w:eastAsia="Arial" w:hAnsi="Arial" w:cs="Arial"/>
                <w:color w:val="000000"/>
                <w:sz w:val="14"/>
                <w:lang w:val="cs-CZ"/>
              </w:rPr>
              <w:t>ve</w:t>
            </w:r>
            <w:proofErr w:type="gramEnd"/>
            <w:r>
              <w:rPr>
                <w:rFonts w:ascii="Arial" w:eastAsia="Arial" w:hAnsi="Arial" w:cs="Arial"/>
                <w:color w:val="000000"/>
                <w:sz w:val="14"/>
                <w:lang w:val="cs-CZ"/>
              </w:rPr>
              <w:t xml:space="preserve"> revizi 6.0  PD </w:t>
            </w:r>
            <w:r w:rsidRPr="00AE7DE5">
              <w:rPr>
                <w:rFonts w:ascii="Arial" w:eastAsia="Arial" w:hAnsi="Arial" w:cs="Arial"/>
                <w:color w:val="000000"/>
                <w:sz w:val="14"/>
                <w:lang w:val="cs-CZ"/>
              </w:rPr>
              <w:t>indi</w:t>
            </w:r>
            <w:r>
              <w:rPr>
                <w:rFonts w:ascii="Arial" w:eastAsia="Arial" w:hAnsi="Arial" w:cs="Arial"/>
                <w:color w:val="000000"/>
                <w:sz w:val="14"/>
                <w:lang w:val="cs-CZ"/>
              </w:rPr>
              <w:t>kátor vyřadit.</w:t>
            </w:r>
          </w:p>
        </w:tc>
      </w:tr>
      <w:tr w:rsidR="00A664FB" w14:paraId="58FBE98C" w14:textId="77777777" w:rsidTr="00E806C4">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10D77ED4" w14:textId="77777777" w:rsidR="00A664FB" w:rsidRDefault="00A664FB" w:rsidP="00A664FB">
            <w:pPr>
              <w:tabs>
                <w:tab w:val="left" w:pos="828"/>
              </w:tabs>
              <w:ind w:left="57" w:right="57"/>
              <w:rPr>
                <w:rFonts w:ascii="Arial" w:eastAsia="Arial" w:hAnsi="Arial" w:cs="Arial"/>
                <w:color w:val="000000"/>
                <w:sz w:val="14"/>
              </w:rPr>
            </w:pPr>
            <w:r>
              <w:rPr>
                <w:rFonts w:ascii="Arial" w:eastAsia="Arial" w:hAnsi="Arial" w:cs="Arial"/>
                <w:color w:val="000000"/>
                <w:sz w:val="14"/>
              </w:rPr>
              <w:t>80210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36294C94" w14:textId="77777777" w:rsidR="00A664FB" w:rsidRDefault="00A664FB" w:rsidP="00A664FB">
            <w:pPr>
              <w:tabs>
                <w:tab w:val="left" w:pos="828"/>
              </w:tabs>
              <w:ind w:left="57" w:right="57"/>
              <w:rPr>
                <w:rFonts w:ascii="Arial" w:eastAsia="Arial" w:hAnsi="Arial" w:cs="Arial"/>
                <w:color w:val="000000"/>
                <w:sz w:val="14"/>
              </w:rPr>
            </w:pPr>
            <w:r>
              <w:rPr>
                <w:rFonts w:ascii="Arial" w:eastAsia="Arial" w:hAnsi="Arial" w:cs="Arial"/>
                <w:color w:val="000000"/>
                <w:sz w:val="14"/>
              </w:rPr>
              <w:t>Míra úspěšnosti projektových žádostí</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696BA121" w14:textId="77777777" w:rsidR="00A664FB" w:rsidRDefault="00A664FB" w:rsidP="00A664FB">
            <w:pPr>
              <w:ind w:left="57" w:right="57"/>
              <w:rPr>
                <w:rFonts w:ascii="Arial" w:eastAsia="Arial" w:hAnsi="Arial" w:cs="Arial"/>
                <w:color w:val="000000"/>
                <w:sz w:val="14"/>
              </w:rPr>
            </w:pPr>
            <w:r>
              <w:rPr>
                <w:rFonts w:ascii="Arial" w:eastAsia="Arial" w:hAnsi="Arial" w:cs="Arial"/>
                <w:color w:val="000000"/>
                <w:sz w:val="14"/>
              </w:rPr>
              <w:t>%</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6111673F" w14:textId="77777777" w:rsidR="00A664FB" w:rsidRDefault="00A664FB" w:rsidP="00A664FB">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73B2CA2E"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73,000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2D032EF0" w14:textId="77777777" w:rsidR="00A664FB" w:rsidRDefault="00A664FB" w:rsidP="00A664FB">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2015</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6E2C7A23"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75,000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3B567F76"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00649754"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94,000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2E0E339B"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79,000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71DE7CBA"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72,000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7F63D55E"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80,000</w:t>
            </w:r>
          </w:p>
        </w:tc>
        <w:tc>
          <w:tcPr>
            <w:tcW w:w="686" w:type="dxa"/>
            <w:tcBorders>
              <w:top w:val="single" w:sz="4" w:space="0" w:color="000000"/>
              <w:left w:val="single" w:sz="4" w:space="0" w:color="000000"/>
              <w:bottom w:val="single" w:sz="4" w:space="0" w:color="000000"/>
              <w:right w:val="single" w:sz="4" w:space="0" w:color="000000"/>
            </w:tcBorders>
            <w:shd w:val="clear" w:color="auto" w:fill="FFFFFF"/>
          </w:tcPr>
          <w:p w14:paraId="33FD6345" w14:textId="636F1FF0"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82,000</w:t>
            </w:r>
          </w:p>
        </w:tc>
        <w:tc>
          <w:tcPr>
            <w:tcW w:w="731" w:type="dxa"/>
            <w:gridSpan w:val="2"/>
            <w:tcBorders>
              <w:top w:val="single" w:sz="4" w:space="0" w:color="000000"/>
              <w:left w:val="single" w:sz="4" w:space="0" w:color="000000"/>
              <w:bottom w:val="single" w:sz="4" w:space="0" w:color="000000"/>
              <w:right w:val="single" w:sz="4" w:space="0" w:color="000000"/>
            </w:tcBorders>
            <w:shd w:val="clear" w:color="auto" w:fill="FFFFFF"/>
          </w:tcPr>
          <w:p w14:paraId="1AD62C1B"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2566B9B6"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70EF53E8"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2872CE7D"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576857C4" w14:textId="77777777" w:rsidR="00A664FB" w:rsidRDefault="00A664FB" w:rsidP="00A664FB">
            <w:pPr>
              <w:ind w:left="57" w:right="57"/>
              <w:rPr>
                <w:rFonts w:ascii="Arial" w:eastAsia="Arial" w:hAnsi="Arial" w:cs="Arial"/>
                <w:color w:val="000000"/>
                <w:sz w:val="14"/>
              </w:rPr>
            </w:pPr>
          </w:p>
        </w:tc>
      </w:tr>
      <w:tr w:rsidR="00A664FB" w14:paraId="0B7BADC9" w14:textId="77777777" w:rsidTr="00E806C4">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533B768D" w14:textId="77777777" w:rsidR="00A664FB" w:rsidRDefault="00A664FB" w:rsidP="00A664FB">
            <w:pPr>
              <w:tabs>
                <w:tab w:val="left" w:pos="828"/>
              </w:tabs>
              <w:ind w:left="57" w:right="57"/>
              <w:rPr>
                <w:rFonts w:ascii="Arial" w:eastAsia="Arial" w:hAnsi="Arial" w:cs="Arial"/>
                <w:color w:val="000000"/>
                <w:sz w:val="14"/>
              </w:rPr>
            </w:pPr>
            <w:r>
              <w:rPr>
                <w:rFonts w:ascii="Arial" w:eastAsia="Arial" w:hAnsi="Arial" w:cs="Arial"/>
                <w:color w:val="000000"/>
                <w:sz w:val="14"/>
              </w:rPr>
              <w:t>90210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2B3FDF22" w14:textId="77777777" w:rsidR="00A664FB" w:rsidRDefault="00A664FB" w:rsidP="00A664FB">
            <w:pPr>
              <w:tabs>
                <w:tab w:val="left" w:pos="828"/>
              </w:tabs>
              <w:ind w:left="57" w:right="57"/>
              <w:rPr>
                <w:rFonts w:ascii="Arial" w:eastAsia="Arial" w:hAnsi="Arial" w:cs="Arial"/>
                <w:color w:val="000000"/>
                <w:sz w:val="14"/>
              </w:rPr>
            </w:pPr>
            <w:r>
              <w:rPr>
                <w:rFonts w:ascii="Arial" w:eastAsia="Arial" w:hAnsi="Arial" w:cs="Arial"/>
                <w:color w:val="000000"/>
                <w:sz w:val="14"/>
              </w:rPr>
              <w:t>Plocha území pokrytá územním plánem, regulačním plánem a územní studií</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4C5FE202" w14:textId="77777777" w:rsidR="00A664FB" w:rsidRDefault="00A664FB" w:rsidP="00A664FB">
            <w:pPr>
              <w:ind w:left="57" w:right="57"/>
              <w:rPr>
                <w:rFonts w:ascii="Arial" w:eastAsia="Arial" w:hAnsi="Arial" w:cs="Arial"/>
                <w:color w:val="000000"/>
                <w:sz w:val="14"/>
              </w:rPr>
            </w:pPr>
            <w:r>
              <w:rPr>
                <w:rFonts w:ascii="Arial" w:eastAsia="Arial" w:hAnsi="Arial" w:cs="Arial"/>
                <w:color w:val="000000"/>
                <w:sz w:val="14"/>
              </w:rPr>
              <w:t>km2</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156E4B95" w14:textId="77777777" w:rsidR="00A664FB" w:rsidRDefault="00A664FB" w:rsidP="00A664FB">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43565956"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26 793,000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62AE19A6" w14:textId="77777777" w:rsidR="00A664FB" w:rsidRDefault="00A664FB" w:rsidP="00A664FB">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2014</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4C1AD43D"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45 493,000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3C4D0752"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721EA27D" w14:textId="77777777" w:rsidR="00A664FB" w:rsidRDefault="00A664FB" w:rsidP="00A664FB">
            <w:pPr>
              <w:tabs>
                <w:tab w:val="left" w:pos="828"/>
              </w:tabs>
              <w:ind w:left="57" w:right="57"/>
              <w:jc w:val="right"/>
              <w:rPr>
                <w:rFonts w:ascii="Arial" w:eastAsia="Arial" w:hAnsi="Arial" w:cs="Arial"/>
                <w:color w:val="000000"/>
                <w:sz w:val="14"/>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1C4C7D1D" w14:textId="77777777" w:rsidR="00A664FB" w:rsidRDefault="00A664FB" w:rsidP="00A664FB">
            <w:pPr>
              <w:tabs>
                <w:tab w:val="left" w:pos="828"/>
              </w:tabs>
              <w:ind w:left="57" w:right="57"/>
              <w:jc w:val="right"/>
              <w:rPr>
                <w:rFonts w:ascii="Arial" w:eastAsia="Arial" w:hAnsi="Arial" w:cs="Arial"/>
                <w:color w:val="000000"/>
                <w:sz w:val="14"/>
              </w:rPr>
            </w:pP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3D6883FF" w14:textId="77777777" w:rsidR="00A664FB" w:rsidRDefault="00A664FB" w:rsidP="00A664FB">
            <w:pPr>
              <w:tabs>
                <w:tab w:val="left" w:pos="828"/>
              </w:tabs>
              <w:ind w:left="57" w:right="57"/>
              <w:jc w:val="right"/>
              <w:rPr>
                <w:rFonts w:ascii="Arial" w:eastAsia="Arial" w:hAnsi="Arial" w:cs="Arial"/>
                <w:color w:val="000000"/>
                <w:sz w:val="14"/>
              </w:rPr>
            </w:pP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6D9CABE5"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30 873,000</w:t>
            </w:r>
          </w:p>
        </w:tc>
        <w:tc>
          <w:tcPr>
            <w:tcW w:w="686" w:type="dxa"/>
            <w:tcBorders>
              <w:top w:val="single" w:sz="4" w:space="0" w:color="000000"/>
              <w:left w:val="single" w:sz="4" w:space="0" w:color="000000"/>
              <w:bottom w:val="single" w:sz="4" w:space="0" w:color="000000"/>
              <w:right w:val="single" w:sz="4" w:space="0" w:color="000000"/>
            </w:tcBorders>
            <w:shd w:val="clear" w:color="auto" w:fill="FFFFFF"/>
          </w:tcPr>
          <w:p w14:paraId="2E7B5D5D" w14:textId="39291BD2"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41 932,000</w:t>
            </w:r>
          </w:p>
        </w:tc>
        <w:tc>
          <w:tcPr>
            <w:tcW w:w="731" w:type="dxa"/>
            <w:gridSpan w:val="2"/>
            <w:tcBorders>
              <w:top w:val="single" w:sz="4" w:space="0" w:color="000000"/>
              <w:left w:val="single" w:sz="4" w:space="0" w:color="000000"/>
              <w:bottom w:val="single" w:sz="4" w:space="0" w:color="000000"/>
              <w:right w:val="single" w:sz="4" w:space="0" w:color="000000"/>
            </w:tcBorders>
            <w:shd w:val="clear" w:color="auto" w:fill="FFFFFF"/>
          </w:tcPr>
          <w:p w14:paraId="4DB98549"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613B2CD1"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36332BF6"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642A54A1"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46FDA3A4" w14:textId="77777777" w:rsidR="00A664FB" w:rsidRDefault="00A664FB" w:rsidP="00A664FB">
            <w:pPr>
              <w:ind w:left="57" w:right="57"/>
              <w:rPr>
                <w:rFonts w:ascii="Arial" w:eastAsia="Arial" w:hAnsi="Arial" w:cs="Arial"/>
                <w:color w:val="000000"/>
                <w:sz w:val="14"/>
              </w:rPr>
            </w:pPr>
          </w:p>
        </w:tc>
      </w:tr>
      <w:tr w:rsidR="00A664FB" w14:paraId="0FA42228" w14:textId="77777777" w:rsidTr="00E806C4">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22C6BE61" w14:textId="77777777" w:rsidR="00A664FB" w:rsidRDefault="00A664FB" w:rsidP="00A664FB">
            <w:pPr>
              <w:tabs>
                <w:tab w:val="left" w:pos="828"/>
              </w:tabs>
              <w:ind w:left="57" w:right="57"/>
              <w:rPr>
                <w:rFonts w:ascii="Arial" w:eastAsia="Arial" w:hAnsi="Arial" w:cs="Arial"/>
                <w:color w:val="000000"/>
                <w:sz w:val="14"/>
              </w:rPr>
            </w:pPr>
            <w:r>
              <w:rPr>
                <w:rFonts w:ascii="Arial" w:eastAsia="Arial" w:hAnsi="Arial" w:cs="Arial"/>
                <w:color w:val="000000"/>
                <w:sz w:val="14"/>
              </w:rPr>
              <w:t>91010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3D825838" w14:textId="77777777" w:rsidR="00A664FB" w:rsidRDefault="00A664FB" w:rsidP="00A664FB">
            <w:pPr>
              <w:tabs>
                <w:tab w:val="left" w:pos="828"/>
              </w:tabs>
              <w:ind w:left="57" w:right="57"/>
              <w:rPr>
                <w:rFonts w:ascii="Arial" w:eastAsia="Arial" w:hAnsi="Arial" w:cs="Arial"/>
                <w:color w:val="000000"/>
                <w:sz w:val="14"/>
              </w:rPr>
            </w:pPr>
            <w:r>
              <w:rPr>
                <w:rFonts w:ascii="Arial" w:eastAsia="Arial" w:hAnsi="Arial" w:cs="Arial"/>
                <w:color w:val="000000"/>
                <w:sz w:val="14"/>
              </w:rPr>
              <w:t>Počet návštěv kulturních památek a paměťových institucí zpřístupněných za vstupné</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4C7F3309" w14:textId="77777777" w:rsidR="00A664FB" w:rsidRDefault="00A664FB" w:rsidP="00A664FB">
            <w:pPr>
              <w:ind w:left="57" w:right="57"/>
              <w:rPr>
                <w:rFonts w:ascii="Arial" w:eastAsia="Arial" w:hAnsi="Arial" w:cs="Arial"/>
                <w:color w:val="000000"/>
                <w:sz w:val="14"/>
              </w:rPr>
            </w:pPr>
            <w:r>
              <w:rPr>
                <w:rFonts w:ascii="Arial" w:eastAsia="Arial" w:hAnsi="Arial" w:cs="Arial"/>
                <w:color w:val="000000"/>
                <w:sz w:val="14"/>
              </w:rPr>
              <w:t>Návštěvy/rok</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46D5C02D" w14:textId="77777777" w:rsidR="00A664FB" w:rsidRDefault="00A664FB" w:rsidP="00A664FB">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113A6B5F"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26 553 793,000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0935DA01" w14:textId="77777777" w:rsidR="00A664FB" w:rsidRDefault="00A664FB" w:rsidP="00A664FB">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2013</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71F91E92"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27 500 000,000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7D16A871"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6948FC59"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30 852 398,000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3005C191"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33 355 747,000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67DFAC58"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34 021 133,000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0AE38F8D"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26 553 793,000</w:t>
            </w:r>
          </w:p>
        </w:tc>
        <w:tc>
          <w:tcPr>
            <w:tcW w:w="686" w:type="dxa"/>
            <w:tcBorders>
              <w:top w:val="single" w:sz="4" w:space="0" w:color="000000"/>
              <w:left w:val="single" w:sz="4" w:space="0" w:color="000000"/>
              <w:bottom w:val="single" w:sz="4" w:space="0" w:color="000000"/>
              <w:right w:val="single" w:sz="4" w:space="0" w:color="000000"/>
            </w:tcBorders>
            <w:shd w:val="clear" w:color="auto" w:fill="FFFFFF"/>
          </w:tcPr>
          <w:p w14:paraId="5706D70F" w14:textId="791D14C3" w:rsidR="00A664FB" w:rsidRDefault="00A664FB" w:rsidP="00A664FB">
            <w:pPr>
              <w:tabs>
                <w:tab w:val="left" w:pos="828"/>
              </w:tabs>
              <w:ind w:left="57" w:right="57"/>
              <w:jc w:val="right"/>
              <w:rPr>
                <w:rFonts w:ascii="Arial" w:eastAsia="Arial" w:hAnsi="Arial" w:cs="Arial"/>
                <w:color w:val="000000"/>
                <w:sz w:val="14"/>
              </w:rPr>
            </w:pPr>
            <w:r w:rsidRPr="003A18A1">
              <w:rPr>
                <w:rFonts w:ascii="Arial" w:eastAsia="Arial" w:hAnsi="Arial" w:cs="Arial"/>
                <w:color w:val="000000"/>
                <w:sz w:val="14"/>
              </w:rPr>
              <w:t>35 640 990,000</w:t>
            </w:r>
          </w:p>
        </w:tc>
        <w:tc>
          <w:tcPr>
            <w:tcW w:w="731" w:type="dxa"/>
            <w:gridSpan w:val="2"/>
            <w:tcBorders>
              <w:top w:val="single" w:sz="4" w:space="0" w:color="000000"/>
              <w:left w:val="single" w:sz="4" w:space="0" w:color="000000"/>
              <w:bottom w:val="single" w:sz="4" w:space="0" w:color="000000"/>
              <w:right w:val="single" w:sz="4" w:space="0" w:color="000000"/>
            </w:tcBorders>
            <w:shd w:val="clear" w:color="auto" w:fill="FFFFFF"/>
          </w:tcPr>
          <w:p w14:paraId="3C753530"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77864B00"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75F833A9"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4DE2D38E"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11DABD7D" w14:textId="3865ACE6" w:rsidR="00A664FB" w:rsidRDefault="00A664FB" w:rsidP="00A664FB">
            <w:pPr>
              <w:ind w:left="57" w:right="57"/>
              <w:rPr>
                <w:rFonts w:ascii="Arial" w:eastAsia="Arial" w:hAnsi="Arial" w:cs="Arial"/>
                <w:color w:val="000000"/>
                <w:sz w:val="14"/>
              </w:rPr>
            </w:pPr>
            <w:r>
              <w:rPr>
                <w:rFonts w:ascii="Arial" w:eastAsia="Arial" w:hAnsi="Arial" w:cs="Arial"/>
                <w:color w:val="000000"/>
                <w:sz w:val="14"/>
              </w:rPr>
              <w:t>Po utlumení následků světové ekonomické krize došlo ke skokovému zvýšení počtu návštěv kulturních památek v ČR, který nemohl být v původních hodnotách započítán – hodnota nyní už narůstá pouze mírně v souladu s nárůstem návštěvnosti. ŘO IROP v další revizi PD přistoupí ke zvednutí cílové hodnoty.</w:t>
            </w:r>
          </w:p>
        </w:tc>
      </w:tr>
    </w:tbl>
    <w:p w14:paraId="26BEFF6C" w14:textId="77777777" w:rsidR="00533CD2" w:rsidRDefault="0046046C">
      <w:pPr>
        <w:keepNext/>
        <w:spacing w:before="240"/>
        <w:ind w:left="115" w:right="106"/>
        <w:jc w:val="both"/>
        <w:rPr>
          <w:rFonts w:ascii="Arial" w:eastAsia="Arial" w:hAnsi="Arial" w:cs="Arial"/>
          <w:color w:val="000000"/>
          <w:sz w:val="20"/>
        </w:rPr>
      </w:pPr>
      <w:r>
        <w:rPr>
          <w:rFonts w:ascii="Arial" w:eastAsia="Arial" w:hAnsi="Arial" w:cs="Arial"/>
          <w:color w:val="000000"/>
          <w:sz w:val="20"/>
        </w:rPr>
        <w:t>Investiční priorita: 06.5.125 Technická pomoc</w:t>
      </w:r>
    </w:p>
    <w:tbl>
      <w:tblPr>
        <w:tblW w:w="0" w:type="auto"/>
        <w:tblInd w:w="58" w:type="dxa"/>
        <w:tblLayout w:type="fixed"/>
        <w:tblCellMar>
          <w:left w:w="0" w:type="dxa"/>
          <w:right w:w="0" w:type="dxa"/>
        </w:tblCellMar>
        <w:tblLook w:val="04A0" w:firstRow="1" w:lastRow="0" w:firstColumn="1" w:lastColumn="0" w:noHBand="0" w:noVBand="1"/>
      </w:tblPr>
      <w:tblGrid>
        <w:gridCol w:w="800"/>
        <w:gridCol w:w="974"/>
        <w:gridCol w:w="1257"/>
        <w:gridCol w:w="1117"/>
        <w:gridCol w:w="848"/>
        <w:gridCol w:w="1112"/>
        <w:gridCol w:w="1137"/>
        <w:gridCol w:w="713"/>
        <w:gridCol w:w="700"/>
        <w:gridCol w:w="712"/>
        <w:gridCol w:w="739"/>
        <w:gridCol w:w="766"/>
        <w:gridCol w:w="708"/>
        <w:gridCol w:w="709"/>
        <w:gridCol w:w="711"/>
        <w:gridCol w:w="710"/>
        <w:gridCol w:w="712"/>
        <w:gridCol w:w="992"/>
      </w:tblGrid>
      <w:tr w:rsidR="00533CD2" w14:paraId="77D49456" w14:textId="77777777">
        <w:trPr>
          <w:tblHeader/>
        </w:trPr>
        <w:tc>
          <w:tcPr>
            <w:tcW w:w="7245"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08599021" w14:textId="77777777" w:rsidR="00533CD2" w:rsidRDefault="00533CD2">
            <w:pPr>
              <w:ind w:left="57" w:right="57"/>
              <w:jc w:val="both"/>
            </w:pPr>
          </w:p>
        </w:tc>
        <w:tc>
          <w:tcPr>
            <w:tcW w:w="7180"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14:paraId="6EFAF6CF"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ROČNÍ HODNOTA</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DB6593" w14:textId="77777777" w:rsidR="00533CD2" w:rsidRDefault="00533CD2">
            <w:pPr>
              <w:ind w:left="57" w:right="57"/>
              <w:jc w:val="both"/>
            </w:pPr>
          </w:p>
        </w:tc>
      </w:tr>
      <w:tr w:rsidR="00533CD2" w14:paraId="581712D9" w14:textId="77777777">
        <w:trPr>
          <w:tblHeader/>
        </w:trPr>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4BA293"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ID</w:t>
            </w:r>
          </w:p>
        </w:tc>
        <w:tc>
          <w:tcPr>
            <w:tcW w:w="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A8BAA4"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Indikátor</w:t>
            </w:r>
          </w:p>
        </w:tc>
        <w:tc>
          <w:tcPr>
            <w:tcW w:w="12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0D0C3C"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Měrná jednotka</w:t>
            </w:r>
          </w:p>
        </w:tc>
        <w:tc>
          <w:tcPr>
            <w:tcW w:w="11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9B076E"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Kategorie regionu</w:t>
            </w:r>
          </w:p>
          <w:p w14:paraId="7E78D22F"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(je-li relevantní)</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24635C"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Výchozí hodnota</w:t>
            </w:r>
          </w:p>
        </w:tc>
        <w:tc>
          <w:tcPr>
            <w:tcW w:w="11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04BE3B"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Výchozí rok</w:t>
            </w:r>
          </w:p>
        </w:tc>
        <w:tc>
          <w:tcPr>
            <w:tcW w:w="11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029003"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Cílová hodnota (2023)</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5B8DDF"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2014</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5E622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2015</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E755B8"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2016</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D0437E"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2017</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BA15D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E47D2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A1DC72"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92B963"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2021</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DED8BD"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2022</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2DB955"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2BB04B"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Vysvětlení (v případě potřeby)</w:t>
            </w:r>
          </w:p>
        </w:tc>
      </w:tr>
      <w:tr w:rsidR="00533CD2" w14:paraId="06F01239" w14:textId="77777777">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083AF45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80810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58BD4BFB"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Míra čerpání prostředků programu</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7118BEDD"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5D5F0697"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218CB4A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2DFC71A5"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2015</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48A0992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100,000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541FB78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5FD0410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535CAAD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0,010</w:t>
            </w: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25123A5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2,270</w:t>
            </w: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475505B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18,290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23C8AC06" w14:textId="2FA6D7BC" w:rsidR="00533CD2" w:rsidRDefault="00F33C2C">
            <w:pPr>
              <w:tabs>
                <w:tab w:val="left" w:pos="828"/>
              </w:tabs>
              <w:ind w:left="57" w:right="57"/>
              <w:jc w:val="right"/>
              <w:rPr>
                <w:rFonts w:ascii="Arial" w:eastAsia="Arial" w:hAnsi="Arial" w:cs="Arial"/>
                <w:color w:val="000000"/>
                <w:sz w:val="14"/>
              </w:rPr>
            </w:pPr>
            <w:r w:rsidRPr="00E806C4">
              <w:rPr>
                <w:rFonts w:ascii="Arial" w:eastAsia="Arial" w:hAnsi="Arial" w:cs="Arial"/>
                <w:color w:val="000000"/>
                <w:sz w:val="14"/>
              </w:rPr>
              <w:t>3</w:t>
            </w:r>
            <w:r w:rsidR="00EE2A3B">
              <w:rPr>
                <w:rFonts w:ascii="Arial" w:eastAsia="Arial" w:hAnsi="Arial" w:cs="Arial"/>
                <w:color w:val="000000"/>
                <w:sz w:val="14"/>
              </w:rPr>
              <w:t>5</w:t>
            </w:r>
            <w:r w:rsidRPr="00E806C4">
              <w:rPr>
                <w:rFonts w:ascii="Arial" w:eastAsia="Arial" w:hAnsi="Arial" w:cs="Arial"/>
                <w:color w:val="000000"/>
                <w:sz w:val="14"/>
              </w:rPr>
              <w:t>,720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47C2FA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0B3D12D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41081DD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6F6D9E3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5B5C81E5" w14:textId="77777777" w:rsidR="00533CD2" w:rsidRDefault="00533CD2">
            <w:pPr>
              <w:ind w:left="57" w:right="57"/>
              <w:rPr>
                <w:rFonts w:ascii="Arial" w:eastAsia="Arial" w:hAnsi="Arial" w:cs="Arial"/>
                <w:color w:val="000000"/>
                <w:sz w:val="14"/>
              </w:rPr>
            </w:pPr>
          </w:p>
        </w:tc>
      </w:tr>
      <w:tr w:rsidR="00533CD2" w14:paraId="1669C950" w14:textId="77777777">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42F7DAF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82520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39990449"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trvale zaměstnaných pracovníků implementační struktury</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3E463F55"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FTE</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27F87F6A"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033CCFB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57,780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4EF86608"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2014</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2A6F2B9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169,900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05E8BCF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4CA6198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1B2E736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62,850</w:t>
            </w: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600D75E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86,600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7F71100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146,603</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2F81F3EE" w14:textId="2EAF1B85" w:rsidR="00533CD2" w:rsidRDefault="008D4CF2">
            <w:pPr>
              <w:tabs>
                <w:tab w:val="left" w:pos="828"/>
              </w:tabs>
              <w:ind w:left="57" w:right="57"/>
              <w:jc w:val="right"/>
              <w:rPr>
                <w:rFonts w:ascii="Arial" w:eastAsia="Arial" w:hAnsi="Arial" w:cs="Arial"/>
                <w:color w:val="000000"/>
                <w:sz w:val="14"/>
              </w:rPr>
            </w:pPr>
            <w:r>
              <w:rPr>
                <w:rFonts w:ascii="Arial" w:eastAsia="Arial" w:hAnsi="Arial" w:cs="Arial"/>
                <w:color w:val="000000"/>
                <w:sz w:val="14"/>
              </w:rPr>
              <w:t>179,728</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777BB4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3757F65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449180B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1D0450B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49993A99" w14:textId="77777777" w:rsidR="00533CD2" w:rsidRDefault="00533CD2">
            <w:pPr>
              <w:ind w:left="57" w:right="57"/>
              <w:rPr>
                <w:rFonts w:ascii="Arial" w:eastAsia="Arial" w:hAnsi="Arial" w:cs="Arial"/>
                <w:color w:val="000000"/>
                <w:sz w:val="14"/>
              </w:rPr>
            </w:pPr>
          </w:p>
        </w:tc>
      </w:tr>
    </w:tbl>
    <w:p w14:paraId="735CD1B5" w14:textId="77777777" w:rsidR="00533CD2" w:rsidRDefault="00533CD2">
      <w:pPr>
        <w:keepNext/>
        <w:tabs>
          <w:tab w:val="left" w:pos="1675"/>
        </w:tabs>
        <w:ind w:left="115" w:right="106"/>
        <w:rPr>
          <w:rFonts w:ascii="Arial" w:eastAsia="Arial" w:hAnsi="Arial" w:cs="Arial"/>
          <w:color w:val="000000"/>
          <w:sz w:val="20"/>
        </w:rPr>
      </w:pPr>
    </w:p>
    <w:p w14:paraId="4AE6102E" w14:textId="77777777" w:rsidR="00533CD2" w:rsidRDefault="0046046C">
      <w:pPr>
        <w:keepNext/>
        <w:tabs>
          <w:tab w:val="left" w:pos="1675"/>
        </w:tabs>
        <w:ind w:left="115" w:right="106"/>
        <w:rPr>
          <w:rFonts w:ascii="Arial" w:eastAsia="Arial" w:hAnsi="Arial" w:cs="Arial"/>
          <w:color w:val="000000"/>
          <w:sz w:val="16"/>
        </w:rPr>
      </w:pPr>
      <w:r>
        <w:rPr>
          <w:rFonts w:ascii="Arial" w:eastAsia="Arial" w:hAnsi="Arial" w:cs="Arial"/>
          <w:color w:val="000000"/>
          <w:sz w:val="16"/>
        </w:rPr>
        <w:t>----------------------------------------------------</w:t>
      </w:r>
    </w:p>
    <w:p w14:paraId="77077F43" w14:textId="77777777" w:rsidR="00533CD2" w:rsidRDefault="0046046C">
      <w:pPr>
        <w:tabs>
          <w:tab w:val="left" w:pos="1675"/>
        </w:tabs>
        <w:ind w:left="115" w:right="106"/>
        <w:rPr>
          <w:rFonts w:ascii="Arial" w:eastAsia="Arial" w:hAnsi="Arial" w:cs="Arial"/>
          <w:color w:val="000000"/>
          <w:sz w:val="16"/>
        </w:rPr>
      </w:pPr>
      <w:r>
        <w:rPr>
          <w:rFonts w:ascii="Arial" w:eastAsia="Arial" w:hAnsi="Arial" w:cs="Arial"/>
          <w:color w:val="000000"/>
          <w:sz w:val="16"/>
        </w:rPr>
        <w:t>3 - V tabulce 1 je nutno rozdělení podle pohlaví v polích pro roční hodnotu použít pouze tehdy, je-li uvedeno v tabulce 12 modelu programu. V opačném případě použijte T = celkem.</w:t>
      </w:r>
    </w:p>
    <w:p w14:paraId="75AA2346" w14:textId="77777777" w:rsidR="00533CD2" w:rsidRDefault="0046046C">
      <w:r>
        <w:br w:type="page"/>
      </w:r>
    </w:p>
    <w:p w14:paraId="1B18310A" w14:textId="77777777" w:rsidR="00533CD2" w:rsidRDefault="00533CD2">
      <w:pPr>
        <w:tabs>
          <w:tab w:val="left" w:pos="1675"/>
        </w:tabs>
        <w:ind w:left="115" w:right="670"/>
      </w:pPr>
    </w:p>
    <w:p w14:paraId="0A1E02CF" w14:textId="77777777" w:rsidR="00533CD2" w:rsidRDefault="0046046C">
      <w:pPr>
        <w:spacing w:line="312" w:lineRule="auto"/>
        <w:ind w:left="115" w:right="670"/>
        <w:rPr>
          <w:rFonts w:ascii="Arial" w:eastAsia="Arial" w:hAnsi="Arial" w:cs="Arial"/>
          <w:b/>
          <w:bCs/>
          <w:i/>
          <w:iCs/>
          <w:color w:val="000000"/>
          <w:sz w:val="20"/>
        </w:rPr>
      </w:pPr>
      <w:r>
        <w:rPr>
          <w:rFonts w:ascii="Arial" w:eastAsia="Arial" w:hAnsi="Arial" w:cs="Arial"/>
          <w:b/>
          <w:bCs/>
          <w:i/>
          <w:iCs/>
          <w:color w:val="000000"/>
          <w:sz w:val="20"/>
        </w:rPr>
        <w:t>Tabulka 3A: Společné indikátory výstupů a indikátory výstupů specifické pro jednotlivé programy pro EFRR a Fond soudržnosti (podle prioritních os, investičních priorit, v rozdělení podle kategorií regionů pro EFRR; to platí rovněž pro prioritní osy „technická pomoc“)</w:t>
      </w:r>
    </w:p>
    <w:p w14:paraId="3C5E7F30" w14:textId="77777777" w:rsidR="00533CD2" w:rsidRDefault="0046046C">
      <w:pPr>
        <w:keepNext/>
        <w:spacing w:before="240"/>
        <w:ind w:left="115" w:right="106"/>
        <w:jc w:val="both"/>
        <w:rPr>
          <w:rFonts w:ascii="Arial" w:eastAsia="Arial" w:hAnsi="Arial" w:cs="Arial"/>
          <w:color w:val="000000"/>
          <w:sz w:val="20"/>
        </w:rPr>
      </w:pPr>
      <w:r>
        <w:rPr>
          <w:rFonts w:ascii="Arial" w:eastAsia="Arial" w:hAnsi="Arial" w:cs="Arial"/>
          <w:color w:val="000000"/>
          <w:sz w:val="20"/>
        </w:rPr>
        <w:t>Investiční priorita: 06.1.13 Podpora nízkouhlíkových strategií pro všechny typy oblastí, zejména městské oblasti, včetně podpory udržitelné multimodální městské mobility a adaptačních opatření ke zmírnění změny klimatu</w:t>
      </w:r>
    </w:p>
    <w:tbl>
      <w:tblPr>
        <w:tblW w:w="0" w:type="auto"/>
        <w:tblInd w:w="58" w:type="dxa"/>
        <w:tblLayout w:type="fixed"/>
        <w:tblCellMar>
          <w:left w:w="0" w:type="dxa"/>
          <w:right w:w="0" w:type="dxa"/>
        </w:tblCellMar>
        <w:tblLook w:val="04A0" w:firstRow="1" w:lastRow="0" w:firstColumn="1" w:lastColumn="0" w:noHBand="0" w:noVBand="1"/>
      </w:tblPr>
      <w:tblGrid>
        <w:gridCol w:w="1333"/>
        <w:gridCol w:w="567"/>
        <w:gridCol w:w="2268"/>
        <w:gridCol w:w="709"/>
        <w:gridCol w:w="709"/>
        <w:gridCol w:w="850"/>
        <w:gridCol w:w="766"/>
        <w:gridCol w:w="713"/>
        <w:gridCol w:w="700"/>
        <w:gridCol w:w="712"/>
        <w:gridCol w:w="739"/>
        <w:gridCol w:w="766"/>
        <w:gridCol w:w="708"/>
        <w:gridCol w:w="709"/>
        <w:gridCol w:w="711"/>
        <w:gridCol w:w="710"/>
        <w:gridCol w:w="712"/>
        <w:gridCol w:w="992"/>
      </w:tblGrid>
      <w:tr w:rsidR="00533CD2" w14:paraId="6F330634" w14:textId="77777777">
        <w:trPr>
          <w:tblHeader/>
        </w:trPr>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4232ED" w14:textId="77777777" w:rsidR="00533CD2" w:rsidRDefault="00533CD2">
            <w:pPr>
              <w:ind w:left="57" w:right="57"/>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A86372"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ID</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FBF2D8"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Indikátor</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A0079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Měrná jednotka</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4ED08B"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Fond</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A324F0"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Kategorie regionu</w:t>
            </w:r>
          </w:p>
          <w:p w14:paraId="75CCC6C1"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(je-li relevantní)</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F1C376"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Cílová hodnota (2023)</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E46EB2"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2014</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775A9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2015</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DA0D1E"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2016</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362AB1"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2017</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08645"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FBC0DB"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228FD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F3FAF4"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2021</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EF14B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2022</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F9B108"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09349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Vysvětlení (v případě potřeby)</w:t>
            </w:r>
          </w:p>
        </w:tc>
      </w:tr>
      <w:tr w:rsidR="00533CD2" w14:paraId="06A53491" w14:textId="77777777" w:rsidTr="00450A6D">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81DD13" w14:textId="76EC10CD" w:rsidR="00533CD2" w:rsidRDefault="005D1B93" w:rsidP="00E806C4">
            <w:pPr>
              <w:jc w:val="center"/>
            </w:pPr>
            <w:r w:rsidRPr="00450A6D">
              <w:rPr>
                <w:rFonts w:ascii="Arial" w:eastAsia="Arial" w:hAnsi="Arial" w:cs="Arial"/>
                <w:color w:val="000000"/>
                <w:sz w:val="14"/>
              </w:rPr>
              <w:t>Kumulativní hodnota – výstupy, kterých mají dosáhnout vybrané operace [odhad poskytnutý příjemci]</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0ACFD5"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70401/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D4057B"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zařízení a služeb pro řízení dopravy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E31720"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ks</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FAFF7E"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284896"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7564B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A6234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A4A10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C3616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7C01D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16,000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60282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33,000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F1CBE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25,000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27D49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13EB9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40E86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2173D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65DB91" w14:textId="77777777" w:rsidR="00533CD2" w:rsidRDefault="00533CD2">
            <w:pPr>
              <w:ind w:left="57" w:right="57"/>
              <w:rPr>
                <w:rFonts w:ascii="Arial" w:eastAsia="Arial" w:hAnsi="Arial" w:cs="Arial"/>
                <w:color w:val="000000"/>
                <w:sz w:val="14"/>
              </w:rPr>
            </w:pPr>
          </w:p>
        </w:tc>
      </w:tr>
      <w:tr w:rsidR="00533CD2" w14:paraId="390CF20A"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DE433F"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C66D94"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70401/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668840"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zařízení a služeb pro řízení dopravy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85F603"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ks</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3BA71B"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86A4BB"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6A5F5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D787E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85B54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8786F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523B8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C1822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AA03B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19,000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5DEB4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190F6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70332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66AE5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3A2E3F" w14:textId="77777777" w:rsidR="00533CD2" w:rsidRDefault="00533CD2">
            <w:pPr>
              <w:ind w:left="57" w:right="57"/>
              <w:rPr>
                <w:rFonts w:ascii="Arial" w:eastAsia="Arial" w:hAnsi="Arial" w:cs="Arial"/>
                <w:color w:val="000000"/>
                <w:sz w:val="14"/>
              </w:rPr>
            </w:pPr>
          </w:p>
        </w:tc>
      </w:tr>
      <w:tr w:rsidR="00533CD2" w14:paraId="3FC42082"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AE4A97"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705E57"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74001/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E0277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vytvořených parkovacích míst</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57D83A"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Parkovací místa</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0EFF8B"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6E1C23"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3A3DB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8 000,000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5F390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1B925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8FFE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0EDA0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1 525,000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CFEBF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4 531,000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9CCC0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5 555,000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4D273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E5C1D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4B42A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49EFA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7C4086" w14:textId="77777777" w:rsidR="00533CD2" w:rsidRDefault="00533CD2">
            <w:pPr>
              <w:ind w:left="57" w:right="57"/>
              <w:rPr>
                <w:rFonts w:ascii="Arial" w:eastAsia="Arial" w:hAnsi="Arial" w:cs="Arial"/>
                <w:color w:val="000000"/>
                <w:sz w:val="14"/>
              </w:rPr>
            </w:pPr>
          </w:p>
        </w:tc>
      </w:tr>
      <w:tr w:rsidR="00533CD2" w14:paraId="01C19587"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1FEE2C"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00EABE"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74001/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3A7649"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vytvořených parkovacích míst</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D87A5A"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Parkovací místa</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DAB27F"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FEB03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BC08F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8 000,000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B1193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20336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60147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FEC9B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41,000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8E38B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1 252,000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21C0C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2 370,000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EC9FE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BE469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5FB9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B2DF8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35EC92" w14:textId="77777777" w:rsidR="00533CD2" w:rsidRDefault="00533CD2">
            <w:pPr>
              <w:ind w:left="57" w:right="57"/>
              <w:rPr>
                <w:rFonts w:ascii="Arial" w:eastAsia="Arial" w:hAnsi="Arial" w:cs="Arial"/>
                <w:color w:val="000000"/>
                <w:sz w:val="14"/>
              </w:rPr>
            </w:pPr>
          </w:p>
        </w:tc>
      </w:tr>
      <w:tr w:rsidR="00533CD2" w14:paraId="6450B8E9"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921283"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DD2DD1"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74801/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339001"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nově pořízených vozidel pro veřejnou dopravu</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285179"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Vozidla</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CA8A5D"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2AF1D8"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8CC01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875,000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B1026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B6D68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51DFF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09495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424,000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5057B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659,000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40F22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704,000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9680B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D5797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A1F43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23CDD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9C4004" w14:textId="77777777" w:rsidR="00533CD2" w:rsidRDefault="00533CD2">
            <w:pPr>
              <w:ind w:left="57" w:right="57"/>
              <w:rPr>
                <w:rFonts w:ascii="Arial" w:eastAsia="Arial" w:hAnsi="Arial" w:cs="Arial"/>
                <w:color w:val="000000"/>
                <w:sz w:val="14"/>
              </w:rPr>
            </w:pPr>
          </w:p>
        </w:tc>
      </w:tr>
      <w:tr w:rsidR="00533CD2" w14:paraId="7A97C37D"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D2AC5F"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2B774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74801/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8CA70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nově pořízených vozidel pro veřejnou dopravu</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F19503"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Vozidla</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EE4E29"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394BF8"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24311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875,000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C7B4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921B8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37B20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B4E30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68,000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753C9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438,000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A2FCB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580,000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C51DA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0FFD4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73F2D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390E5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E7AAFF" w14:textId="77777777" w:rsidR="00533CD2" w:rsidRDefault="00533CD2">
            <w:pPr>
              <w:ind w:left="57" w:right="57"/>
              <w:rPr>
                <w:rFonts w:ascii="Arial" w:eastAsia="Arial" w:hAnsi="Arial" w:cs="Arial"/>
                <w:color w:val="000000"/>
                <w:sz w:val="14"/>
              </w:rPr>
            </w:pPr>
          </w:p>
        </w:tc>
      </w:tr>
      <w:tr w:rsidR="00533CD2" w14:paraId="28DFB548"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337DDC"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7026A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75001/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88BF2B"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realizací vedoucích ke zvýšení bezpečnosti v dopravě</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1ACC6E"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Realizace</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2182E2"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A6F9BB"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C76EC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60,000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F174B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17D27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F229C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17,000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39653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116,000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ED22D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177,000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5D36A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171,000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060A7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CB7B3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43224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87FA0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90BE43" w14:textId="77777777" w:rsidR="00533CD2" w:rsidRDefault="00533CD2">
            <w:pPr>
              <w:ind w:left="57" w:right="57"/>
              <w:rPr>
                <w:rFonts w:ascii="Arial" w:eastAsia="Arial" w:hAnsi="Arial" w:cs="Arial"/>
                <w:color w:val="000000"/>
                <w:sz w:val="14"/>
              </w:rPr>
            </w:pPr>
          </w:p>
        </w:tc>
      </w:tr>
      <w:tr w:rsidR="00533CD2" w14:paraId="1A643729"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3A53B1"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A965A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75001/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AECB7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realizací vedoucích ke zvýšení bezpečnosti v dopravě</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C18BEC"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Realizace</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21ACD6"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F047E3"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02A78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60,000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E0EA1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8223B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A1F54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4AB88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36,000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95B47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104,000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38ED4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147,000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F4AC6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86571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C8C4C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311C6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1C1BD2" w14:textId="54A68E12" w:rsidR="00533CD2" w:rsidRDefault="005D1B93">
            <w:pPr>
              <w:ind w:left="57" w:right="57"/>
              <w:rPr>
                <w:rFonts w:ascii="Arial" w:eastAsia="Arial" w:hAnsi="Arial" w:cs="Arial"/>
                <w:color w:val="000000"/>
                <w:sz w:val="14"/>
              </w:rPr>
            </w:pPr>
            <w:r>
              <w:rPr>
                <w:rFonts w:ascii="Arial" w:eastAsia="Arial" w:hAnsi="Arial" w:cs="Arial"/>
                <w:color w:val="000000"/>
                <w:sz w:val="14"/>
              </w:rPr>
              <w:t>Z důvodu velkého zájmu o realizaci bezpečnostních opatření došlo k překročení původně plánovaných hodnot indikátoru 7 50 01, tento nárůst lze vysvětlit relativně menším zájmem o oblast cyklodopravy (rekonstrukce cyklostezek – indikátor 7 62 00 níže), kde ŘO IROP naopak uvažuje o snížení cílové hodnoty.</w:t>
            </w:r>
          </w:p>
        </w:tc>
      </w:tr>
      <w:tr w:rsidR="00533CD2" w14:paraId="43D93404"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A4DAA4"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6488A3"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75201/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DAC4DC"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nových nebo rekonstruovaných přestupních terminálů ve veřejné dopravě</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BEF846"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Terminály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4772CA"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B95A9"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794BE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100,000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62097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12737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E3CC5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23A72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26,000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CFA8B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64,000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88DE8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62,000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CED88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54D4C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73E98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D2CDF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34421D" w14:textId="77777777" w:rsidR="00533CD2" w:rsidRDefault="00533CD2">
            <w:pPr>
              <w:ind w:left="57" w:right="57"/>
              <w:rPr>
                <w:rFonts w:ascii="Arial" w:eastAsia="Arial" w:hAnsi="Arial" w:cs="Arial"/>
                <w:color w:val="000000"/>
                <w:sz w:val="14"/>
              </w:rPr>
            </w:pPr>
          </w:p>
        </w:tc>
      </w:tr>
      <w:tr w:rsidR="00533CD2" w14:paraId="1B9C9A2B"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AD635A"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C97518"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75201/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9E0E3C"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nových nebo rekonstruovaných přestupních terminálů ve veřejné dopravě</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94D895"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Terminály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459C39"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873D94"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522EC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100,000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DA7F1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4A385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60818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54FD2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812326" w14:textId="77777777" w:rsidR="00533CD2" w:rsidRDefault="0046046C">
            <w:pPr>
              <w:tabs>
                <w:tab w:val="left" w:pos="828"/>
              </w:tabs>
              <w:ind w:left="57" w:right="57"/>
              <w:jc w:val="right"/>
              <w:rPr>
                <w:rFonts w:ascii="Arial" w:eastAsia="Arial" w:hAnsi="Arial" w:cs="Arial"/>
                <w:color w:val="000000"/>
                <w:sz w:val="14"/>
              </w:rPr>
            </w:pPr>
            <w:r w:rsidRPr="00E806C4">
              <w:rPr>
                <w:rFonts w:ascii="Arial" w:eastAsia="Arial" w:hAnsi="Arial" w:cs="Arial"/>
                <w:color w:val="000000"/>
                <w:sz w:val="14"/>
              </w:rPr>
              <w:t>23,000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2E626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37,000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824ED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17F2F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CFBC3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74CB2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A23A1F" w14:textId="77777777" w:rsidR="00533CD2" w:rsidRDefault="00533CD2">
            <w:pPr>
              <w:ind w:left="57" w:right="57"/>
              <w:rPr>
                <w:rFonts w:ascii="Arial" w:eastAsia="Arial" w:hAnsi="Arial" w:cs="Arial"/>
                <w:color w:val="000000"/>
                <w:sz w:val="14"/>
              </w:rPr>
            </w:pPr>
          </w:p>
        </w:tc>
      </w:tr>
      <w:tr w:rsidR="00533CD2" w14:paraId="07C83C7D"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D33478"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90B90E"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76100/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1849A5"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Délka nově vybudovaných cyklostezek a cyklotras</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CE06A5"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km</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E1E1A0"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99905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44267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225,000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836AB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A086C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604E6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7,910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AC766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69,714</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47DF2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164,832</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47E34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197,245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E7296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2B618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A4CF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778B6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2BC8EF" w14:textId="77777777" w:rsidR="00533CD2" w:rsidRDefault="00533CD2">
            <w:pPr>
              <w:ind w:left="57" w:right="57"/>
              <w:rPr>
                <w:rFonts w:ascii="Arial" w:eastAsia="Arial" w:hAnsi="Arial" w:cs="Arial"/>
                <w:color w:val="000000"/>
                <w:sz w:val="14"/>
              </w:rPr>
            </w:pPr>
          </w:p>
        </w:tc>
      </w:tr>
      <w:tr w:rsidR="00533CD2" w14:paraId="71874422"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C53BB7"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909237"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76100/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46290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Délka nově vybudovaných cyklostezek a cyklotras</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A1AA72"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km</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149F46"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2EFB54"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6C702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225,000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17493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60433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F10A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2E02A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11,287</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2968E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74,322</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AB7A9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114,730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8B67B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16EEC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D289E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04AE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45D19C" w14:textId="77777777" w:rsidR="00533CD2" w:rsidRDefault="00533CD2">
            <w:pPr>
              <w:ind w:left="57" w:right="57"/>
              <w:rPr>
                <w:rFonts w:ascii="Arial" w:eastAsia="Arial" w:hAnsi="Arial" w:cs="Arial"/>
                <w:color w:val="000000"/>
                <w:sz w:val="14"/>
              </w:rPr>
            </w:pPr>
          </w:p>
        </w:tc>
      </w:tr>
      <w:tr w:rsidR="00533CD2" w14:paraId="5278F7F5"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4DC3DC"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5FC455"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76200/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FBE300"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Délka rekonstruovaných cyklostezek a cyklotras</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401C9C"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km</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9693EB"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B572F8"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084A5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18D8E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46ED7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10654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0,588</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09CAC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0,588</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B41AE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6,351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7963E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5,093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F9F65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6C89F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F606E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737F8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F0D71B" w14:textId="0138E02C" w:rsidR="00533CD2" w:rsidRDefault="005D1B93">
            <w:pPr>
              <w:ind w:left="57" w:right="57"/>
              <w:rPr>
                <w:rFonts w:ascii="Arial" w:eastAsia="Arial" w:hAnsi="Arial" w:cs="Arial"/>
                <w:color w:val="000000"/>
                <w:sz w:val="14"/>
              </w:rPr>
            </w:pPr>
            <w:r>
              <w:rPr>
                <w:rFonts w:ascii="Arial" w:eastAsia="Arial" w:hAnsi="Arial" w:cs="Arial"/>
                <w:color w:val="000000"/>
                <w:sz w:val="14"/>
              </w:rPr>
              <w:t xml:space="preserve">V oblasti zaměřené na rekonstrukce cyklostezek a cyklotras je v současnosti velmi malý zájem o realizaci projektů, naopak u indikátoru 76100, zaměřeného na stavbu nových cyklostezek je zájem vyšší než bylo původně očekáváno – závazky v současnosti dosahují již 74% cílové hodnoty. ŘO v revizi PD sníží hodnotu indikátoru 76200 a zvýší hodnotu indikátoru 76100.   </w:t>
            </w:r>
          </w:p>
        </w:tc>
      </w:tr>
      <w:tr w:rsidR="00533CD2" w14:paraId="08B8A6F5"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CD40FB"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42A1E5"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76200/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499752"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Délka rekonstruovaných cyklostezek a cyklotras</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3F096C"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km</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592589"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01E68A"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F619F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4E1C4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9F8E9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2DCC3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00048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0,332</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BB029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2,178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5E45B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4,537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A69EE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2B010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D4103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7FB6B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90AFE4" w14:textId="77777777" w:rsidR="00533CD2" w:rsidRDefault="00533CD2">
            <w:pPr>
              <w:ind w:left="57" w:right="57"/>
              <w:rPr>
                <w:rFonts w:ascii="Arial" w:eastAsia="Arial" w:hAnsi="Arial" w:cs="Arial"/>
                <w:color w:val="000000"/>
                <w:sz w:val="14"/>
              </w:rPr>
            </w:pPr>
          </w:p>
        </w:tc>
      </w:tr>
      <w:tr w:rsidR="00533CD2" w14:paraId="379AE5C0"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E9B269"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6E42D4"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76401/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06B34E"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parkovacích míst pro jízdní kola</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198D95"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Parkovací místa</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59433A"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74E775"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E02FC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5 600,000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948DB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0DDC2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C3BE3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18,000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658CD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1 960,000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9D34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5 126,000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8C02B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5 331,000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512D3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3FEDF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9A1BC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27F6A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2E7DBF" w14:textId="77777777" w:rsidR="00533CD2" w:rsidRDefault="00533CD2">
            <w:pPr>
              <w:ind w:left="57" w:right="57"/>
              <w:rPr>
                <w:rFonts w:ascii="Arial" w:eastAsia="Arial" w:hAnsi="Arial" w:cs="Arial"/>
                <w:color w:val="000000"/>
                <w:sz w:val="14"/>
              </w:rPr>
            </w:pPr>
          </w:p>
        </w:tc>
      </w:tr>
      <w:tr w:rsidR="00533CD2" w14:paraId="00C8A54B"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6CB6AA"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A86F47"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76401/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C1B044"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parkovacích míst pro jízdní kola</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93E064"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Parkovací místa</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1450C4"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6B5362"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6AAAD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5 600,000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281A6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8A7CC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E2769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ECB94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210,000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8CAFA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1 640,000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3AC7B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3 190,000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0BDC7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14C0B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328C1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34429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EC6417" w14:textId="77777777" w:rsidR="00533CD2" w:rsidRDefault="00533CD2">
            <w:pPr>
              <w:ind w:left="57" w:right="57"/>
              <w:rPr>
                <w:rFonts w:ascii="Arial" w:eastAsia="Arial" w:hAnsi="Arial" w:cs="Arial"/>
                <w:color w:val="000000"/>
                <w:sz w:val="14"/>
              </w:rPr>
            </w:pPr>
          </w:p>
        </w:tc>
      </w:tr>
    </w:tbl>
    <w:p w14:paraId="2C79E70B" w14:textId="77777777" w:rsidR="00533CD2" w:rsidRDefault="0046046C">
      <w:pPr>
        <w:keepNext/>
        <w:spacing w:before="240"/>
        <w:ind w:left="115" w:right="106"/>
        <w:jc w:val="both"/>
        <w:rPr>
          <w:rFonts w:ascii="Arial" w:eastAsia="Arial" w:hAnsi="Arial" w:cs="Arial"/>
          <w:color w:val="000000"/>
          <w:sz w:val="20"/>
        </w:rPr>
      </w:pPr>
      <w:r>
        <w:rPr>
          <w:rFonts w:ascii="Arial" w:eastAsia="Arial" w:hAnsi="Arial" w:cs="Arial"/>
          <w:color w:val="000000"/>
          <w:sz w:val="20"/>
        </w:rPr>
        <w:t xml:space="preserve">Investiční priorita: 06.1.23 Podpora investic zaměřených </w:t>
      </w:r>
      <w:proofErr w:type="gramStart"/>
      <w:r>
        <w:rPr>
          <w:rFonts w:ascii="Arial" w:eastAsia="Arial" w:hAnsi="Arial" w:cs="Arial"/>
          <w:color w:val="000000"/>
          <w:sz w:val="20"/>
        </w:rPr>
        <w:t>na</w:t>
      </w:r>
      <w:proofErr w:type="gramEnd"/>
      <w:r>
        <w:rPr>
          <w:rFonts w:ascii="Arial" w:eastAsia="Arial" w:hAnsi="Arial" w:cs="Arial"/>
          <w:color w:val="000000"/>
          <w:sz w:val="20"/>
        </w:rPr>
        <w:t xml:space="preserve"> řešení konkrétních rizik, zajištění odolnosti vůči katastrofám a vývoj systémů krizového řízení</w:t>
      </w:r>
    </w:p>
    <w:tbl>
      <w:tblPr>
        <w:tblW w:w="0" w:type="auto"/>
        <w:tblInd w:w="58" w:type="dxa"/>
        <w:tblLayout w:type="fixed"/>
        <w:tblCellMar>
          <w:left w:w="0" w:type="dxa"/>
          <w:right w:w="0" w:type="dxa"/>
        </w:tblCellMar>
        <w:tblLook w:val="04A0" w:firstRow="1" w:lastRow="0" w:firstColumn="1" w:lastColumn="0" w:noHBand="0" w:noVBand="1"/>
      </w:tblPr>
      <w:tblGrid>
        <w:gridCol w:w="1333"/>
        <w:gridCol w:w="567"/>
        <w:gridCol w:w="2268"/>
        <w:gridCol w:w="709"/>
        <w:gridCol w:w="709"/>
        <w:gridCol w:w="850"/>
        <w:gridCol w:w="766"/>
        <w:gridCol w:w="713"/>
        <w:gridCol w:w="700"/>
        <w:gridCol w:w="712"/>
        <w:gridCol w:w="739"/>
        <w:gridCol w:w="766"/>
        <w:gridCol w:w="708"/>
        <w:gridCol w:w="709"/>
        <w:gridCol w:w="711"/>
        <w:gridCol w:w="710"/>
        <w:gridCol w:w="712"/>
        <w:gridCol w:w="992"/>
      </w:tblGrid>
      <w:tr w:rsidR="00533CD2" w14:paraId="253265BC" w14:textId="77777777">
        <w:trPr>
          <w:tblHeader/>
        </w:trPr>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A15EB2" w14:textId="77777777" w:rsidR="00533CD2" w:rsidRDefault="00533CD2">
            <w:pPr>
              <w:ind w:left="57" w:right="57"/>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BAC5DD"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ID</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45A6B9"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Indikátor</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19CF3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Měrná jednotka</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2F39D1"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Fond</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C9A952"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Kategorie regionu</w:t>
            </w:r>
          </w:p>
          <w:p w14:paraId="51717093"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(je-li relevantní)</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F8A3AD"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Cílová hodnota (2023)</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ABE961"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2014</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251DA9"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2015</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EF93B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2016</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01C917"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2017</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8C3E7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451D2C"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7CCE77"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098EE3"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2021</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BB644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2022</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0281B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35EF83"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Vysvětlení (v případě potřeby)</w:t>
            </w:r>
          </w:p>
        </w:tc>
      </w:tr>
      <w:tr w:rsidR="00533CD2" w14:paraId="28498D24"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759B91"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DDBAFA"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57001/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5AF698"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nové techniky a věcných prostředků složek IZS</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B2DCAB"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Sety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C84F7A"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9E06D7"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7921F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913,000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192C5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C5F79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B93A3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350,000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FB5DA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351,000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456C7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361,000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5F217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355,000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93C55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05B4A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EF562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C93C4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1A8ABF" w14:textId="77777777" w:rsidR="00533CD2" w:rsidRDefault="00533CD2">
            <w:pPr>
              <w:ind w:left="57" w:right="57"/>
              <w:rPr>
                <w:rFonts w:ascii="Arial" w:eastAsia="Arial" w:hAnsi="Arial" w:cs="Arial"/>
                <w:color w:val="000000"/>
                <w:sz w:val="14"/>
              </w:rPr>
            </w:pPr>
          </w:p>
        </w:tc>
      </w:tr>
      <w:tr w:rsidR="00533CD2" w14:paraId="2DE1B9C2"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B86A0F"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C97BF8"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57001/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A5AD9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nové techniky a věcných prostředků složek IZS</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0235AE"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Sety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D21F4A"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0733D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5DD19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913,000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3F91E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CD669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E6A6A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92F8D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138,000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60B96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220,000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B57CD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365,000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82DE1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8F8CC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184F0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9CF49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5F58E2" w14:textId="77777777" w:rsidR="00533CD2" w:rsidRDefault="00533CD2">
            <w:pPr>
              <w:ind w:left="57" w:right="57"/>
              <w:rPr>
                <w:rFonts w:ascii="Arial" w:eastAsia="Arial" w:hAnsi="Arial" w:cs="Arial"/>
                <w:color w:val="000000"/>
                <w:sz w:val="14"/>
              </w:rPr>
            </w:pPr>
          </w:p>
        </w:tc>
      </w:tr>
      <w:tr w:rsidR="00533CD2" w14:paraId="656AAFC0"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01148"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C3CDC6"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57501/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B9FDD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nových a modernizovaných objektů sloužících složkám IZS</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4D1ECA"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Objekty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A30FDC"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A45B03"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44781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86,000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C05A9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5FD78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DB2D6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68C0F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147,000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BEF48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202,000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B7DF7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165,000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04E52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D8960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FFC07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86705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8F8EEB" w14:textId="3B841CA4" w:rsidR="00533CD2" w:rsidRDefault="00F246F3">
            <w:pPr>
              <w:ind w:left="57" w:right="57"/>
              <w:rPr>
                <w:rFonts w:ascii="Arial" w:eastAsia="Arial" w:hAnsi="Arial" w:cs="Arial"/>
                <w:color w:val="000000"/>
                <w:sz w:val="14"/>
              </w:rPr>
            </w:pPr>
            <w:r>
              <w:rPr>
                <w:rFonts w:ascii="Arial" w:eastAsia="Arial" w:hAnsi="Arial" w:cs="Arial"/>
                <w:color w:val="000000"/>
                <w:sz w:val="14"/>
              </w:rPr>
              <w:t>O</w:t>
            </w:r>
            <w:r w:rsidRPr="00450A6D">
              <w:rPr>
                <w:rFonts w:ascii="Arial" w:eastAsia="Arial" w:hAnsi="Arial" w:cs="Arial"/>
                <w:color w:val="000000"/>
                <w:sz w:val="14"/>
              </w:rPr>
              <w:t>dhad poskytnutý příjemci</w:t>
            </w:r>
            <w:r>
              <w:rPr>
                <w:rFonts w:ascii="Arial" w:eastAsia="Arial" w:hAnsi="Arial" w:cs="Arial"/>
                <w:color w:val="000000"/>
                <w:sz w:val="14"/>
              </w:rPr>
              <w:t xml:space="preserve"> u indikátoru 57 501 se snížil z 202 na 165, tneto pokles je způsoben změnami v projektech, kde došlo ke změně struktury vybavovaných pracovišť.</w:t>
            </w:r>
          </w:p>
        </w:tc>
      </w:tr>
      <w:tr w:rsidR="00533CD2" w14:paraId="683A8BE5"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E5459F"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ACBBAE"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57501/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A8D0A9"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nových a modernizovaných objektů sloužících složkám IZS</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59C40D"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Objekty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C30CB3"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CB1109"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59503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86,000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677F4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89FE0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3912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44AF5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6,000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0716C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010A3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84,000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F2800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2588E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018DA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A374E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C81E2E" w14:textId="77777777" w:rsidR="00533CD2" w:rsidRDefault="00533CD2">
            <w:pPr>
              <w:ind w:left="57" w:right="57"/>
              <w:rPr>
                <w:rFonts w:ascii="Arial" w:eastAsia="Arial" w:hAnsi="Arial" w:cs="Arial"/>
                <w:color w:val="000000"/>
                <w:sz w:val="14"/>
              </w:rPr>
            </w:pPr>
          </w:p>
        </w:tc>
      </w:tr>
    </w:tbl>
    <w:p w14:paraId="2915D172" w14:textId="77777777" w:rsidR="00533CD2" w:rsidRDefault="0046046C">
      <w:pPr>
        <w:keepNext/>
        <w:spacing w:before="240"/>
        <w:ind w:left="115" w:right="106"/>
        <w:jc w:val="both"/>
        <w:rPr>
          <w:rFonts w:ascii="Arial" w:eastAsia="Arial" w:hAnsi="Arial" w:cs="Arial"/>
          <w:color w:val="000000"/>
          <w:sz w:val="20"/>
        </w:rPr>
      </w:pPr>
      <w:r>
        <w:rPr>
          <w:rFonts w:ascii="Arial" w:eastAsia="Arial" w:hAnsi="Arial" w:cs="Arial"/>
          <w:color w:val="000000"/>
          <w:sz w:val="20"/>
        </w:rPr>
        <w:t>Investiční priorita: 06.1.42 Zvyšování regionální mobility prostřednictvím připojení sekundárních a terciárních uzlů k infrastruktuře sítě TEN-T, včetně multimodálních uzlů</w:t>
      </w:r>
    </w:p>
    <w:tbl>
      <w:tblPr>
        <w:tblW w:w="0" w:type="auto"/>
        <w:tblInd w:w="58" w:type="dxa"/>
        <w:tblLayout w:type="fixed"/>
        <w:tblCellMar>
          <w:left w:w="0" w:type="dxa"/>
          <w:right w:w="0" w:type="dxa"/>
        </w:tblCellMar>
        <w:tblLook w:val="04A0" w:firstRow="1" w:lastRow="0" w:firstColumn="1" w:lastColumn="0" w:noHBand="0" w:noVBand="1"/>
      </w:tblPr>
      <w:tblGrid>
        <w:gridCol w:w="1333"/>
        <w:gridCol w:w="567"/>
        <w:gridCol w:w="2268"/>
        <w:gridCol w:w="709"/>
        <w:gridCol w:w="709"/>
        <w:gridCol w:w="850"/>
        <w:gridCol w:w="766"/>
        <w:gridCol w:w="713"/>
        <w:gridCol w:w="700"/>
        <w:gridCol w:w="712"/>
        <w:gridCol w:w="739"/>
        <w:gridCol w:w="766"/>
        <w:gridCol w:w="708"/>
        <w:gridCol w:w="709"/>
        <w:gridCol w:w="711"/>
        <w:gridCol w:w="710"/>
        <w:gridCol w:w="712"/>
        <w:gridCol w:w="992"/>
      </w:tblGrid>
      <w:tr w:rsidR="00533CD2" w14:paraId="67247983" w14:textId="77777777">
        <w:trPr>
          <w:tblHeader/>
        </w:trPr>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10C28D" w14:textId="77777777" w:rsidR="00533CD2" w:rsidRDefault="00533CD2">
            <w:pPr>
              <w:ind w:left="57" w:right="57"/>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0487A5"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ID</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D49869"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Indikátor</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E7DB53"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Měrná jednotka</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D5B733"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Fond</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E1F445"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Kategorie regionu</w:t>
            </w:r>
          </w:p>
          <w:p w14:paraId="6E64E59D"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(je-li relevantní)</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C99D1D"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Cílová hodnota (2023)</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9D3CB9"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2014</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2F6137"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2015</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B17D48"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2016</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200833"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2017</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E76C97"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3D8B1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0DA79B"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E3AC43"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2021</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548712"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2022</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CE736A"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2E73FC"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Vysvětlení (v případě potřeby)</w:t>
            </w:r>
          </w:p>
        </w:tc>
      </w:tr>
      <w:tr w:rsidR="00533CD2" w14:paraId="0BFCDC94"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56972A"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F21AC5"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72200/CO13</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F9E2CA"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Celková délka nově postavených silnic</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7E3686"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km</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FE9609"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CEAB90"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989A6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146,000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68ABF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99622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56E94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0,487</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3F24D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9,125</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75888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28,450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45C6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54,039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5959F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DE542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4FD6B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ED870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60ADEC" w14:textId="0463DBC7" w:rsidR="00533CD2" w:rsidRDefault="00D93F37">
            <w:pPr>
              <w:ind w:left="57" w:right="57"/>
              <w:rPr>
                <w:rFonts w:ascii="Arial" w:eastAsia="Arial" w:hAnsi="Arial" w:cs="Arial"/>
                <w:color w:val="000000"/>
                <w:sz w:val="14"/>
              </w:rPr>
            </w:pPr>
            <w:r>
              <w:rPr>
                <w:rFonts w:ascii="Arial" w:eastAsia="Arial" w:hAnsi="Arial" w:cs="Arial"/>
                <w:color w:val="000000"/>
                <w:sz w:val="14"/>
              </w:rPr>
              <w:t xml:space="preserve">O aktivitu zaměřenou na stavbu nových silnic II. </w:t>
            </w:r>
            <w:proofErr w:type="gramStart"/>
            <w:r>
              <w:rPr>
                <w:rFonts w:ascii="Arial" w:eastAsia="Arial" w:hAnsi="Arial" w:cs="Arial"/>
                <w:color w:val="000000"/>
                <w:sz w:val="14"/>
              </w:rPr>
              <w:t>a</w:t>
            </w:r>
            <w:proofErr w:type="gramEnd"/>
            <w:r>
              <w:rPr>
                <w:rFonts w:ascii="Arial" w:eastAsia="Arial" w:hAnsi="Arial" w:cs="Arial"/>
                <w:color w:val="000000"/>
                <w:sz w:val="14"/>
              </w:rPr>
              <w:t xml:space="preserve"> III. </w:t>
            </w:r>
            <w:proofErr w:type="gramStart"/>
            <w:r>
              <w:rPr>
                <w:rFonts w:ascii="Arial" w:eastAsia="Arial" w:hAnsi="Arial" w:cs="Arial"/>
                <w:color w:val="000000"/>
                <w:sz w:val="14"/>
              </w:rPr>
              <w:t>třídy</w:t>
            </w:r>
            <w:proofErr w:type="gramEnd"/>
            <w:r>
              <w:rPr>
                <w:rFonts w:ascii="Arial" w:eastAsia="Arial" w:hAnsi="Arial" w:cs="Arial"/>
                <w:color w:val="000000"/>
                <w:sz w:val="14"/>
              </w:rPr>
              <w:t xml:space="preserve"> je v současnosti menší zájem, což je dáno složitostí přípravy projektů liniových staveb v ČR.</w:t>
            </w:r>
          </w:p>
        </w:tc>
      </w:tr>
      <w:tr w:rsidR="00533CD2" w14:paraId="0335C5DA"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A6C2D3"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8D072C"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72200/CO13</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58F9D3"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Celková délka nově postavených silnic</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75017F"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km</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C749EB"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6B7B9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71F53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146,000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D8841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5022A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4F02C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2AE53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A81CC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3,864</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643E0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9,595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AB8C0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28807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D5932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7BEA6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DD69F0" w14:textId="77777777" w:rsidR="00533CD2" w:rsidRDefault="00533CD2">
            <w:pPr>
              <w:ind w:left="57" w:right="57"/>
              <w:rPr>
                <w:rFonts w:ascii="Arial" w:eastAsia="Arial" w:hAnsi="Arial" w:cs="Arial"/>
                <w:color w:val="000000"/>
                <w:sz w:val="14"/>
              </w:rPr>
            </w:pPr>
          </w:p>
        </w:tc>
      </w:tr>
      <w:tr w:rsidR="00533CD2" w14:paraId="1DA97ED8"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F3EF60"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3302AB"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72300/CO14</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FA59A6"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Celková délka rekonstruovaných nebo modernizovaných silnic</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4E14FC"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km</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880607"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5C0566"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47DF2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729,000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482DB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0D88F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4C1EE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43,953</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4A867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344,377</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1486E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655,400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88FED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1 074,106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A4BE7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2CB97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D32F4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CAA03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7103BF" w14:textId="6248628E" w:rsidR="00533CD2" w:rsidRDefault="00D93F37">
            <w:pPr>
              <w:ind w:left="57" w:right="57"/>
              <w:rPr>
                <w:rFonts w:ascii="Arial" w:eastAsia="Arial" w:hAnsi="Arial" w:cs="Arial"/>
                <w:color w:val="000000"/>
                <w:sz w:val="14"/>
              </w:rPr>
            </w:pPr>
            <w:r>
              <w:rPr>
                <w:rFonts w:ascii="Arial" w:eastAsia="Arial" w:hAnsi="Arial" w:cs="Arial"/>
                <w:color w:val="000000"/>
                <w:sz w:val="14"/>
              </w:rPr>
              <w:t>ŘO v revizi PD navrhne nav</w:t>
            </w:r>
            <w:r w:rsidR="00DB58C8">
              <w:rPr>
                <w:rFonts w:ascii="Arial" w:eastAsia="Arial" w:hAnsi="Arial" w:cs="Arial"/>
                <w:color w:val="000000"/>
                <w:sz w:val="14"/>
              </w:rPr>
              <w:t>ý</w:t>
            </w:r>
            <w:r>
              <w:rPr>
                <w:rFonts w:ascii="Arial" w:eastAsia="Arial" w:hAnsi="Arial" w:cs="Arial"/>
                <w:color w:val="000000"/>
                <w:sz w:val="14"/>
              </w:rPr>
              <w:t xml:space="preserve">šit cílovou hodnotu indikátoru 72 300 a to </w:t>
            </w:r>
            <w:r w:rsidR="00DB58C8">
              <w:rPr>
                <w:rFonts w:ascii="Arial" w:eastAsia="Arial" w:hAnsi="Arial" w:cs="Arial"/>
                <w:color w:val="000000"/>
                <w:sz w:val="14"/>
              </w:rPr>
              <w:t>zejména</w:t>
            </w:r>
            <w:r>
              <w:rPr>
                <w:rFonts w:ascii="Arial" w:eastAsia="Arial" w:hAnsi="Arial" w:cs="Arial"/>
                <w:color w:val="000000"/>
                <w:sz w:val="14"/>
              </w:rPr>
              <w:t xml:space="preserve"> s ohledem na rozdělení zájmu žadatelů mezi nové (menší než očekávaný a modernizované (vysoký zájem) silnice.</w:t>
            </w:r>
          </w:p>
        </w:tc>
      </w:tr>
      <w:tr w:rsidR="00533CD2" w14:paraId="4A35D70D"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73F0C0"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E7A5C8"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72300/CO14</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CFADB0"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Celková délka rekonstruovaných nebo modernizovaných silnic</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473672"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km</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00707A"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E7F9F2"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6C9C0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729,000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AB37D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896DC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46044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1ED11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30,046</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491DA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364,476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035A8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902,092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B48BC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62A3D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33329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287E0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77D512" w14:textId="77777777" w:rsidR="00533CD2" w:rsidRDefault="00533CD2">
            <w:pPr>
              <w:ind w:left="57" w:right="57"/>
              <w:rPr>
                <w:rFonts w:ascii="Arial" w:eastAsia="Arial" w:hAnsi="Arial" w:cs="Arial"/>
                <w:color w:val="000000"/>
                <w:sz w:val="14"/>
              </w:rPr>
            </w:pPr>
          </w:p>
        </w:tc>
      </w:tr>
    </w:tbl>
    <w:p w14:paraId="0E87DA74" w14:textId="77777777" w:rsidR="00533CD2" w:rsidRDefault="0046046C">
      <w:pPr>
        <w:keepNext/>
        <w:spacing w:before="240"/>
        <w:ind w:left="115" w:right="106"/>
        <w:jc w:val="both"/>
        <w:rPr>
          <w:rFonts w:ascii="Arial" w:eastAsia="Arial" w:hAnsi="Arial" w:cs="Arial"/>
          <w:color w:val="000000"/>
          <w:sz w:val="20"/>
        </w:rPr>
      </w:pPr>
      <w:r>
        <w:rPr>
          <w:rFonts w:ascii="Arial" w:eastAsia="Arial" w:hAnsi="Arial" w:cs="Arial"/>
          <w:color w:val="000000"/>
          <w:sz w:val="20"/>
        </w:rPr>
        <w:t>Investiční priorita: 06.2.11 Podpora energetické účinnosti, inteligentních systémů hospodaření s energií a využívání energie z obnovitelných zdrojů ve veřejných infrastrukturách, mimo jiné ve veřejných budovách a v oblasti bydlení</w:t>
      </w:r>
    </w:p>
    <w:tbl>
      <w:tblPr>
        <w:tblW w:w="0" w:type="auto"/>
        <w:tblInd w:w="58" w:type="dxa"/>
        <w:tblLayout w:type="fixed"/>
        <w:tblCellMar>
          <w:left w:w="0" w:type="dxa"/>
          <w:right w:w="0" w:type="dxa"/>
        </w:tblCellMar>
        <w:tblLook w:val="04A0" w:firstRow="1" w:lastRow="0" w:firstColumn="1" w:lastColumn="0" w:noHBand="0" w:noVBand="1"/>
      </w:tblPr>
      <w:tblGrid>
        <w:gridCol w:w="1333"/>
        <w:gridCol w:w="567"/>
        <w:gridCol w:w="2268"/>
        <w:gridCol w:w="709"/>
        <w:gridCol w:w="709"/>
        <w:gridCol w:w="850"/>
        <w:gridCol w:w="766"/>
        <w:gridCol w:w="713"/>
        <w:gridCol w:w="700"/>
        <w:gridCol w:w="712"/>
        <w:gridCol w:w="739"/>
        <w:gridCol w:w="766"/>
        <w:gridCol w:w="708"/>
        <w:gridCol w:w="709"/>
        <w:gridCol w:w="711"/>
        <w:gridCol w:w="710"/>
        <w:gridCol w:w="712"/>
        <w:gridCol w:w="992"/>
      </w:tblGrid>
      <w:tr w:rsidR="00533CD2" w14:paraId="3507BB96" w14:textId="77777777">
        <w:trPr>
          <w:tblHeader/>
        </w:trPr>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D45E9F" w14:textId="77777777" w:rsidR="00533CD2" w:rsidRDefault="00533CD2">
            <w:pPr>
              <w:ind w:left="57" w:right="57"/>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3EC25E"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ID</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B36A5C"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Indikátor</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043FEF"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Měrná jednotka</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59EFA"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Fond</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80868E"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Kategorie regionu</w:t>
            </w:r>
          </w:p>
          <w:p w14:paraId="1DB6D619"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(je-li relevantní)</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02EC3"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Cílová hodnota (2023)</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4EB2B9"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2014</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2B52C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2015</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136188"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2016</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914B9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2017</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0DA7A4"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E4F2A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3DD3BA"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F03F24"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2021</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B3273D"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2022</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F51CDC"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610B9F"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Vysvětlení (v případě potřeby)</w:t>
            </w:r>
          </w:p>
        </w:tc>
      </w:tr>
      <w:tr w:rsidR="00533CD2" w14:paraId="07D13896"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B447C2"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317DEC"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32401/CO31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B89329"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domácností s lépe klasifikovanou spotřebou energie</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F27038"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Domácnosti</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C81CF1"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0B0220"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5D3E6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84 990,000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3082E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1BF28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33E78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3 627,000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451E1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19 396,000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A1786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41 965,000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9606D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49 669,000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90B7F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EDC34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6AAC5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61EB7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92B25C" w14:textId="77777777" w:rsidR="00533CD2" w:rsidRDefault="00533CD2">
            <w:pPr>
              <w:ind w:left="57" w:right="57"/>
              <w:rPr>
                <w:rFonts w:ascii="Arial" w:eastAsia="Arial" w:hAnsi="Arial" w:cs="Arial"/>
                <w:color w:val="000000"/>
                <w:sz w:val="14"/>
              </w:rPr>
            </w:pPr>
          </w:p>
        </w:tc>
      </w:tr>
      <w:tr w:rsidR="00533CD2" w14:paraId="63F9A00A" w14:textId="77777777" w:rsidTr="00E806C4">
        <w:trPr>
          <w:trHeight w:val="765"/>
        </w:trPr>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7478B6"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4783A9"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32401/CO31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929DF2"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domácností s lépe klasifikovanou spotřebou energie</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C2310F"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Domácnosti</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E0CA0A"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B3C74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F20E3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84 990,000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176E9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FAED1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65D7A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46,000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0F152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5 598,000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AA8FA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20 640,000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56768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35 265,000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0EDA7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E0AA0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E7A65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E5ECC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B8F0C6" w14:textId="77777777" w:rsidR="00533CD2" w:rsidRDefault="00533CD2">
            <w:pPr>
              <w:ind w:left="57" w:right="57"/>
              <w:rPr>
                <w:rFonts w:ascii="Arial" w:eastAsia="Arial" w:hAnsi="Arial" w:cs="Arial"/>
                <w:color w:val="000000"/>
                <w:sz w:val="14"/>
              </w:rPr>
            </w:pPr>
          </w:p>
        </w:tc>
      </w:tr>
      <w:tr w:rsidR="00533CD2" w14:paraId="4B40093E"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7D7DBD"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DC142"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32402/</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FBD5B9"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domácností se sníženou spotřebou energie bez zlepšení klasifikace spotřeby energie</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42DE64"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Domácnosti</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5A8768"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097BE5"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E2D53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2 041,000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1B3ED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472C2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75B0C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0BAF9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195,000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5CF46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617,000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18C92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676,000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E94CF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3B306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BC6C2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8E0FB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FE1A34" w14:textId="77777777" w:rsidR="00533CD2" w:rsidRDefault="00533CD2">
            <w:pPr>
              <w:ind w:left="57" w:right="57"/>
              <w:rPr>
                <w:rFonts w:ascii="Arial" w:eastAsia="Arial" w:hAnsi="Arial" w:cs="Arial"/>
                <w:color w:val="000000"/>
                <w:sz w:val="14"/>
              </w:rPr>
            </w:pPr>
          </w:p>
        </w:tc>
      </w:tr>
      <w:tr w:rsidR="00533CD2" w14:paraId="135E545A"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AF6CE2"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F10061"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32402/</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A860D5"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domácností se sníženou spotřebou energie bez zlepšení klasifikace spotřeby energie</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978BD1"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Domácnosti</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DBB2DC"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6964FB"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53E0D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2 041,000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E4F13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06C0C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1E0DB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01490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117,000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5C3F4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223,000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F4728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462,000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DAF99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A6E20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396F1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67DC0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7129D2" w14:textId="77777777" w:rsidR="00533CD2" w:rsidRDefault="00533CD2">
            <w:pPr>
              <w:ind w:left="57" w:right="57"/>
              <w:rPr>
                <w:rFonts w:ascii="Arial" w:eastAsia="Arial" w:hAnsi="Arial" w:cs="Arial"/>
                <w:color w:val="000000"/>
                <w:sz w:val="14"/>
              </w:rPr>
            </w:pPr>
          </w:p>
        </w:tc>
      </w:tr>
      <w:tr w:rsidR="00533CD2" w14:paraId="2EE9F5D9"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D6CC3A"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658424"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36010/CO34</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8B4653"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Odhadované roční snížení emisí skleníkových plynů</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15B18B"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Tuny ekvivalentu CO2/rok</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492812"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92F6B6"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0F522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194 296,000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CE5D5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DF593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6DD2C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34 880,449</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3B8FD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70 896,928</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0A988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313 088,689</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8B4AD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366 144,155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C1F57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393C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790B3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AF1EB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3AD429" w14:textId="77777777" w:rsidR="00533CD2" w:rsidRDefault="00533CD2">
            <w:pPr>
              <w:ind w:left="57" w:right="57"/>
              <w:rPr>
                <w:rFonts w:ascii="Arial" w:eastAsia="Arial" w:hAnsi="Arial" w:cs="Arial"/>
                <w:color w:val="000000"/>
                <w:sz w:val="14"/>
              </w:rPr>
            </w:pPr>
          </w:p>
        </w:tc>
      </w:tr>
      <w:tr w:rsidR="00533CD2" w14:paraId="31BD3A50"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894E36"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8A594B"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36010/CO34</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904665"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Odhadované roční snížení emisí skleníkových plynů</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E97AB6"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Tuny ekvivalentu CO2/rok</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159939"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A3D1FB"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BB85D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194 296,000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0971A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5AD00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EAFEF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79,697</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436D6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40 367,444</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C98F9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70 845,884</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96F47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183 148,993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2E4ED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92F8A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5AE0A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68944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0C1637" w14:textId="77777777" w:rsidR="00533CD2" w:rsidRDefault="00533CD2">
            <w:pPr>
              <w:ind w:left="57" w:right="57"/>
              <w:rPr>
                <w:rFonts w:ascii="Arial" w:eastAsia="Arial" w:hAnsi="Arial" w:cs="Arial"/>
                <w:color w:val="000000"/>
                <w:sz w:val="14"/>
              </w:rPr>
            </w:pPr>
          </w:p>
        </w:tc>
      </w:tr>
    </w:tbl>
    <w:p w14:paraId="4372CC21" w14:textId="77777777" w:rsidR="00533CD2" w:rsidRDefault="0046046C">
      <w:pPr>
        <w:keepNext/>
        <w:spacing w:before="240"/>
        <w:ind w:left="115" w:right="106"/>
        <w:jc w:val="both"/>
        <w:rPr>
          <w:rFonts w:ascii="Arial" w:eastAsia="Arial" w:hAnsi="Arial" w:cs="Arial"/>
          <w:color w:val="000000"/>
          <w:sz w:val="20"/>
        </w:rPr>
      </w:pPr>
      <w:r>
        <w:rPr>
          <w:rFonts w:ascii="Arial" w:eastAsia="Arial" w:hAnsi="Arial" w:cs="Arial"/>
          <w:color w:val="000000"/>
          <w:sz w:val="20"/>
        </w:rPr>
        <w:t>Investiční priorita: 06.2.56 Investice do zdravotnické a sociální infrastruktury, které přispívají k celostátnímu, regionálnímu a místnímu rozvoji, snižování nerovností, pokud jde o zdravotní stav, podpora sociálního začlenění díky lepšímu přístupu k sociálním, kulturním a rekreačním službám a přechodem od institucionálních ke komunitním službám</w:t>
      </w:r>
    </w:p>
    <w:tbl>
      <w:tblPr>
        <w:tblW w:w="0" w:type="auto"/>
        <w:tblInd w:w="58" w:type="dxa"/>
        <w:tblLayout w:type="fixed"/>
        <w:tblCellMar>
          <w:left w:w="0" w:type="dxa"/>
          <w:right w:w="0" w:type="dxa"/>
        </w:tblCellMar>
        <w:tblLook w:val="04A0" w:firstRow="1" w:lastRow="0" w:firstColumn="1" w:lastColumn="0" w:noHBand="0" w:noVBand="1"/>
      </w:tblPr>
      <w:tblGrid>
        <w:gridCol w:w="1333"/>
        <w:gridCol w:w="567"/>
        <w:gridCol w:w="2268"/>
        <w:gridCol w:w="709"/>
        <w:gridCol w:w="709"/>
        <w:gridCol w:w="850"/>
        <w:gridCol w:w="766"/>
        <w:gridCol w:w="713"/>
        <w:gridCol w:w="700"/>
        <w:gridCol w:w="712"/>
        <w:gridCol w:w="739"/>
        <w:gridCol w:w="766"/>
        <w:gridCol w:w="708"/>
        <w:gridCol w:w="709"/>
        <w:gridCol w:w="711"/>
        <w:gridCol w:w="710"/>
        <w:gridCol w:w="712"/>
        <w:gridCol w:w="992"/>
      </w:tblGrid>
      <w:tr w:rsidR="00533CD2" w14:paraId="008CFE80" w14:textId="77777777">
        <w:trPr>
          <w:tblHeader/>
        </w:trPr>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0DE941" w14:textId="77777777" w:rsidR="00533CD2" w:rsidRDefault="00533CD2">
            <w:pPr>
              <w:ind w:left="57" w:right="57"/>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BA1F3A"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ID</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4CF240"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Indikátor</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F65698"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Měrná jednotka</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64DACA"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Fond</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2A3B7F"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Kategorie regionu</w:t>
            </w:r>
          </w:p>
          <w:p w14:paraId="33392EE2"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(je-li relevantní)</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C87356"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Cílová hodnota (2023)</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FD7EEA"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2014</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FA943A"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2015</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1537E8"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2016</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0E9A05"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2017</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378A62"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C49FE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3733A4"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C4E26F"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2021</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2F9D94"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2022</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BD2E2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9F690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Vysvětlení (v případě potřeby)</w:t>
            </w:r>
          </w:p>
        </w:tc>
      </w:tr>
      <w:tr w:rsidR="00A664FB" w14:paraId="01AF618C"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0C1685" w14:textId="77777777" w:rsidR="00A664FB" w:rsidRDefault="00A664FB" w:rsidP="00A664FB"/>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C8B1A1" w14:textId="77777777" w:rsidR="00A664FB" w:rsidRDefault="00A664FB" w:rsidP="00A664FB">
            <w:pPr>
              <w:tabs>
                <w:tab w:val="left" w:pos="828"/>
              </w:tabs>
              <w:ind w:left="57" w:right="57"/>
              <w:rPr>
                <w:rFonts w:ascii="Arial" w:eastAsia="Arial" w:hAnsi="Arial" w:cs="Arial"/>
                <w:color w:val="000000"/>
                <w:sz w:val="14"/>
              </w:rPr>
            </w:pPr>
            <w:r>
              <w:rPr>
                <w:rFonts w:ascii="Arial" w:eastAsia="Arial" w:hAnsi="Arial" w:cs="Arial"/>
                <w:color w:val="000000"/>
                <w:sz w:val="14"/>
              </w:rPr>
              <w:t>55101/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532D1A" w14:textId="77777777" w:rsidR="00A664FB" w:rsidRDefault="00A664FB" w:rsidP="00A664FB">
            <w:pPr>
              <w:tabs>
                <w:tab w:val="left" w:pos="828"/>
              </w:tabs>
              <w:ind w:left="57" w:right="57"/>
              <w:rPr>
                <w:rFonts w:ascii="Arial" w:eastAsia="Arial" w:hAnsi="Arial" w:cs="Arial"/>
                <w:color w:val="000000"/>
                <w:sz w:val="14"/>
              </w:rPr>
            </w:pPr>
            <w:r>
              <w:rPr>
                <w:rFonts w:ascii="Arial" w:eastAsia="Arial" w:hAnsi="Arial" w:cs="Arial"/>
                <w:color w:val="000000"/>
                <w:sz w:val="14"/>
              </w:rPr>
              <w:t>Počet podpořených polyfunkčních komunitních center</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F62074" w14:textId="77777777" w:rsidR="00A664FB" w:rsidRDefault="00A664FB" w:rsidP="00A664FB">
            <w:pPr>
              <w:ind w:left="57" w:right="57"/>
              <w:rPr>
                <w:rFonts w:ascii="Arial" w:eastAsia="Arial" w:hAnsi="Arial" w:cs="Arial"/>
                <w:color w:val="000000"/>
                <w:sz w:val="14"/>
              </w:rPr>
            </w:pPr>
            <w:r>
              <w:rPr>
                <w:rFonts w:ascii="Arial" w:eastAsia="Arial" w:hAnsi="Arial" w:cs="Arial"/>
                <w:color w:val="000000"/>
                <w:sz w:val="14"/>
              </w:rPr>
              <w:t>Zařízení</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47CC18" w14:textId="77777777" w:rsidR="00A664FB" w:rsidRDefault="00A664FB" w:rsidP="00A664FB">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6D9946" w14:textId="77777777" w:rsidR="00A664FB" w:rsidRDefault="00A664FB" w:rsidP="00A664FB">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9DE320"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13,000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1F3485"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2E8965"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598836"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CB6A02"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AEC497"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11,000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B8A3FB"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9,000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77A6D5"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47FA45"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58E815"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CC3E41"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7D082C" w14:textId="5EBF2734" w:rsidR="00A664FB" w:rsidRDefault="00A664FB" w:rsidP="00A664FB">
            <w:pPr>
              <w:ind w:left="57" w:right="57"/>
              <w:rPr>
                <w:rFonts w:ascii="Arial" w:eastAsia="Arial" w:hAnsi="Arial" w:cs="Arial"/>
                <w:color w:val="000000"/>
                <w:sz w:val="14"/>
              </w:rPr>
            </w:pPr>
            <w:r>
              <w:rPr>
                <w:rFonts w:ascii="Arial" w:eastAsia="Arial" w:hAnsi="Arial" w:cs="Arial"/>
                <w:color w:val="000000"/>
                <w:sz w:val="14"/>
              </w:rPr>
              <w:t>Z důvodů nedokončení některých projektů došlo ke snížení odahodované hodnoty indikátoru 55101. K dokončení první vlny projektů dojde v letech 2020.</w:t>
            </w:r>
          </w:p>
        </w:tc>
      </w:tr>
      <w:tr w:rsidR="00A664FB" w14:paraId="534166CC"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3DD801" w14:textId="77777777" w:rsidR="00A664FB" w:rsidRDefault="00A664FB" w:rsidP="00A664FB">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947549" w14:textId="77777777" w:rsidR="00A664FB" w:rsidRDefault="00A664FB" w:rsidP="00A664FB">
            <w:pPr>
              <w:tabs>
                <w:tab w:val="left" w:pos="828"/>
              </w:tabs>
              <w:ind w:left="57" w:right="57"/>
              <w:rPr>
                <w:rFonts w:ascii="Arial" w:eastAsia="Arial" w:hAnsi="Arial" w:cs="Arial"/>
                <w:color w:val="000000"/>
                <w:sz w:val="14"/>
              </w:rPr>
            </w:pPr>
            <w:r>
              <w:rPr>
                <w:rFonts w:ascii="Arial" w:eastAsia="Arial" w:hAnsi="Arial" w:cs="Arial"/>
                <w:color w:val="000000"/>
                <w:sz w:val="14"/>
              </w:rPr>
              <w:t>55101/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64309D" w14:textId="77777777" w:rsidR="00A664FB" w:rsidRDefault="00A664FB" w:rsidP="00A664FB">
            <w:pPr>
              <w:tabs>
                <w:tab w:val="left" w:pos="828"/>
              </w:tabs>
              <w:ind w:left="57" w:right="57"/>
              <w:rPr>
                <w:rFonts w:ascii="Arial" w:eastAsia="Arial" w:hAnsi="Arial" w:cs="Arial"/>
                <w:color w:val="000000"/>
                <w:sz w:val="14"/>
              </w:rPr>
            </w:pPr>
            <w:r>
              <w:rPr>
                <w:rFonts w:ascii="Arial" w:eastAsia="Arial" w:hAnsi="Arial" w:cs="Arial"/>
                <w:color w:val="000000"/>
                <w:sz w:val="14"/>
              </w:rPr>
              <w:t>Počet podpořených polyfunkčních komunitních center</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A9A844" w14:textId="77777777" w:rsidR="00A664FB" w:rsidRDefault="00A664FB" w:rsidP="00A664FB">
            <w:pPr>
              <w:ind w:left="57" w:right="57"/>
              <w:rPr>
                <w:rFonts w:ascii="Arial" w:eastAsia="Arial" w:hAnsi="Arial" w:cs="Arial"/>
                <w:color w:val="000000"/>
                <w:sz w:val="14"/>
              </w:rPr>
            </w:pPr>
            <w:r>
              <w:rPr>
                <w:rFonts w:ascii="Arial" w:eastAsia="Arial" w:hAnsi="Arial" w:cs="Arial"/>
                <w:color w:val="000000"/>
                <w:sz w:val="14"/>
              </w:rPr>
              <w:t>Zařízení</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A8F925" w14:textId="77777777" w:rsidR="00A664FB" w:rsidRDefault="00A664FB" w:rsidP="00A664FB">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6ABC03" w14:textId="77777777" w:rsidR="00A664FB" w:rsidRDefault="00A664FB" w:rsidP="00A664FB">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B8213"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13,000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9FB93"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B52D2A"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927A46"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69BD59"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91EB27"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F71F9D"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84D22E"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800A34"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14180C"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EB762D"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2172E4" w14:textId="77777777" w:rsidR="00A664FB" w:rsidRDefault="00A664FB" w:rsidP="00A664FB">
            <w:pPr>
              <w:ind w:left="57" w:right="57"/>
              <w:rPr>
                <w:rFonts w:ascii="Arial" w:eastAsia="Arial" w:hAnsi="Arial" w:cs="Arial"/>
                <w:color w:val="000000"/>
                <w:sz w:val="14"/>
              </w:rPr>
            </w:pPr>
          </w:p>
        </w:tc>
      </w:tr>
      <w:tr w:rsidR="00A664FB" w14:paraId="2EAFDF6D"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119560" w14:textId="77777777" w:rsidR="00A664FB" w:rsidRDefault="00A664FB" w:rsidP="00A664FB"/>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C419E" w14:textId="77777777" w:rsidR="00A664FB" w:rsidRDefault="00A664FB" w:rsidP="00A664FB">
            <w:pPr>
              <w:tabs>
                <w:tab w:val="left" w:pos="828"/>
              </w:tabs>
              <w:ind w:left="57" w:right="57"/>
              <w:rPr>
                <w:rFonts w:ascii="Arial" w:eastAsia="Arial" w:hAnsi="Arial" w:cs="Arial"/>
                <w:color w:val="000000"/>
                <w:sz w:val="14"/>
              </w:rPr>
            </w:pPr>
            <w:r>
              <w:rPr>
                <w:rFonts w:ascii="Arial" w:eastAsia="Arial" w:hAnsi="Arial" w:cs="Arial"/>
                <w:color w:val="000000"/>
                <w:sz w:val="14"/>
              </w:rPr>
              <w:t>55301/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8E17A6" w14:textId="77777777" w:rsidR="00A664FB" w:rsidRDefault="00A664FB" w:rsidP="00A664FB">
            <w:pPr>
              <w:tabs>
                <w:tab w:val="left" w:pos="828"/>
              </w:tabs>
              <w:ind w:left="57" w:right="57"/>
              <w:rPr>
                <w:rFonts w:ascii="Arial" w:eastAsia="Arial" w:hAnsi="Arial" w:cs="Arial"/>
                <w:color w:val="000000"/>
                <w:sz w:val="14"/>
              </w:rPr>
            </w:pPr>
            <w:r>
              <w:rPr>
                <w:rFonts w:ascii="Arial" w:eastAsia="Arial" w:hAnsi="Arial" w:cs="Arial"/>
                <w:color w:val="000000"/>
                <w:sz w:val="14"/>
              </w:rPr>
              <w:t>Počet podpořených bytů pro sociální bydlení</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2E1F8F" w14:textId="77777777" w:rsidR="00A664FB" w:rsidRDefault="00A664FB" w:rsidP="00A664FB">
            <w:pPr>
              <w:ind w:left="57" w:right="57"/>
              <w:rPr>
                <w:rFonts w:ascii="Arial" w:eastAsia="Arial" w:hAnsi="Arial" w:cs="Arial"/>
                <w:color w:val="000000"/>
                <w:sz w:val="14"/>
              </w:rPr>
            </w:pPr>
            <w:r>
              <w:rPr>
                <w:rFonts w:ascii="Arial" w:eastAsia="Arial" w:hAnsi="Arial" w:cs="Arial"/>
                <w:color w:val="000000"/>
                <w:sz w:val="14"/>
              </w:rPr>
              <w:t>Bytové jednotky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7D8C49" w14:textId="77777777" w:rsidR="00A664FB" w:rsidRDefault="00A664FB" w:rsidP="00A664FB">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7BB678" w14:textId="77777777" w:rsidR="00A664FB" w:rsidRDefault="00A664FB" w:rsidP="00A664FB">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13ED71"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5 000,000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88C558"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078AC6"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63A48D"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AC67CC"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519,000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16EE40"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922,000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BEF1BB"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2 091,000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4C5CAB"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8BB568"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BB33D8"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C0AFE0"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27E602" w14:textId="77777777" w:rsidR="00A664FB" w:rsidRDefault="00A664FB" w:rsidP="00A664FB">
            <w:pPr>
              <w:ind w:left="57" w:right="57"/>
              <w:rPr>
                <w:rFonts w:ascii="Arial" w:eastAsia="Arial" w:hAnsi="Arial" w:cs="Arial"/>
                <w:color w:val="000000"/>
                <w:sz w:val="14"/>
              </w:rPr>
            </w:pPr>
          </w:p>
        </w:tc>
      </w:tr>
      <w:tr w:rsidR="00A664FB" w14:paraId="2D1FA0B9"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1B2673" w14:textId="77777777" w:rsidR="00A664FB" w:rsidRDefault="00A664FB" w:rsidP="00A664FB">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9ED90E" w14:textId="77777777" w:rsidR="00A664FB" w:rsidRDefault="00A664FB" w:rsidP="00A664FB">
            <w:pPr>
              <w:tabs>
                <w:tab w:val="left" w:pos="828"/>
              </w:tabs>
              <w:ind w:left="57" w:right="57"/>
              <w:rPr>
                <w:rFonts w:ascii="Arial" w:eastAsia="Arial" w:hAnsi="Arial" w:cs="Arial"/>
                <w:color w:val="000000"/>
                <w:sz w:val="14"/>
              </w:rPr>
            </w:pPr>
            <w:r>
              <w:rPr>
                <w:rFonts w:ascii="Arial" w:eastAsia="Arial" w:hAnsi="Arial" w:cs="Arial"/>
                <w:color w:val="000000"/>
                <w:sz w:val="14"/>
              </w:rPr>
              <w:t>55301/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F9A84D" w14:textId="77777777" w:rsidR="00A664FB" w:rsidRDefault="00A664FB" w:rsidP="00A664FB">
            <w:pPr>
              <w:tabs>
                <w:tab w:val="left" w:pos="828"/>
              </w:tabs>
              <w:ind w:left="57" w:right="57"/>
              <w:rPr>
                <w:rFonts w:ascii="Arial" w:eastAsia="Arial" w:hAnsi="Arial" w:cs="Arial"/>
                <w:color w:val="000000"/>
                <w:sz w:val="14"/>
              </w:rPr>
            </w:pPr>
            <w:r>
              <w:rPr>
                <w:rFonts w:ascii="Arial" w:eastAsia="Arial" w:hAnsi="Arial" w:cs="Arial"/>
                <w:color w:val="000000"/>
                <w:sz w:val="14"/>
              </w:rPr>
              <w:t>Počet podpořených bytů pro sociální bydlení</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A9759" w14:textId="77777777" w:rsidR="00A664FB" w:rsidRDefault="00A664FB" w:rsidP="00A664FB">
            <w:pPr>
              <w:ind w:left="57" w:right="57"/>
              <w:rPr>
                <w:rFonts w:ascii="Arial" w:eastAsia="Arial" w:hAnsi="Arial" w:cs="Arial"/>
                <w:color w:val="000000"/>
                <w:sz w:val="14"/>
              </w:rPr>
            </w:pPr>
            <w:r>
              <w:rPr>
                <w:rFonts w:ascii="Arial" w:eastAsia="Arial" w:hAnsi="Arial" w:cs="Arial"/>
                <w:color w:val="000000"/>
                <w:sz w:val="14"/>
              </w:rPr>
              <w:t>Bytové jednotky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4CF118" w14:textId="77777777" w:rsidR="00A664FB" w:rsidRDefault="00A664FB" w:rsidP="00A664FB">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CA15AA" w14:textId="77777777" w:rsidR="00A664FB" w:rsidRDefault="00A664FB" w:rsidP="00A664FB">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ADDC9F"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5 000,000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F58CA4"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2130FD"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6149B3"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555887"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48,000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322096"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470,000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1909C3"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716,000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984D91"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E47158"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DD0341"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D296A1"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E952F0" w14:textId="77777777" w:rsidR="00A664FB" w:rsidRDefault="00A664FB" w:rsidP="00A664FB">
            <w:pPr>
              <w:ind w:left="57" w:right="57"/>
              <w:rPr>
                <w:rFonts w:ascii="Arial" w:eastAsia="Arial" w:hAnsi="Arial" w:cs="Arial"/>
                <w:color w:val="000000"/>
                <w:sz w:val="14"/>
              </w:rPr>
            </w:pPr>
          </w:p>
        </w:tc>
      </w:tr>
      <w:tr w:rsidR="00A664FB" w14:paraId="394E7334"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65A363" w14:textId="77777777" w:rsidR="00A664FB" w:rsidRDefault="00A664FB" w:rsidP="00A664FB"/>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39E010" w14:textId="77777777" w:rsidR="00A664FB" w:rsidRDefault="00A664FB" w:rsidP="00A664FB">
            <w:pPr>
              <w:tabs>
                <w:tab w:val="left" w:pos="828"/>
              </w:tabs>
              <w:ind w:left="57" w:right="57"/>
              <w:rPr>
                <w:rFonts w:ascii="Arial" w:eastAsia="Arial" w:hAnsi="Arial" w:cs="Arial"/>
                <w:color w:val="000000"/>
                <w:sz w:val="14"/>
              </w:rPr>
            </w:pPr>
            <w:r>
              <w:rPr>
                <w:rFonts w:ascii="Arial" w:eastAsia="Arial" w:hAnsi="Arial" w:cs="Arial"/>
                <w:color w:val="000000"/>
                <w:sz w:val="14"/>
              </w:rPr>
              <w:t>55401/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558A25" w14:textId="77777777" w:rsidR="00A664FB" w:rsidRDefault="00A664FB" w:rsidP="00A664FB">
            <w:pPr>
              <w:tabs>
                <w:tab w:val="left" w:pos="828"/>
              </w:tabs>
              <w:ind w:left="57" w:right="57"/>
              <w:rPr>
                <w:rFonts w:ascii="Arial" w:eastAsia="Arial" w:hAnsi="Arial" w:cs="Arial"/>
                <w:color w:val="000000"/>
                <w:sz w:val="14"/>
              </w:rPr>
            </w:pPr>
            <w:r>
              <w:rPr>
                <w:rFonts w:ascii="Arial" w:eastAsia="Arial" w:hAnsi="Arial" w:cs="Arial"/>
                <w:color w:val="000000"/>
                <w:sz w:val="14"/>
              </w:rPr>
              <w:t>Počet podpořených zázemí pro služby a sociální práci</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A1A075" w14:textId="77777777" w:rsidR="00A664FB" w:rsidRDefault="00A664FB" w:rsidP="00A664FB">
            <w:pPr>
              <w:ind w:left="57" w:right="57"/>
              <w:rPr>
                <w:rFonts w:ascii="Arial" w:eastAsia="Arial" w:hAnsi="Arial" w:cs="Arial"/>
                <w:color w:val="000000"/>
                <w:sz w:val="14"/>
              </w:rPr>
            </w:pPr>
            <w:r>
              <w:rPr>
                <w:rFonts w:ascii="Arial" w:eastAsia="Arial" w:hAnsi="Arial" w:cs="Arial"/>
                <w:color w:val="000000"/>
                <w:sz w:val="14"/>
              </w:rPr>
              <w:t>Zázemí</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957B72" w14:textId="77777777" w:rsidR="00A664FB" w:rsidRDefault="00A664FB" w:rsidP="00A664FB">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ADC789" w14:textId="77777777" w:rsidR="00A664FB" w:rsidRDefault="00A664FB" w:rsidP="00A664FB">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CCCE2E"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700,000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0E7467"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948E61"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26D58F"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2,000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DBC33E"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583,000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DDDCDF"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945,000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6F0518"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852,000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233864"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3749E3"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1A8971"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17972F"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0FA589" w14:textId="77777777" w:rsidR="00A664FB" w:rsidRDefault="00A664FB" w:rsidP="00A664FB">
            <w:pPr>
              <w:ind w:left="57" w:right="57"/>
              <w:rPr>
                <w:rFonts w:ascii="Arial" w:eastAsia="Arial" w:hAnsi="Arial" w:cs="Arial"/>
                <w:color w:val="000000"/>
                <w:sz w:val="14"/>
              </w:rPr>
            </w:pPr>
          </w:p>
        </w:tc>
      </w:tr>
      <w:tr w:rsidR="00A664FB" w14:paraId="6E885D80"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A6643D" w14:textId="77777777" w:rsidR="00A664FB" w:rsidRDefault="00A664FB" w:rsidP="00A664FB">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60438A" w14:textId="77777777" w:rsidR="00A664FB" w:rsidRDefault="00A664FB" w:rsidP="00A664FB">
            <w:pPr>
              <w:tabs>
                <w:tab w:val="left" w:pos="828"/>
              </w:tabs>
              <w:ind w:left="57" w:right="57"/>
              <w:rPr>
                <w:rFonts w:ascii="Arial" w:eastAsia="Arial" w:hAnsi="Arial" w:cs="Arial"/>
                <w:color w:val="000000"/>
                <w:sz w:val="14"/>
              </w:rPr>
            </w:pPr>
            <w:r>
              <w:rPr>
                <w:rFonts w:ascii="Arial" w:eastAsia="Arial" w:hAnsi="Arial" w:cs="Arial"/>
                <w:color w:val="000000"/>
                <w:sz w:val="14"/>
              </w:rPr>
              <w:t>55401/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0BD4A3" w14:textId="77777777" w:rsidR="00A664FB" w:rsidRDefault="00A664FB" w:rsidP="00A664FB">
            <w:pPr>
              <w:tabs>
                <w:tab w:val="left" w:pos="828"/>
              </w:tabs>
              <w:ind w:left="57" w:right="57"/>
              <w:rPr>
                <w:rFonts w:ascii="Arial" w:eastAsia="Arial" w:hAnsi="Arial" w:cs="Arial"/>
                <w:color w:val="000000"/>
                <w:sz w:val="14"/>
              </w:rPr>
            </w:pPr>
            <w:r>
              <w:rPr>
                <w:rFonts w:ascii="Arial" w:eastAsia="Arial" w:hAnsi="Arial" w:cs="Arial"/>
                <w:color w:val="000000"/>
                <w:sz w:val="14"/>
              </w:rPr>
              <w:t>Počet podpořených zázemí pro služby a sociální práci</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E919F9" w14:textId="77777777" w:rsidR="00A664FB" w:rsidRDefault="00A664FB" w:rsidP="00A664FB">
            <w:pPr>
              <w:ind w:left="57" w:right="57"/>
              <w:rPr>
                <w:rFonts w:ascii="Arial" w:eastAsia="Arial" w:hAnsi="Arial" w:cs="Arial"/>
                <w:color w:val="000000"/>
                <w:sz w:val="14"/>
              </w:rPr>
            </w:pPr>
            <w:r>
              <w:rPr>
                <w:rFonts w:ascii="Arial" w:eastAsia="Arial" w:hAnsi="Arial" w:cs="Arial"/>
                <w:color w:val="000000"/>
                <w:sz w:val="14"/>
              </w:rPr>
              <w:t>Zázemí</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965E78" w14:textId="77777777" w:rsidR="00A664FB" w:rsidRDefault="00A664FB" w:rsidP="00A664FB">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B2F97C" w14:textId="77777777" w:rsidR="00A664FB" w:rsidRDefault="00A664FB" w:rsidP="00A664FB">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9E65D"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700,000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A728DE"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D7B77E"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A75DBA"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C37346"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18,000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2A21F1"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241,000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64E867"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529,000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3486B0"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2014E2"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CE0130"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10552B"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A03E72" w14:textId="77777777" w:rsidR="00A664FB" w:rsidRDefault="00A664FB" w:rsidP="00A664FB">
            <w:pPr>
              <w:ind w:left="57" w:right="57"/>
              <w:rPr>
                <w:rFonts w:ascii="Arial" w:eastAsia="Arial" w:hAnsi="Arial" w:cs="Arial"/>
                <w:color w:val="000000"/>
                <w:sz w:val="14"/>
              </w:rPr>
            </w:pPr>
          </w:p>
        </w:tc>
      </w:tr>
      <w:tr w:rsidR="00A664FB" w14:paraId="2ECF2121"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77D949" w14:textId="77777777" w:rsidR="00A664FB" w:rsidRDefault="00A664FB" w:rsidP="00A664FB"/>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D77AA6" w14:textId="77777777" w:rsidR="00A664FB" w:rsidRDefault="00A664FB" w:rsidP="00A664FB">
            <w:pPr>
              <w:tabs>
                <w:tab w:val="left" w:pos="828"/>
              </w:tabs>
              <w:ind w:left="57" w:right="57"/>
              <w:rPr>
                <w:rFonts w:ascii="Arial" w:eastAsia="Arial" w:hAnsi="Arial" w:cs="Arial"/>
                <w:color w:val="000000"/>
                <w:sz w:val="14"/>
              </w:rPr>
            </w:pPr>
            <w:r>
              <w:rPr>
                <w:rFonts w:ascii="Arial" w:eastAsia="Arial" w:hAnsi="Arial" w:cs="Arial"/>
                <w:color w:val="000000"/>
                <w:sz w:val="14"/>
              </w:rPr>
              <w:t>57301/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88DD77" w14:textId="77777777" w:rsidR="00A664FB" w:rsidRDefault="00A664FB" w:rsidP="00A664FB">
            <w:pPr>
              <w:tabs>
                <w:tab w:val="left" w:pos="828"/>
              </w:tabs>
              <w:ind w:left="57" w:right="57"/>
              <w:rPr>
                <w:rFonts w:ascii="Arial" w:eastAsia="Arial" w:hAnsi="Arial" w:cs="Arial"/>
                <w:color w:val="000000"/>
                <w:sz w:val="14"/>
              </w:rPr>
            </w:pPr>
            <w:r>
              <w:rPr>
                <w:rFonts w:ascii="Arial" w:eastAsia="Arial" w:hAnsi="Arial" w:cs="Arial"/>
                <w:color w:val="000000"/>
                <w:sz w:val="14"/>
              </w:rPr>
              <w:t>Počet podpořených poskytovatelů psychiatrické péče</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A4F52F" w14:textId="77777777" w:rsidR="00A664FB" w:rsidRDefault="00A664FB" w:rsidP="00A664FB">
            <w:pPr>
              <w:ind w:left="57" w:right="57"/>
              <w:rPr>
                <w:rFonts w:ascii="Arial" w:eastAsia="Arial" w:hAnsi="Arial" w:cs="Arial"/>
                <w:color w:val="000000"/>
                <w:sz w:val="14"/>
              </w:rPr>
            </w:pPr>
            <w:r>
              <w:rPr>
                <w:rFonts w:ascii="Arial" w:eastAsia="Arial" w:hAnsi="Arial" w:cs="Arial"/>
                <w:color w:val="000000"/>
                <w:sz w:val="14"/>
              </w:rPr>
              <w:t>Poskytovatelé</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5EF139" w14:textId="77777777" w:rsidR="00A664FB" w:rsidRDefault="00A664FB" w:rsidP="00A664FB">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592027" w14:textId="77777777" w:rsidR="00A664FB" w:rsidRDefault="00A664FB" w:rsidP="00A664FB">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33492A"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65,000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8AB7A9"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B49B58"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B86DB6"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55CACA"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7,000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5181E6"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15,000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F11836"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15,000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3AD0A5"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631BB0"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2A0F4C"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99A0B7"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B7589B" w14:textId="77777777" w:rsidR="00A664FB" w:rsidRDefault="00A664FB" w:rsidP="00A664FB">
            <w:pPr>
              <w:ind w:left="57" w:right="57"/>
              <w:rPr>
                <w:rFonts w:ascii="Arial" w:eastAsia="Arial" w:hAnsi="Arial" w:cs="Arial"/>
                <w:color w:val="000000"/>
                <w:sz w:val="14"/>
              </w:rPr>
            </w:pPr>
          </w:p>
        </w:tc>
      </w:tr>
      <w:tr w:rsidR="00A664FB" w14:paraId="620235E8"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36BB44" w14:textId="77777777" w:rsidR="00A664FB" w:rsidRDefault="00A664FB" w:rsidP="00A664FB">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BAF618" w14:textId="77777777" w:rsidR="00A664FB" w:rsidRDefault="00A664FB" w:rsidP="00A664FB">
            <w:pPr>
              <w:tabs>
                <w:tab w:val="left" w:pos="828"/>
              </w:tabs>
              <w:ind w:left="57" w:right="57"/>
              <w:rPr>
                <w:rFonts w:ascii="Arial" w:eastAsia="Arial" w:hAnsi="Arial" w:cs="Arial"/>
                <w:color w:val="000000"/>
                <w:sz w:val="14"/>
              </w:rPr>
            </w:pPr>
            <w:r>
              <w:rPr>
                <w:rFonts w:ascii="Arial" w:eastAsia="Arial" w:hAnsi="Arial" w:cs="Arial"/>
                <w:color w:val="000000"/>
                <w:sz w:val="14"/>
              </w:rPr>
              <w:t>57301/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7FE11D" w14:textId="77777777" w:rsidR="00A664FB" w:rsidRDefault="00A664FB" w:rsidP="00A664FB">
            <w:pPr>
              <w:tabs>
                <w:tab w:val="left" w:pos="828"/>
              </w:tabs>
              <w:ind w:left="57" w:right="57"/>
              <w:rPr>
                <w:rFonts w:ascii="Arial" w:eastAsia="Arial" w:hAnsi="Arial" w:cs="Arial"/>
                <w:color w:val="000000"/>
                <w:sz w:val="14"/>
              </w:rPr>
            </w:pPr>
            <w:r>
              <w:rPr>
                <w:rFonts w:ascii="Arial" w:eastAsia="Arial" w:hAnsi="Arial" w:cs="Arial"/>
                <w:color w:val="000000"/>
                <w:sz w:val="14"/>
              </w:rPr>
              <w:t>Počet podpořených poskytovatelů psychiatrické péče</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EC130B" w14:textId="77777777" w:rsidR="00A664FB" w:rsidRDefault="00A664FB" w:rsidP="00A664FB">
            <w:pPr>
              <w:ind w:left="57" w:right="57"/>
              <w:rPr>
                <w:rFonts w:ascii="Arial" w:eastAsia="Arial" w:hAnsi="Arial" w:cs="Arial"/>
                <w:color w:val="000000"/>
                <w:sz w:val="14"/>
              </w:rPr>
            </w:pPr>
            <w:r>
              <w:rPr>
                <w:rFonts w:ascii="Arial" w:eastAsia="Arial" w:hAnsi="Arial" w:cs="Arial"/>
                <w:color w:val="000000"/>
                <w:sz w:val="14"/>
              </w:rPr>
              <w:t>Poskytovatelé</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A349FD" w14:textId="77777777" w:rsidR="00A664FB" w:rsidRDefault="00A664FB" w:rsidP="00A664FB">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5A4335" w14:textId="77777777" w:rsidR="00A664FB" w:rsidRDefault="00A664FB" w:rsidP="00A664FB">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D108FE"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65,000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52CFB8"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F77858"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D0B224"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4EF7AD"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809791"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4368D8"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4,000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1A1823"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1CBF51"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E48701"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1BFF83"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262FBC" w14:textId="77777777" w:rsidR="00A664FB" w:rsidRDefault="00A664FB" w:rsidP="00A664FB">
            <w:pPr>
              <w:ind w:left="57" w:right="57"/>
              <w:rPr>
                <w:rFonts w:ascii="Arial" w:eastAsia="Arial" w:hAnsi="Arial" w:cs="Arial"/>
                <w:color w:val="000000"/>
                <w:sz w:val="14"/>
              </w:rPr>
            </w:pPr>
          </w:p>
        </w:tc>
      </w:tr>
      <w:tr w:rsidR="00A664FB" w14:paraId="24F010EC"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DAF3BB" w14:textId="77777777" w:rsidR="00A664FB" w:rsidRDefault="00A664FB" w:rsidP="00A664FB"/>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C4F65F" w14:textId="77777777" w:rsidR="00A664FB" w:rsidRDefault="00A664FB" w:rsidP="00A664FB">
            <w:pPr>
              <w:tabs>
                <w:tab w:val="left" w:pos="828"/>
              </w:tabs>
              <w:ind w:left="57" w:right="57"/>
              <w:rPr>
                <w:rFonts w:ascii="Arial" w:eastAsia="Arial" w:hAnsi="Arial" w:cs="Arial"/>
                <w:color w:val="000000"/>
                <w:sz w:val="14"/>
              </w:rPr>
            </w:pPr>
            <w:r>
              <w:rPr>
                <w:rFonts w:ascii="Arial" w:eastAsia="Arial" w:hAnsi="Arial" w:cs="Arial"/>
                <w:color w:val="000000"/>
                <w:sz w:val="14"/>
              </w:rPr>
              <w:t>57801/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2C5F26" w14:textId="77777777" w:rsidR="00A664FB" w:rsidRDefault="00A664FB" w:rsidP="00A664FB">
            <w:pPr>
              <w:tabs>
                <w:tab w:val="left" w:pos="828"/>
              </w:tabs>
              <w:ind w:left="57" w:right="57"/>
              <w:rPr>
                <w:rFonts w:ascii="Arial" w:eastAsia="Arial" w:hAnsi="Arial" w:cs="Arial"/>
                <w:color w:val="000000"/>
                <w:sz w:val="14"/>
              </w:rPr>
            </w:pPr>
            <w:r>
              <w:rPr>
                <w:rFonts w:ascii="Arial" w:eastAsia="Arial" w:hAnsi="Arial" w:cs="Arial"/>
                <w:color w:val="000000"/>
                <w:sz w:val="14"/>
              </w:rPr>
              <w:t>Počet podpořených mobilních týmů</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4AF6F7" w14:textId="77777777" w:rsidR="00A664FB" w:rsidRDefault="00A664FB" w:rsidP="00A664FB">
            <w:pPr>
              <w:ind w:left="57" w:right="57"/>
              <w:rPr>
                <w:rFonts w:ascii="Arial" w:eastAsia="Arial" w:hAnsi="Arial" w:cs="Arial"/>
                <w:color w:val="000000"/>
                <w:sz w:val="14"/>
              </w:rPr>
            </w:pPr>
            <w:r>
              <w:rPr>
                <w:rFonts w:ascii="Arial" w:eastAsia="Arial" w:hAnsi="Arial" w:cs="Arial"/>
                <w:color w:val="000000"/>
                <w:sz w:val="14"/>
              </w:rPr>
              <w:t>Týmy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F14A7B" w14:textId="77777777" w:rsidR="00A664FB" w:rsidRDefault="00A664FB" w:rsidP="00A664FB">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C32821" w14:textId="77777777" w:rsidR="00A664FB" w:rsidRDefault="00A664FB" w:rsidP="00A664FB">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E72C7D"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30,000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A2A196"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1DB9BA"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6B044A"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905E0D"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2,000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750A64"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6,000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1C66EF"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5,000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A5B90B"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B882C8"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7E1DCE"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4A37EF"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50AC56" w14:textId="77777777" w:rsidR="00A664FB" w:rsidRDefault="00A664FB" w:rsidP="00A664FB">
            <w:pPr>
              <w:ind w:left="57" w:right="57"/>
              <w:rPr>
                <w:rFonts w:ascii="Arial" w:eastAsia="Arial" w:hAnsi="Arial" w:cs="Arial"/>
                <w:color w:val="000000"/>
                <w:sz w:val="14"/>
              </w:rPr>
            </w:pPr>
          </w:p>
        </w:tc>
      </w:tr>
      <w:tr w:rsidR="00A664FB" w14:paraId="18AFD368"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C5F19F" w14:textId="77777777" w:rsidR="00A664FB" w:rsidRDefault="00A664FB" w:rsidP="00A664FB">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D329F7" w14:textId="77777777" w:rsidR="00A664FB" w:rsidRDefault="00A664FB" w:rsidP="00A664FB">
            <w:pPr>
              <w:tabs>
                <w:tab w:val="left" w:pos="828"/>
              </w:tabs>
              <w:ind w:left="57" w:right="57"/>
              <w:rPr>
                <w:rFonts w:ascii="Arial" w:eastAsia="Arial" w:hAnsi="Arial" w:cs="Arial"/>
                <w:color w:val="000000"/>
                <w:sz w:val="14"/>
              </w:rPr>
            </w:pPr>
            <w:r>
              <w:rPr>
                <w:rFonts w:ascii="Arial" w:eastAsia="Arial" w:hAnsi="Arial" w:cs="Arial"/>
                <w:color w:val="000000"/>
                <w:sz w:val="14"/>
              </w:rPr>
              <w:t>57801/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FDD453" w14:textId="77777777" w:rsidR="00A664FB" w:rsidRDefault="00A664FB" w:rsidP="00A664FB">
            <w:pPr>
              <w:tabs>
                <w:tab w:val="left" w:pos="828"/>
              </w:tabs>
              <w:ind w:left="57" w:right="57"/>
              <w:rPr>
                <w:rFonts w:ascii="Arial" w:eastAsia="Arial" w:hAnsi="Arial" w:cs="Arial"/>
                <w:color w:val="000000"/>
                <w:sz w:val="14"/>
              </w:rPr>
            </w:pPr>
            <w:r>
              <w:rPr>
                <w:rFonts w:ascii="Arial" w:eastAsia="Arial" w:hAnsi="Arial" w:cs="Arial"/>
                <w:color w:val="000000"/>
                <w:sz w:val="14"/>
              </w:rPr>
              <w:t>Počet podpořených mobilních týmů</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C76E10" w14:textId="77777777" w:rsidR="00A664FB" w:rsidRDefault="00A664FB" w:rsidP="00A664FB">
            <w:pPr>
              <w:ind w:left="57" w:right="57"/>
              <w:rPr>
                <w:rFonts w:ascii="Arial" w:eastAsia="Arial" w:hAnsi="Arial" w:cs="Arial"/>
                <w:color w:val="000000"/>
                <w:sz w:val="14"/>
              </w:rPr>
            </w:pPr>
            <w:r>
              <w:rPr>
                <w:rFonts w:ascii="Arial" w:eastAsia="Arial" w:hAnsi="Arial" w:cs="Arial"/>
                <w:color w:val="000000"/>
                <w:sz w:val="14"/>
              </w:rPr>
              <w:t>Týmy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D62399" w14:textId="77777777" w:rsidR="00A664FB" w:rsidRDefault="00A664FB" w:rsidP="00A664FB">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205882" w14:textId="77777777" w:rsidR="00A664FB" w:rsidRDefault="00A664FB" w:rsidP="00A664FB">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F04858"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30,000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143EFF"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C18D1C"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4F4828"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901054"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CF52A3"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A2152D"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2,000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1330A5"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3E06DB"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99BC07"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CF226D"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687DD2" w14:textId="77777777" w:rsidR="00A664FB" w:rsidRDefault="00A664FB" w:rsidP="00A664FB">
            <w:pPr>
              <w:ind w:left="57" w:right="57"/>
              <w:rPr>
                <w:rFonts w:ascii="Arial" w:eastAsia="Arial" w:hAnsi="Arial" w:cs="Arial"/>
                <w:color w:val="000000"/>
                <w:sz w:val="14"/>
              </w:rPr>
            </w:pPr>
          </w:p>
        </w:tc>
      </w:tr>
      <w:tr w:rsidR="00A664FB" w14:paraId="598E1E7B"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4E08C3" w14:textId="77777777" w:rsidR="00A664FB" w:rsidRDefault="00A664FB" w:rsidP="00A664FB"/>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B2DB5C" w14:textId="77777777" w:rsidR="00A664FB" w:rsidRDefault="00A664FB" w:rsidP="00A664FB">
            <w:pPr>
              <w:tabs>
                <w:tab w:val="left" w:pos="828"/>
              </w:tabs>
              <w:ind w:left="57" w:right="57"/>
              <w:rPr>
                <w:rFonts w:ascii="Arial" w:eastAsia="Arial" w:hAnsi="Arial" w:cs="Arial"/>
                <w:color w:val="000000"/>
                <w:sz w:val="14"/>
              </w:rPr>
            </w:pPr>
            <w:r>
              <w:rPr>
                <w:rFonts w:ascii="Arial" w:eastAsia="Arial" w:hAnsi="Arial" w:cs="Arial"/>
                <w:color w:val="000000"/>
                <w:sz w:val="14"/>
              </w:rPr>
              <w:t>57805/</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962CF2" w14:textId="77777777" w:rsidR="00A664FB" w:rsidRDefault="00A664FB" w:rsidP="00A664FB">
            <w:pPr>
              <w:tabs>
                <w:tab w:val="left" w:pos="828"/>
              </w:tabs>
              <w:ind w:left="57" w:right="57"/>
              <w:rPr>
                <w:rFonts w:ascii="Arial" w:eastAsia="Arial" w:hAnsi="Arial" w:cs="Arial"/>
                <w:color w:val="000000"/>
                <w:sz w:val="14"/>
              </w:rPr>
            </w:pPr>
            <w:r>
              <w:rPr>
                <w:rFonts w:ascii="Arial" w:eastAsia="Arial" w:hAnsi="Arial" w:cs="Arial"/>
                <w:color w:val="000000"/>
                <w:sz w:val="14"/>
              </w:rPr>
              <w:t>Podpořená pracoviště zdravotní péče</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46EF31" w14:textId="77777777" w:rsidR="00A664FB" w:rsidRDefault="00A664FB" w:rsidP="00A664FB">
            <w:pPr>
              <w:ind w:left="57" w:right="57"/>
              <w:rPr>
                <w:rFonts w:ascii="Arial" w:eastAsia="Arial" w:hAnsi="Arial" w:cs="Arial"/>
                <w:color w:val="000000"/>
                <w:sz w:val="14"/>
              </w:rPr>
            </w:pPr>
            <w:r>
              <w:rPr>
                <w:rFonts w:ascii="Arial" w:eastAsia="Arial" w:hAnsi="Arial" w:cs="Arial"/>
                <w:color w:val="000000"/>
                <w:sz w:val="14"/>
              </w:rPr>
              <w:t>Pracoviště</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531C3D" w14:textId="77777777" w:rsidR="00A664FB" w:rsidRDefault="00A664FB" w:rsidP="00A664FB">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6F50AA" w14:textId="77777777" w:rsidR="00A664FB" w:rsidRDefault="00A664FB" w:rsidP="00A664FB">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765103"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128,000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0ED653"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412045"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7FC31F"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61,000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6D3DBF"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98,000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E6BF25"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138,000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3FEAD3"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142,000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206836"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4AA500"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A8D27C"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9F9E97"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93BB87" w14:textId="77777777" w:rsidR="00A664FB" w:rsidRDefault="00A664FB" w:rsidP="00A664FB">
            <w:pPr>
              <w:ind w:left="57" w:right="57"/>
              <w:rPr>
                <w:rFonts w:ascii="Arial" w:eastAsia="Arial" w:hAnsi="Arial" w:cs="Arial"/>
                <w:color w:val="000000"/>
                <w:sz w:val="14"/>
              </w:rPr>
            </w:pPr>
          </w:p>
        </w:tc>
      </w:tr>
      <w:tr w:rsidR="00A664FB" w14:paraId="1750EF2C"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3438DD" w14:textId="77777777" w:rsidR="00A664FB" w:rsidRDefault="00A664FB" w:rsidP="00A664FB">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764A81" w14:textId="77777777" w:rsidR="00A664FB" w:rsidRDefault="00A664FB" w:rsidP="00A664FB">
            <w:pPr>
              <w:tabs>
                <w:tab w:val="left" w:pos="828"/>
              </w:tabs>
              <w:ind w:left="57" w:right="57"/>
              <w:rPr>
                <w:rFonts w:ascii="Arial" w:eastAsia="Arial" w:hAnsi="Arial" w:cs="Arial"/>
                <w:color w:val="000000"/>
                <w:sz w:val="14"/>
              </w:rPr>
            </w:pPr>
            <w:r>
              <w:rPr>
                <w:rFonts w:ascii="Arial" w:eastAsia="Arial" w:hAnsi="Arial" w:cs="Arial"/>
                <w:color w:val="000000"/>
                <w:sz w:val="14"/>
              </w:rPr>
              <w:t>57805/</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1516FF" w14:textId="77777777" w:rsidR="00A664FB" w:rsidRDefault="00A664FB" w:rsidP="00A664FB">
            <w:pPr>
              <w:tabs>
                <w:tab w:val="left" w:pos="828"/>
              </w:tabs>
              <w:ind w:left="57" w:right="57"/>
              <w:rPr>
                <w:rFonts w:ascii="Arial" w:eastAsia="Arial" w:hAnsi="Arial" w:cs="Arial"/>
                <w:color w:val="000000"/>
                <w:sz w:val="14"/>
              </w:rPr>
            </w:pPr>
            <w:r>
              <w:rPr>
                <w:rFonts w:ascii="Arial" w:eastAsia="Arial" w:hAnsi="Arial" w:cs="Arial"/>
                <w:color w:val="000000"/>
                <w:sz w:val="14"/>
              </w:rPr>
              <w:t>Podpořená pracoviště zdravotní péče</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201033" w14:textId="77777777" w:rsidR="00A664FB" w:rsidRDefault="00A664FB" w:rsidP="00A664FB">
            <w:pPr>
              <w:ind w:left="57" w:right="57"/>
              <w:rPr>
                <w:rFonts w:ascii="Arial" w:eastAsia="Arial" w:hAnsi="Arial" w:cs="Arial"/>
                <w:color w:val="000000"/>
                <w:sz w:val="14"/>
              </w:rPr>
            </w:pPr>
            <w:r>
              <w:rPr>
                <w:rFonts w:ascii="Arial" w:eastAsia="Arial" w:hAnsi="Arial" w:cs="Arial"/>
                <w:color w:val="000000"/>
                <w:sz w:val="14"/>
              </w:rPr>
              <w:t>Pracoviště</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1A4D04" w14:textId="77777777" w:rsidR="00A664FB" w:rsidRDefault="00A664FB" w:rsidP="00A664FB">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098027" w14:textId="77777777" w:rsidR="00A664FB" w:rsidRDefault="00A664FB" w:rsidP="00A664FB">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8608A6"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128,000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068FCA"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C6F6CC"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F6D5B7"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718CA6"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3,000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2D7481"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43,000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DB352F"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78,000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940804"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046748"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FB094D"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A0A823" w14:textId="77777777" w:rsidR="00A664FB" w:rsidRDefault="00A664FB" w:rsidP="00A664F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5F2667" w14:textId="77777777" w:rsidR="00A664FB" w:rsidRDefault="00A664FB" w:rsidP="00A664FB">
            <w:pPr>
              <w:ind w:left="57" w:right="57"/>
              <w:rPr>
                <w:rFonts w:ascii="Arial" w:eastAsia="Arial" w:hAnsi="Arial" w:cs="Arial"/>
                <w:color w:val="000000"/>
                <w:sz w:val="14"/>
              </w:rPr>
            </w:pPr>
          </w:p>
        </w:tc>
      </w:tr>
    </w:tbl>
    <w:p w14:paraId="16F435D8" w14:textId="77777777" w:rsidR="00533CD2" w:rsidRDefault="0046046C">
      <w:pPr>
        <w:keepNext/>
        <w:spacing w:before="240"/>
        <w:ind w:left="115" w:right="106"/>
        <w:jc w:val="both"/>
        <w:rPr>
          <w:rFonts w:ascii="Arial" w:eastAsia="Arial" w:hAnsi="Arial" w:cs="Arial"/>
          <w:color w:val="000000"/>
          <w:sz w:val="20"/>
        </w:rPr>
      </w:pPr>
      <w:r>
        <w:rPr>
          <w:rFonts w:ascii="Arial" w:eastAsia="Arial" w:hAnsi="Arial" w:cs="Arial"/>
          <w:color w:val="000000"/>
          <w:sz w:val="20"/>
        </w:rPr>
        <w:t>Investiční priorita: 06.2.58 Poskytování podpory sociálním podnikům</w:t>
      </w:r>
    </w:p>
    <w:tbl>
      <w:tblPr>
        <w:tblW w:w="0" w:type="auto"/>
        <w:tblInd w:w="58" w:type="dxa"/>
        <w:tblLayout w:type="fixed"/>
        <w:tblCellMar>
          <w:left w:w="0" w:type="dxa"/>
          <w:right w:w="0" w:type="dxa"/>
        </w:tblCellMar>
        <w:tblLook w:val="04A0" w:firstRow="1" w:lastRow="0" w:firstColumn="1" w:lastColumn="0" w:noHBand="0" w:noVBand="1"/>
      </w:tblPr>
      <w:tblGrid>
        <w:gridCol w:w="1333"/>
        <w:gridCol w:w="567"/>
        <w:gridCol w:w="2268"/>
        <w:gridCol w:w="709"/>
        <w:gridCol w:w="709"/>
        <w:gridCol w:w="850"/>
        <w:gridCol w:w="766"/>
        <w:gridCol w:w="713"/>
        <w:gridCol w:w="700"/>
        <w:gridCol w:w="712"/>
        <w:gridCol w:w="739"/>
        <w:gridCol w:w="766"/>
        <w:gridCol w:w="708"/>
        <w:gridCol w:w="709"/>
        <w:gridCol w:w="711"/>
        <w:gridCol w:w="710"/>
        <w:gridCol w:w="712"/>
        <w:gridCol w:w="992"/>
      </w:tblGrid>
      <w:tr w:rsidR="00533CD2" w14:paraId="7302DA91" w14:textId="77777777">
        <w:trPr>
          <w:tblHeader/>
        </w:trPr>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C25532" w14:textId="77777777" w:rsidR="00533CD2" w:rsidRDefault="00533CD2">
            <w:pPr>
              <w:ind w:left="57" w:right="57"/>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4B1BB6"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ID</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72BF99"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Indikátor</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2D5069"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Měrná jednotka</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72A157"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Fond</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A44E3C"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Kategorie regionu</w:t>
            </w:r>
          </w:p>
          <w:p w14:paraId="475A4683"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(je-li relevantní)</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4FED06"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Cílová hodnota (2023)</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44EC6D"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2014</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2EE525"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2015</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19843A"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2016</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F258FF"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2017</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4D03C1"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95EA24"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4437A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16D915"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2021</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92BA18"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2022</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F9FECA"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B05D94"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Vysvětlení (v případě potřeby)</w:t>
            </w:r>
          </w:p>
        </w:tc>
      </w:tr>
      <w:tr w:rsidR="00533CD2" w14:paraId="34384785"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87EAC8"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46C91C"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10000/CO01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9DF178"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podniků pobírajících podporu</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454835"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Podniky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FFB43"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87034C"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9638C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383,000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0DE12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84208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E01F0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16,000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13166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41,000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5026F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125,000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F4BE7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154,000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3C573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EAAD6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0BFD5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03158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5CA525" w14:textId="77777777" w:rsidR="00533CD2" w:rsidRDefault="00533CD2">
            <w:pPr>
              <w:ind w:left="57" w:right="57"/>
              <w:rPr>
                <w:rFonts w:ascii="Arial" w:eastAsia="Arial" w:hAnsi="Arial" w:cs="Arial"/>
                <w:color w:val="000000"/>
                <w:sz w:val="14"/>
              </w:rPr>
            </w:pPr>
          </w:p>
        </w:tc>
      </w:tr>
      <w:tr w:rsidR="00533CD2" w14:paraId="70931E2E"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1C934E"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4BF6F1"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10000/CO01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4D7310"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podniků pobírajících podporu</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43FBCB"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Podniky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1F3917"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DE16DB"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1F75D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383,000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F8D8B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E475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236ED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5FAAE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2B813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45,000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08B7A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42,000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7B577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D848F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746E4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B62F0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378FC3" w14:textId="77777777" w:rsidR="00533CD2" w:rsidRDefault="00533CD2">
            <w:pPr>
              <w:ind w:left="57" w:right="57"/>
              <w:rPr>
                <w:rFonts w:ascii="Arial" w:eastAsia="Arial" w:hAnsi="Arial" w:cs="Arial"/>
                <w:color w:val="000000"/>
                <w:sz w:val="14"/>
              </w:rPr>
            </w:pPr>
          </w:p>
        </w:tc>
      </w:tr>
      <w:tr w:rsidR="00533CD2" w14:paraId="5E4A4298" w14:textId="77777777" w:rsidTr="00E806C4">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F9AB98"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38BAD0"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10102/CO02</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639A2C"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podniků pobírajících granty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1E774D"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Podniky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D3C5C7"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57200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75C53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383,000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1B292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62E5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2C4E1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16,000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BBBE3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41,000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7C136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125,000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01ED7" w14:textId="77777777" w:rsidR="00533CD2" w:rsidRPr="00E806C4" w:rsidRDefault="0046046C">
            <w:pPr>
              <w:tabs>
                <w:tab w:val="left" w:pos="828"/>
              </w:tabs>
              <w:ind w:left="57" w:right="57"/>
              <w:jc w:val="right"/>
              <w:rPr>
                <w:rFonts w:ascii="Arial" w:eastAsia="Arial" w:hAnsi="Arial" w:cs="Arial"/>
                <w:color w:val="000000"/>
                <w:sz w:val="14"/>
                <w:highlight w:val="yellow"/>
              </w:rPr>
            </w:pPr>
            <w:r w:rsidRPr="00E806C4">
              <w:rPr>
                <w:rFonts w:ascii="Arial" w:eastAsia="Arial" w:hAnsi="Arial" w:cs="Arial"/>
                <w:color w:val="000000"/>
                <w:sz w:val="14"/>
              </w:rPr>
              <w:t>154,000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AC1D9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F6CFB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8C68D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9FD30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6EBCB5" w14:textId="77777777" w:rsidR="00533CD2" w:rsidRDefault="00533CD2">
            <w:pPr>
              <w:ind w:left="57" w:right="57"/>
              <w:rPr>
                <w:rFonts w:ascii="Arial" w:eastAsia="Arial" w:hAnsi="Arial" w:cs="Arial"/>
                <w:color w:val="000000"/>
                <w:sz w:val="14"/>
              </w:rPr>
            </w:pPr>
          </w:p>
        </w:tc>
      </w:tr>
      <w:tr w:rsidR="00533CD2" w14:paraId="481F2675"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E9AF10"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EDDD97"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10102/CO02</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5ACF76"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podniků pobírajících granty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D5A108"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Podniky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8F8E77"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594DE9"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0EC5F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383,000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CCE11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E49CF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6615C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5F5F8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0497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42,000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6DF22E" w14:textId="77777777" w:rsidR="00533CD2" w:rsidRPr="00E806C4" w:rsidRDefault="0046046C">
            <w:pPr>
              <w:tabs>
                <w:tab w:val="left" w:pos="828"/>
              </w:tabs>
              <w:ind w:left="57" w:right="57"/>
              <w:jc w:val="right"/>
              <w:rPr>
                <w:rFonts w:ascii="Arial" w:eastAsia="Arial" w:hAnsi="Arial" w:cs="Arial"/>
                <w:color w:val="000000"/>
                <w:sz w:val="14"/>
              </w:rPr>
            </w:pPr>
            <w:r w:rsidRPr="00E806C4">
              <w:rPr>
                <w:rFonts w:ascii="Arial" w:eastAsia="Arial" w:hAnsi="Arial" w:cs="Arial"/>
                <w:color w:val="000000"/>
                <w:sz w:val="14"/>
              </w:rPr>
              <w:t>42,000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F093CC" w14:textId="77777777" w:rsidR="00533CD2" w:rsidRPr="00E806C4" w:rsidRDefault="0046046C">
            <w:pPr>
              <w:tabs>
                <w:tab w:val="left" w:pos="828"/>
              </w:tabs>
              <w:ind w:left="57" w:right="57"/>
              <w:jc w:val="right"/>
              <w:rPr>
                <w:rFonts w:ascii="Arial" w:eastAsia="Arial" w:hAnsi="Arial" w:cs="Arial"/>
                <w:color w:val="000000"/>
                <w:sz w:val="14"/>
              </w:rPr>
            </w:pPr>
            <w:r w:rsidRPr="00E806C4">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62BEB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3B68D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32E63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B59B99" w14:textId="77777777" w:rsidR="00533CD2" w:rsidRDefault="00533CD2">
            <w:pPr>
              <w:ind w:left="57" w:right="57"/>
              <w:rPr>
                <w:rFonts w:ascii="Arial" w:eastAsia="Arial" w:hAnsi="Arial" w:cs="Arial"/>
                <w:color w:val="000000"/>
                <w:sz w:val="14"/>
              </w:rPr>
            </w:pPr>
          </w:p>
        </w:tc>
      </w:tr>
      <w:tr w:rsidR="00533CD2" w14:paraId="35707A99"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13234E"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3E4824"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10105/CO05</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6280FE"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nových podniků, které dostávají podporu</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FB6A1D"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Podniky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22AC35"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3546A5"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E3F62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320,000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679B6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C07DD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A8F51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ED4C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24,000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C5F8A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82,000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E15CE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77,000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B6379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7FEA9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5735A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B284E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A2BE6F" w14:textId="77777777" w:rsidR="00533CD2" w:rsidRDefault="00533CD2">
            <w:pPr>
              <w:ind w:left="57" w:right="57"/>
              <w:rPr>
                <w:rFonts w:ascii="Arial" w:eastAsia="Arial" w:hAnsi="Arial" w:cs="Arial"/>
                <w:color w:val="000000"/>
                <w:sz w:val="14"/>
              </w:rPr>
            </w:pPr>
          </w:p>
        </w:tc>
      </w:tr>
      <w:tr w:rsidR="00533CD2" w14:paraId="07ABDC3E"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1C03FE"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D1FAE5"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10105/CO05</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92F1F1"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nových podniků, které dostávají podporu</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5880B8"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Podniky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4EE857"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340EB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26979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320,000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93674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ED272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046E7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0DCC6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666B4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19,000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2F161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19,000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6EE47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3EA17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C5009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B54B4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16684B" w14:textId="77777777" w:rsidR="00533CD2" w:rsidRDefault="00533CD2">
            <w:pPr>
              <w:ind w:left="57" w:right="57"/>
              <w:rPr>
                <w:rFonts w:ascii="Arial" w:eastAsia="Arial" w:hAnsi="Arial" w:cs="Arial"/>
                <w:color w:val="000000"/>
                <w:sz w:val="14"/>
              </w:rPr>
            </w:pPr>
          </w:p>
        </w:tc>
      </w:tr>
      <w:tr w:rsidR="00533CD2" w14:paraId="5C8A58EC"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2CE594"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703B4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10300/CO06</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9FDF54"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Soukromé investice odpovídající veřejné podpoře podniků (granty)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4751A4"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EUR</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13B5EE"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372B86"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8D992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4 503 998,000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3884F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50F86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57568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9E2B5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5 680 652,920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F277D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9 395 394,710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EC198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9 039 412,250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9CCA4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09DFE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DEE13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735F2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159F3A" w14:textId="77777777" w:rsidR="00533CD2" w:rsidRDefault="00533CD2">
            <w:pPr>
              <w:ind w:left="57" w:right="57"/>
              <w:rPr>
                <w:rFonts w:ascii="Arial" w:eastAsia="Arial" w:hAnsi="Arial" w:cs="Arial"/>
                <w:color w:val="000000"/>
                <w:sz w:val="14"/>
              </w:rPr>
            </w:pPr>
          </w:p>
        </w:tc>
      </w:tr>
      <w:tr w:rsidR="00533CD2" w14:paraId="27D50FE2"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82424E"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368BB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10300/CO06</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9BD6F5"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Soukromé investice odpovídající veřejné podpoře podniků (granty)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92542A"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EUR</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B39CF5"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994AB4"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D3C43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4 503 998,000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1B503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E2217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2B460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2B167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176 394,350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8F66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5 730 758,260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E1588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12 445 444,280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0D489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A5EC5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67D31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1AEAC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ACEB8A" w14:textId="2883BC06" w:rsidR="00533CD2" w:rsidRDefault="00A25060">
            <w:pPr>
              <w:ind w:left="57" w:right="57"/>
              <w:rPr>
                <w:rFonts w:ascii="Arial" w:eastAsia="Arial" w:hAnsi="Arial" w:cs="Arial"/>
                <w:color w:val="000000"/>
                <w:sz w:val="14"/>
              </w:rPr>
            </w:pPr>
            <w:r>
              <w:rPr>
                <w:rFonts w:ascii="Arial" w:eastAsia="Arial" w:hAnsi="Arial" w:cs="Arial"/>
                <w:color w:val="000000"/>
                <w:sz w:val="14"/>
              </w:rPr>
              <w:t>Vzhledem k faktu, že se do hodnoty indikátoru započítávají také nezpůsobilé výdaje projektu, s čímž se při nastavování hodnoty nepočítalo, přesahuje již nyní hodnota závazku cílovou hodnotu. Na základě zpřesňujících se odhadů přistoupí ŘO k navýšení hodnoty.</w:t>
            </w:r>
          </w:p>
        </w:tc>
      </w:tr>
      <w:tr w:rsidR="00533CD2" w14:paraId="24653712"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CF2998"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7B738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10400/CO08</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0CBF10"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Zvýšení zaměstnanosti v podporovaných podnicích</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0AB6A9"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FTE</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0E2FF6"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52BD8B"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3E5AC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1 988,000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2D89F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12A45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38899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63,850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03E8E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152,500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09FD5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675,833</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47F6C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496,120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D1F3E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878C3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1AC79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689D4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65FB44" w14:textId="77777777" w:rsidR="00533CD2" w:rsidRDefault="00533CD2">
            <w:pPr>
              <w:ind w:left="57" w:right="57"/>
              <w:rPr>
                <w:rFonts w:ascii="Arial" w:eastAsia="Arial" w:hAnsi="Arial" w:cs="Arial"/>
                <w:color w:val="000000"/>
                <w:sz w:val="14"/>
              </w:rPr>
            </w:pPr>
          </w:p>
        </w:tc>
      </w:tr>
      <w:tr w:rsidR="00533CD2" w14:paraId="2B0B53BE"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E7F6F"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6BB39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10400/CO08</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D69CA0"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Zvýšení zaměstnanosti v podporovaných podnicích</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437301"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FTE</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9FAEC6"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00D1B9"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7A805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1 988,000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9A9D8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999A0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B61C7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6EBDA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9,150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6D7D0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95,575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62C14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182,963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9D6FB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D2F4A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FF8CB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C64C9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74AC86" w14:textId="77777777" w:rsidR="00533CD2" w:rsidRDefault="00533CD2">
            <w:pPr>
              <w:ind w:left="57" w:right="57"/>
              <w:rPr>
                <w:rFonts w:ascii="Arial" w:eastAsia="Arial" w:hAnsi="Arial" w:cs="Arial"/>
                <w:color w:val="000000"/>
                <w:sz w:val="14"/>
              </w:rPr>
            </w:pPr>
          </w:p>
        </w:tc>
      </w:tr>
    </w:tbl>
    <w:p w14:paraId="6C98694D" w14:textId="77777777" w:rsidR="00533CD2" w:rsidRDefault="0046046C">
      <w:pPr>
        <w:keepNext/>
        <w:spacing w:before="240"/>
        <w:ind w:left="115" w:right="106"/>
        <w:jc w:val="both"/>
        <w:rPr>
          <w:rFonts w:ascii="Arial" w:eastAsia="Arial" w:hAnsi="Arial" w:cs="Arial"/>
          <w:color w:val="000000"/>
          <w:sz w:val="20"/>
        </w:rPr>
      </w:pPr>
      <w:r>
        <w:rPr>
          <w:rFonts w:ascii="Arial" w:eastAsia="Arial" w:hAnsi="Arial" w:cs="Arial"/>
          <w:color w:val="000000"/>
          <w:sz w:val="20"/>
        </w:rPr>
        <w:t>Investiční priorita: 06.2.67 Investice do vzdělávání, odborného vzdělávání a odborné přípravy pro získání dovedností a do celoživotního učení rozvíjením infrastruktury pro vzdělávání a odbornou přípravu</w:t>
      </w:r>
    </w:p>
    <w:tbl>
      <w:tblPr>
        <w:tblW w:w="0" w:type="auto"/>
        <w:tblInd w:w="58" w:type="dxa"/>
        <w:tblLayout w:type="fixed"/>
        <w:tblCellMar>
          <w:left w:w="0" w:type="dxa"/>
          <w:right w:w="0" w:type="dxa"/>
        </w:tblCellMar>
        <w:tblLook w:val="04A0" w:firstRow="1" w:lastRow="0" w:firstColumn="1" w:lastColumn="0" w:noHBand="0" w:noVBand="1"/>
      </w:tblPr>
      <w:tblGrid>
        <w:gridCol w:w="1333"/>
        <w:gridCol w:w="567"/>
        <w:gridCol w:w="2268"/>
        <w:gridCol w:w="709"/>
        <w:gridCol w:w="709"/>
        <w:gridCol w:w="850"/>
        <w:gridCol w:w="766"/>
        <w:gridCol w:w="713"/>
        <w:gridCol w:w="700"/>
        <w:gridCol w:w="712"/>
        <w:gridCol w:w="739"/>
        <w:gridCol w:w="766"/>
        <w:gridCol w:w="708"/>
        <w:gridCol w:w="709"/>
        <w:gridCol w:w="711"/>
        <w:gridCol w:w="710"/>
        <w:gridCol w:w="712"/>
        <w:gridCol w:w="992"/>
      </w:tblGrid>
      <w:tr w:rsidR="00533CD2" w14:paraId="6AD9A6CB" w14:textId="77777777">
        <w:trPr>
          <w:tblHeader/>
        </w:trPr>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0CA18A" w14:textId="77777777" w:rsidR="00533CD2" w:rsidRDefault="00533CD2">
            <w:pPr>
              <w:ind w:left="57" w:right="57"/>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9DFAA2"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ID</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A4E7FB"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Indikátor</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643478"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Měrná jednotka</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3DA07B"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Fond</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42740F"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Kategorie regionu</w:t>
            </w:r>
          </w:p>
          <w:p w14:paraId="1F6B5A70"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(je-li relevantní)</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793F3E"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Cílová hodnota (2023)</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7C3571"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2014</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1B1D12"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2015</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372065"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2016</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E288E7"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2017</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AAC0F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B97C4E"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E27523"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B4670E"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2021</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E2456C"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2022</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8E290F"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CA02C9"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Vysvětlení (v případě potřeby)</w:t>
            </w:r>
          </w:p>
        </w:tc>
      </w:tr>
      <w:tr w:rsidR="00533CD2" w14:paraId="2E76235B"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E0A86A"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A9CF49"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50000/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820920"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podpořených vzdělávacích zařízení</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4CFCB"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Zařízení</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C456F2"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483E3B"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883FB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1 770,000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021B7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E55E7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6666E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74,000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85A98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600,000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C6113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1 766,000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901F8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1 623,000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16A47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B0069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FA239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33B23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49C778" w14:textId="77777777" w:rsidR="00533CD2" w:rsidRDefault="00533CD2">
            <w:pPr>
              <w:ind w:left="57" w:right="57"/>
              <w:rPr>
                <w:rFonts w:ascii="Arial" w:eastAsia="Arial" w:hAnsi="Arial" w:cs="Arial"/>
                <w:color w:val="000000"/>
                <w:sz w:val="14"/>
              </w:rPr>
            </w:pPr>
          </w:p>
        </w:tc>
      </w:tr>
      <w:tr w:rsidR="00533CD2" w14:paraId="7A5BAF8A"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372EF5"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1118C3"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50000/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EFCDAC"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podpořených vzdělávacích zařízení</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B241B6"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Zařízení</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8FB144"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9068DA"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13434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1 770,000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0974C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D0E82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670A6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07743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34,000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02A83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551,000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FD1DFB" w14:textId="0DF9BA14" w:rsidR="00533CD2" w:rsidRDefault="00A25060">
            <w:pPr>
              <w:tabs>
                <w:tab w:val="left" w:pos="828"/>
              </w:tabs>
              <w:ind w:left="57" w:right="57"/>
              <w:jc w:val="right"/>
              <w:rPr>
                <w:rFonts w:ascii="Arial" w:eastAsia="Arial" w:hAnsi="Arial" w:cs="Arial"/>
                <w:color w:val="000000"/>
                <w:sz w:val="14"/>
              </w:rPr>
            </w:pPr>
            <w:r>
              <w:rPr>
                <w:rFonts w:ascii="Arial" w:eastAsia="Arial" w:hAnsi="Arial" w:cs="Arial"/>
                <w:color w:val="000000"/>
                <w:sz w:val="14"/>
              </w:rPr>
              <w:t>1</w:t>
            </w:r>
            <w:r w:rsidR="00DD6E4A">
              <w:rPr>
                <w:rFonts w:ascii="Arial" w:eastAsia="Arial" w:hAnsi="Arial" w:cs="Arial"/>
                <w:color w:val="000000"/>
                <w:sz w:val="14"/>
              </w:rPr>
              <w:t xml:space="preserve"> </w:t>
            </w:r>
            <w:r>
              <w:rPr>
                <w:rFonts w:ascii="Arial" w:eastAsia="Arial" w:hAnsi="Arial" w:cs="Arial"/>
                <w:color w:val="000000"/>
                <w:sz w:val="14"/>
              </w:rPr>
              <w:t>038,000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73D64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F09FE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329A7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5D6AC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D62523" w14:textId="77777777" w:rsidR="00533CD2" w:rsidRDefault="00533CD2">
            <w:pPr>
              <w:ind w:left="57" w:right="57"/>
              <w:rPr>
                <w:rFonts w:ascii="Arial" w:eastAsia="Arial" w:hAnsi="Arial" w:cs="Arial"/>
                <w:color w:val="000000"/>
                <w:sz w:val="14"/>
              </w:rPr>
            </w:pPr>
          </w:p>
        </w:tc>
      </w:tr>
      <w:tr w:rsidR="00533CD2" w14:paraId="67BAD7DF"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6A3CB1"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71A02"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50001/CO35</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9D920C"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Kapacita podporovaných zařízení péče o děti nebo vzdělávacích zařízení</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F8AF9A"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Osoby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75673C"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063CCA"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5702F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451 603,000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19F26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7470F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1EABF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3 494,000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B8F73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167 793,000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F06E1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574 579,000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D41C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464 601,000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9130B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06592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983A3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FE173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CE4F09" w14:textId="77777777" w:rsidR="00533CD2" w:rsidRDefault="00533CD2">
            <w:pPr>
              <w:ind w:left="57" w:right="57"/>
              <w:rPr>
                <w:rFonts w:ascii="Arial" w:eastAsia="Arial" w:hAnsi="Arial" w:cs="Arial"/>
                <w:color w:val="000000"/>
                <w:sz w:val="14"/>
              </w:rPr>
            </w:pPr>
          </w:p>
        </w:tc>
      </w:tr>
      <w:tr w:rsidR="00533CD2" w14:paraId="066AAC6C"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F86A6B"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174DA2"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50001/CO35</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0A139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Kapacita podporovaných zařízení péče o děti nebo vzdělávacích zařízení</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9F9774"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Osoby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81E4B3"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2FA3A2"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A55A6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451 603,000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896E5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59F7E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88815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D7667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1 195,000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83888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104 735,000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186E3F" w14:textId="40645899" w:rsidR="00533CD2" w:rsidRDefault="00A25060">
            <w:pPr>
              <w:tabs>
                <w:tab w:val="left" w:pos="828"/>
              </w:tabs>
              <w:ind w:left="57" w:right="57"/>
              <w:jc w:val="right"/>
              <w:rPr>
                <w:rFonts w:ascii="Arial" w:eastAsia="Arial" w:hAnsi="Arial" w:cs="Arial"/>
                <w:color w:val="000000"/>
                <w:sz w:val="14"/>
              </w:rPr>
            </w:pPr>
            <w:r>
              <w:rPr>
                <w:rFonts w:ascii="Arial" w:eastAsia="Arial" w:hAnsi="Arial" w:cs="Arial"/>
                <w:color w:val="000000"/>
                <w:sz w:val="14"/>
              </w:rPr>
              <w:t>315</w:t>
            </w:r>
            <w:r w:rsidR="00DD6E4A">
              <w:rPr>
                <w:rFonts w:ascii="Arial" w:eastAsia="Arial" w:hAnsi="Arial" w:cs="Arial"/>
                <w:color w:val="000000"/>
                <w:sz w:val="14"/>
              </w:rPr>
              <w:t xml:space="preserve"> </w:t>
            </w:r>
            <w:r>
              <w:rPr>
                <w:rFonts w:ascii="Arial" w:eastAsia="Arial" w:hAnsi="Arial" w:cs="Arial"/>
                <w:color w:val="000000"/>
                <w:sz w:val="14"/>
              </w:rPr>
              <w:t>965,000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4A0EE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2A673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C79FA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43786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6E882C" w14:textId="77777777" w:rsidR="00533CD2" w:rsidRDefault="00533CD2">
            <w:pPr>
              <w:ind w:left="57" w:right="57"/>
              <w:rPr>
                <w:rFonts w:ascii="Arial" w:eastAsia="Arial" w:hAnsi="Arial" w:cs="Arial"/>
                <w:color w:val="000000"/>
                <w:sz w:val="14"/>
              </w:rPr>
            </w:pPr>
          </w:p>
        </w:tc>
      </w:tr>
    </w:tbl>
    <w:p w14:paraId="456553B2" w14:textId="77777777" w:rsidR="00533CD2" w:rsidRDefault="0046046C">
      <w:pPr>
        <w:keepNext/>
        <w:spacing w:before="240"/>
        <w:ind w:left="115" w:right="106"/>
        <w:jc w:val="both"/>
        <w:rPr>
          <w:rFonts w:ascii="Arial" w:eastAsia="Arial" w:hAnsi="Arial" w:cs="Arial"/>
          <w:color w:val="000000"/>
          <w:sz w:val="20"/>
        </w:rPr>
      </w:pPr>
      <w:r>
        <w:rPr>
          <w:rFonts w:ascii="Arial" w:eastAsia="Arial" w:hAnsi="Arial" w:cs="Arial"/>
          <w:color w:val="000000"/>
          <w:sz w:val="20"/>
        </w:rPr>
        <w:t>Investiční priorita: 06.3.05 Posilování aplikací v oblasti IKT určených pro elektronickou veřejnou správu, elektronické učení, začlenění do informační společnosti, elektronickou kulturu a elektronické zdravotnictví</w:t>
      </w:r>
    </w:p>
    <w:tbl>
      <w:tblPr>
        <w:tblW w:w="0" w:type="auto"/>
        <w:tblInd w:w="58" w:type="dxa"/>
        <w:tblLayout w:type="fixed"/>
        <w:tblCellMar>
          <w:left w:w="0" w:type="dxa"/>
          <w:right w:w="0" w:type="dxa"/>
        </w:tblCellMar>
        <w:tblLook w:val="04A0" w:firstRow="1" w:lastRow="0" w:firstColumn="1" w:lastColumn="0" w:noHBand="0" w:noVBand="1"/>
      </w:tblPr>
      <w:tblGrid>
        <w:gridCol w:w="1333"/>
        <w:gridCol w:w="567"/>
        <w:gridCol w:w="2268"/>
        <w:gridCol w:w="709"/>
        <w:gridCol w:w="709"/>
        <w:gridCol w:w="850"/>
        <w:gridCol w:w="766"/>
        <w:gridCol w:w="713"/>
        <w:gridCol w:w="700"/>
        <w:gridCol w:w="712"/>
        <w:gridCol w:w="739"/>
        <w:gridCol w:w="766"/>
        <w:gridCol w:w="708"/>
        <w:gridCol w:w="709"/>
        <w:gridCol w:w="711"/>
        <w:gridCol w:w="710"/>
        <w:gridCol w:w="712"/>
        <w:gridCol w:w="992"/>
      </w:tblGrid>
      <w:tr w:rsidR="00533CD2" w14:paraId="4CFAA66D" w14:textId="77777777">
        <w:trPr>
          <w:tblHeader/>
        </w:trPr>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48B0CC" w14:textId="77777777" w:rsidR="00533CD2" w:rsidRDefault="00533CD2">
            <w:pPr>
              <w:ind w:left="57" w:right="57"/>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B379D9"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ID</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56375A"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Indikátor</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96300C"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Měrná jednotka</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BDE041"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Fond</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50D150"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Kategorie regionu</w:t>
            </w:r>
          </w:p>
          <w:p w14:paraId="3A7AD0A4"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(je-li relevantní)</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A2F09B"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Cílová hodnota (2023)</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F539A8"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2014</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B1C995"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2015</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8F3404"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2016</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CB63F5"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2017</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C6741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5F5D48"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8A7A5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83ED4A"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2021</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3304A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2022</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4558AC"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67A39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Vysvětlení (v případě potřeby)</w:t>
            </w:r>
          </w:p>
        </w:tc>
      </w:tr>
      <w:tr w:rsidR="00533CD2" w14:paraId="5B2C1B5C"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CF78A4"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540BA3"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30400/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4F40C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Nové nebo modernizované prvky k zajištění standardů kybernetické bezpečnosti</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7621D0"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Prvky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FBEF85"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209BAE"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013E4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455,000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BFCC8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15B4C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C5F5E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78CD6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152,953</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6BF03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2 270,671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EBFA2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3 134,901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E8612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E46E8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71554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E1B15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5DAFC0" w14:textId="64A7BC6C" w:rsidR="00533CD2" w:rsidRDefault="00DD6E4A">
            <w:pPr>
              <w:ind w:left="57" w:right="57"/>
              <w:rPr>
                <w:rFonts w:ascii="Arial" w:eastAsia="Arial" w:hAnsi="Arial" w:cs="Arial"/>
                <w:color w:val="000000"/>
                <w:sz w:val="14"/>
              </w:rPr>
            </w:pPr>
            <w:r>
              <w:rPr>
                <w:rFonts w:ascii="Arial" w:eastAsia="Arial" w:hAnsi="Arial" w:cs="Arial"/>
                <w:color w:val="000000"/>
                <w:sz w:val="14"/>
              </w:rPr>
              <w:t>Záv</w:t>
            </w:r>
            <w:r w:rsidR="00DB58C8">
              <w:rPr>
                <w:rFonts w:ascii="Arial" w:eastAsia="Arial" w:hAnsi="Arial" w:cs="Arial"/>
                <w:color w:val="000000"/>
                <w:sz w:val="14"/>
              </w:rPr>
              <w:t>a</w:t>
            </w:r>
            <w:r>
              <w:rPr>
                <w:rFonts w:ascii="Arial" w:eastAsia="Arial" w:hAnsi="Arial" w:cs="Arial"/>
                <w:color w:val="000000"/>
                <w:sz w:val="14"/>
              </w:rPr>
              <w:t xml:space="preserve">zky indikátoru již nyní významně překročily cílovou hodnotu. Důvodem je změna na straně poptávky, která se oproti původním odhadům nesoustředila okolo velkých informačních systémů centrálních orgánů, ale byly ve velké míře podpořeny menší obecní inf. systémy, s řádově menšími nároky na financování a rychlejší realizací. V souladu s výše uvedeným </w:t>
            </w:r>
            <w:proofErr w:type="gramStart"/>
            <w:r>
              <w:rPr>
                <w:rFonts w:ascii="Arial" w:eastAsia="Arial" w:hAnsi="Arial" w:cs="Arial"/>
                <w:color w:val="000000"/>
                <w:sz w:val="14"/>
              </w:rPr>
              <w:t>ŘO  v</w:t>
            </w:r>
            <w:proofErr w:type="gramEnd"/>
            <w:r>
              <w:rPr>
                <w:rFonts w:ascii="Arial" w:eastAsia="Arial" w:hAnsi="Arial" w:cs="Arial"/>
                <w:color w:val="000000"/>
                <w:sz w:val="14"/>
              </w:rPr>
              <w:t xml:space="preserve"> revi</w:t>
            </w:r>
            <w:r>
              <w:rPr>
                <w:rFonts w:ascii="Arial" w:eastAsia="Arial" w:hAnsi="Arial" w:cs="Arial"/>
                <w:color w:val="000000"/>
                <w:sz w:val="14"/>
                <w:lang w:val="cs-CZ"/>
              </w:rPr>
              <w:t>zi</w:t>
            </w:r>
            <w:r>
              <w:rPr>
                <w:rFonts w:ascii="Arial" w:eastAsia="Arial" w:hAnsi="Arial" w:cs="Arial"/>
                <w:color w:val="000000"/>
                <w:sz w:val="14"/>
              </w:rPr>
              <w:t xml:space="preserve"> schválené MV proto přistoupil k úpravě cílové hodnoty indikátoru.</w:t>
            </w:r>
          </w:p>
        </w:tc>
      </w:tr>
      <w:tr w:rsidR="00533CD2" w14:paraId="60E55AF9"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22849E"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468654"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30400/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9C11B0"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Nové nebo modernizované prvky k zajištění standardů kybernetické bezpečnosti</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5F9097"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Prvky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3AA9E0"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93D8FC"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F7F08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455,000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D3084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F0EC8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AF9A9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CA63A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5CE9F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894D7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1 120,797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6E0E7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2EFB6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703D9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F8B90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DE36B3" w14:textId="77777777" w:rsidR="00533CD2" w:rsidRDefault="00533CD2">
            <w:pPr>
              <w:ind w:left="57" w:right="57"/>
              <w:rPr>
                <w:rFonts w:ascii="Arial" w:eastAsia="Arial" w:hAnsi="Arial" w:cs="Arial"/>
                <w:color w:val="000000"/>
                <w:sz w:val="14"/>
              </w:rPr>
            </w:pPr>
          </w:p>
        </w:tc>
      </w:tr>
      <w:tr w:rsidR="00533CD2" w14:paraId="3E44F289"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DFFC84"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E729A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30400/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367D88"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Nové nebo modernizované prvky k zajištění standardů kybernetické bezpečnosti</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7AA047"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Prvky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6388E2"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86E559"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Více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19575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35,000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39179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4B24D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D056C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9D8C2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110,000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17653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70,329</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9240F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109,099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D37C9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5F17B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1E0BD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A208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7FF0C7" w14:textId="77777777" w:rsidR="00533CD2" w:rsidRDefault="00533CD2">
            <w:pPr>
              <w:ind w:left="57" w:right="57"/>
              <w:rPr>
                <w:rFonts w:ascii="Arial" w:eastAsia="Arial" w:hAnsi="Arial" w:cs="Arial"/>
                <w:color w:val="000000"/>
                <w:sz w:val="14"/>
              </w:rPr>
            </w:pPr>
          </w:p>
        </w:tc>
      </w:tr>
      <w:tr w:rsidR="00533CD2" w14:paraId="0B8DDA1B"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194F5A"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062AE1"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30400/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A7C4E4"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Nové nebo modernizované prvky k zajištění standardů kybernetické bezpečnosti</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393FC9"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Prvky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50DD81"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4E95B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Více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D3B23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35,000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684B5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1FD36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FECF9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6FC42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C3F6C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DE695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18,203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7BE18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88F23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C0AB2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71DC9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287142" w14:textId="77777777" w:rsidR="00533CD2" w:rsidRDefault="00533CD2">
            <w:pPr>
              <w:ind w:left="57" w:right="57"/>
              <w:rPr>
                <w:rFonts w:ascii="Arial" w:eastAsia="Arial" w:hAnsi="Arial" w:cs="Arial"/>
                <w:color w:val="000000"/>
                <w:sz w:val="14"/>
              </w:rPr>
            </w:pPr>
          </w:p>
        </w:tc>
      </w:tr>
      <w:tr w:rsidR="00533CD2" w14:paraId="38AD62C3"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F4EB37"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F079AA"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30500/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78630B"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pořízených informačních systémů</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7C999A"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Počet IS</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1D857B"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96A60A"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6C85C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96,910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5418D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49489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7249D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6,173</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88A1B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310,663</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AFC73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584,344</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7945A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489,771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71902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B4E1E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4AD5F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F8BB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A0F395" w14:textId="70CD0E8F" w:rsidR="00533CD2" w:rsidRDefault="00DD6E4A">
            <w:pPr>
              <w:ind w:left="57" w:right="57"/>
              <w:rPr>
                <w:rFonts w:ascii="Arial" w:eastAsia="Arial" w:hAnsi="Arial" w:cs="Arial"/>
                <w:color w:val="000000"/>
                <w:sz w:val="14"/>
              </w:rPr>
            </w:pPr>
            <w:r>
              <w:rPr>
                <w:rFonts w:ascii="Arial" w:eastAsia="Arial" w:hAnsi="Arial" w:cs="Arial"/>
                <w:color w:val="000000"/>
                <w:sz w:val="14"/>
              </w:rPr>
              <w:t>Důvodem je změna na straně poptávky, která se oproti původním odhadům nesoustředila okolo velkých informačních systémů centrálních orgánů, ale byly ve velké míře podpořeny menší obecní inf. systémy, s řádově menšími nároky na financování a rychlejší realizací.V souladu s výše uvedeným ŘO  v revi</w:t>
            </w:r>
            <w:r>
              <w:rPr>
                <w:rFonts w:ascii="Arial" w:eastAsia="Arial" w:hAnsi="Arial" w:cs="Arial"/>
                <w:color w:val="000000"/>
                <w:sz w:val="14"/>
                <w:lang w:val="cs-CZ"/>
              </w:rPr>
              <w:t>zi</w:t>
            </w:r>
            <w:r>
              <w:rPr>
                <w:rFonts w:ascii="Arial" w:eastAsia="Arial" w:hAnsi="Arial" w:cs="Arial"/>
                <w:color w:val="000000"/>
                <w:sz w:val="14"/>
              </w:rPr>
              <w:t xml:space="preserve"> schválené MV proto přistoupil k úpravě cílové hodnoty indikátoru.</w:t>
            </w:r>
          </w:p>
        </w:tc>
      </w:tr>
      <w:tr w:rsidR="00533CD2" w14:paraId="68E6DB6E"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B29F30"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91F829"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30500/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EA2352"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pořízených informačních systémů</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59E63E"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Počet IS</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E2B01D"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8B2F56"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A3D82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96,910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A8F95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721A8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7189E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C47EB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0,882</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3D3E5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174,054</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8D7AF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295,345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B3ADE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232BA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4F142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C56F5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4C4B04" w14:textId="77777777" w:rsidR="00533CD2" w:rsidRDefault="00533CD2">
            <w:pPr>
              <w:ind w:left="57" w:right="57"/>
              <w:rPr>
                <w:rFonts w:ascii="Arial" w:eastAsia="Arial" w:hAnsi="Arial" w:cs="Arial"/>
                <w:color w:val="000000"/>
                <w:sz w:val="14"/>
              </w:rPr>
            </w:pPr>
          </w:p>
        </w:tc>
      </w:tr>
      <w:tr w:rsidR="00533CD2" w14:paraId="3B7E5F4F"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7CE8FE"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356E8"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30500/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29B4DB"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pořízených informačních systémů</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0C26B4"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Počet IS</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359C83"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C20E40"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Více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A9A41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7,090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08BCF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46AC9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59158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0,827</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9B6D4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3,337</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BC0E3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8,656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7B250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11,229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47985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AB260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DFBDA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7A9B7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AACCC5" w14:textId="77777777" w:rsidR="00533CD2" w:rsidRDefault="00533CD2">
            <w:pPr>
              <w:ind w:left="57" w:right="57"/>
              <w:rPr>
                <w:rFonts w:ascii="Arial" w:eastAsia="Arial" w:hAnsi="Arial" w:cs="Arial"/>
                <w:color w:val="000000"/>
                <w:sz w:val="14"/>
              </w:rPr>
            </w:pPr>
          </w:p>
        </w:tc>
      </w:tr>
      <w:tr w:rsidR="00533CD2" w14:paraId="2E8CAC71"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1B26F2"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B21C87"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30500/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FD68B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pořízených informačních systémů</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A82B0C"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Počet IS</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884605"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F325C6"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Více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FD15C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7,090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39BFB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7BFD4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B0A97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62333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0,188</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54926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0,946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81AB8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1,655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9E046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1AC8C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94E4A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142E8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4A1822" w14:textId="77777777" w:rsidR="00533CD2" w:rsidRDefault="00533CD2">
            <w:pPr>
              <w:ind w:left="57" w:right="57"/>
              <w:rPr>
                <w:rFonts w:ascii="Arial" w:eastAsia="Arial" w:hAnsi="Arial" w:cs="Arial"/>
                <w:color w:val="000000"/>
                <w:sz w:val="14"/>
              </w:rPr>
            </w:pPr>
          </w:p>
        </w:tc>
      </w:tr>
    </w:tbl>
    <w:p w14:paraId="65C02797" w14:textId="77777777" w:rsidR="00533CD2" w:rsidRDefault="0046046C">
      <w:pPr>
        <w:keepNext/>
        <w:spacing w:before="240"/>
        <w:ind w:left="115" w:right="106"/>
        <w:jc w:val="both"/>
        <w:rPr>
          <w:rFonts w:ascii="Arial" w:eastAsia="Arial" w:hAnsi="Arial" w:cs="Arial"/>
          <w:color w:val="000000"/>
          <w:sz w:val="20"/>
        </w:rPr>
      </w:pPr>
      <w:r>
        <w:rPr>
          <w:rFonts w:ascii="Arial" w:eastAsia="Arial" w:hAnsi="Arial" w:cs="Arial"/>
          <w:color w:val="000000"/>
          <w:sz w:val="20"/>
        </w:rPr>
        <w:t>Investiční priorita: 06.3.33 Zachování, ochrana, propagace a rozvoj přírodního a kulturního dědictví</w:t>
      </w:r>
    </w:p>
    <w:tbl>
      <w:tblPr>
        <w:tblW w:w="0" w:type="auto"/>
        <w:tblInd w:w="58" w:type="dxa"/>
        <w:tblLayout w:type="fixed"/>
        <w:tblCellMar>
          <w:left w:w="0" w:type="dxa"/>
          <w:right w:w="0" w:type="dxa"/>
        </w:tblCellMar>
        <w:tblLook w:val="04A0" w:firstRow="1" w:lastRow="0" w:firstColumn="1" w:lastColumn="0" w:noHBand="0" w:noVBand="1"/>
      </w:tblPr>
      <w:tblGrid>
        <w:gridCol w:w="1333"/>
        <w:gridCol w:w="567"/>
        <w:gridCol w:w="2268"/>
        <w:gridCol w:w="709"/>
        <w:gridCol w:w="709"/>
        <w:gridCol w:w="850"/>
        <w:gridCol w:w="766"/>
        <w:gridCol w:w="713"/>
        <w:gridCol w:w="700"/>
        <w:gridCol w:w="712"/>
        <w:gridCol w:w="739"/>
        <w:gridCol w:w="766"/>
        <w:gridCol w:w="708"/>
        <w:gridCol w:w="709"/>
        <w:gridCol w:w="711"/>
        <w:gridCol w:w="710"/>
        <w:gridCol w:w="712"/>
        <w:gridCol w:w="992"/>
      </w:tblGrid>
      <w:tr w:rsidR="00533CD2" w14:paraId="23173EB0" w14:textId="77777777">
        <w:trPr>
          <w:tblHeader/>
        </w:trPr>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BBC312" w14:textId="77777777" w:rsidR="00533CD2" w:rsidRDefault="00533CD2">
            <w:pPr>
              <w:ind w:left="57" w:right="57"/>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373CA5"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ID</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1E34C5"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Indikátor</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DB578F"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Měrná jednotka</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BAFBAA"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Fond</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55861E"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Kategorie regionu</w:t>
            </w:r>
          </w:p>
          <w:p w14:paraId="5907132D"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(je-li relevantní)</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777CDC"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Cílová hodnota (2023)</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FE0A1F"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2014</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D70707"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2015</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35611F"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2016</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DBCA5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2017</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EE2A8D"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E30684"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7DBEA3"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074509"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2021</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F05198"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2022</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7720A3"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2C070D"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Vysvětlení (v případě potřeby)</w:t>
            </w:r>
          </w:p>
        </w:tc>
      </w:tr>
      <w:tr w:rsidR="00533CD2" w14:paraId="411FD4A0"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CCABEC"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EC493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90501/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C26E18"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revitalizovaných památkových objektů</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066CC1"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Objekty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870061"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266208"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8B89B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90,000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30511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A4683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3F56C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18,000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F1FF9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70,000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E72D2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124,000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BB3B1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119,000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D5AC4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403A6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0D43E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F1ED0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1DDFCF" w14:textId="77777777" w:rsidR="00533CD2" w:rsidRDefault="00533CD2">
            <w:pPr>
              <w:ind w:left="57" w:right="57"/>
              <w:rPr>
                <w:rFonts w:ascii="Arial" w:eastAsia="Arial" w:hAnsi="Arial" w:cs="Arial"/>
                <w:color w:val="000000"/>
                <w:sz w:val="14"/>
              </w:rPr>
            </w:pPr>
          </w:p>
        </w:tc>
      </w:tr>
      <w:tr w:rsidR="00533CD2" w14:paraId="25EEA9AC"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2CE273"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F85E4C"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90501/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4661A6"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revitalizovaných památkových objektů</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1D078E"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Objekty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B79BF0"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E63FB8"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2767A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90,000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C094D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1BAD4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D3C2E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E8FBA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0AE02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8,000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4611A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11,000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1F490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4218F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C594A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39B7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D0CA53" w14:textId="77777777" w:rsidR="00533CD2" w:rsidRDefault="00533CD2">
            <w:pPr>
              <w:ind w:left="57" w:right="57"/>
              <w:rPr>
                <w:rFonts w:ascii="Arial" w:eastAsia="Arial" w:hAnsi="Arial" w:cs="Arial"/>
                <w:color w:val="000000"/>
                <w:sz w:val="14"/>
              </w:rPr>
            </w:pPr>
          </w:p>
        </w:tc>
      </w:tr>
      <w:tr w:rsidR="00533CD2" w14:paraId="213C344F"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EFE4F4"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2F4AB1"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90703/</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515146"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nově zpřístupněných a zefektivněných podsbírek a fondů</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A7D6A1"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Podsbírky/fondy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E19D0D"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52EF44"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B1BAA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119,000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516B6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935CF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6228D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36,000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C5103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303,000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0C6F4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465,000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164B2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473,000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4D753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97010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0FEE1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2CF1B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42F1A0" w14:textId="1773114D" w:rsidR="00533CD2" w:rsidRDefault="00DD6E4A">
            <w:pPr>
              <w:ind w:left="57" w:right="57"/>
              <w:rPr>
                <w:rFonts w:ascii="Arial" w:eastAsia="Arial" w:hAnsi="Arial" w:cs="Arial"/>
                <w:color w:val="000000"/>
                <w:sz w:val="14"/>
              </w:rPr>
            </w:pPr>
            <w:r>
              <w:rPr>
                <w:rFonts w:ascii="Arial" w:eastAsia="Arial" w:hAnsi="Arial" w:cs="Arial"/>
                <w:color w:val="000000"/>
                <w:sz w:val="14"/>
              </w:rPr>
              <w:t xml:space="preserve">Stanovená cílová hodnota počítala s podporou menšího počtu projektů, v rámci kterých by docházelo k podpoře větších celků, nicméně v současnosti příjemci podávají větší množství projektů zahrnujících vice jednotlivých podsbírek (či knihovních fondů), což vedlo k překročení stanovené hodnoty. V souladu s výše uvedeným </w:t>
            </w:r>
            <w:proofErr w:type="gramStart"/>
            <w:r>
              <w:rPr>
                <w:rFonts w:ascii="Arial" w:eastAsia="Arial" w:hAnsi="Arial" w:cs="Arial"/>
                <w:color w:val="000000"/>
                <w:sz w:val="14"/>
              </w:rPr>
              <w:t>ŘO  v</w:t>
            </w:r>
            <w:proofErr w:type="gramEnd"/>
            <w:r>
              <w:rPr>
                <w:rFonts w:ascii="Arial" w:eastAsia="Arial" w:hAnsi="Arial" w:cs="Arial"/>
                <w:color w:val="000000"/>
                <w:sz w:val="14"/>
              </w:rPr>
              <w:t xml:space="preserve"> revi</w:t>
            </w:r>
            <w:r>
              <w:rPr>
                <w:rFonts w:ascii="Arial" w:eastAsia="Arial" w:hAnsi="Arial" w:cs="Arial"/>
                <w:color w:val="000000"/>
                <w:sz w:val="14"/>
                <w:lang w:val="cs-CZ"/>
              </w:rPr>
              <w:t>zi</w:t>
            </w:r>
            <w:r>
              <w:rPr>
                <w:rFonts w:ascii="Arial" w:eastAsia="Arial" w:hAnsi="Arial" w:cs="Arial"/>
                <w:color w:val="000000"/>
                <w:sz w:val="14"/>
              </w:rPr>
              <w:t xml:space="preserve"> schválené MV proto přistoupil k úpravě cílové hodnoty indikátoru.</w:t>
            </w:r>
          </w:p>
        </w:tc>
      </w:tr>
      <w:tr w:rsidR="00533CD2" w14:paraId="35B99974"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AF827C"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2D82F8"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90703/</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065F93"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nově zpřístupněných a zefektivněných podsbírek a fondů</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8D716D"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Podsbírky/fondy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55983"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87B42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182E6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119,000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B8787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F2214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F4906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542B1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06C8D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20,000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53704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48,000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07A9B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069B5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82F62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2A3F4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CABCCC" w14:textId="77777777" w:rsidR="00533CD2" w:rsidRDefault="00533CD2">
            <w:pPr>
              <w:ind w:left="57" w:right="57"/>
              <w:rPr>
                <w:rFonts w:ascii="Arial" w:eastAsia="Arial" w:hAnsi="Arial" w:cs="Arial"/>
                <w:color w:val="000000"/>
                <w:sz w:val="14"/>
              </w:rPr>
            </w:pPr>
          </w:p>
        </w:tc>
      </w:tr>
      <w:tr w:rsidR="00533CD2" w14:paraId="2CE8D073"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40CB96"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CF082B"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91005/CO09</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7928D2"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Zvýšení očekávaného počtu návštěv podporovaných kulturních a přírodních památek a atrakcí</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1FD9E7"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Návštěvy/rok</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F7560D"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ACF030"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87358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698 025,000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1C8E6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90A90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B1BC6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94 057,000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947D4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343 211,000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95D9F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545 893,000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D6B64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695 132,000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1BF02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D8D5A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88EDB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153A7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71842E" w14:textId="77777777" w:rsidR="00533CD2" w:rsidRDefault="00533CD2">
            <w:pPr>
              <w:ind w:left="57" w:right="57"/>
              <w:rPr>
                <w:rFonts w:ascii="Arial" w:eastAsia="Arial" w:hAnsi="Arial" w:cs="Arial"/>
                <w:color w:val="000000"/>
                <w:sz w:val="14"/>
              </w:rPr>
            </w:pPr>
          </w:p>
        </w:tc>
      </w:tr>
      <w:tr w:rsidR="00533CD2" w14:paraId="4615DF82"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91894A"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4CE0F5"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91005/CO09</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5EE141"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Zvýšení očekávaného počtu návštěv podporovaných kulturních a přírodních památek a atrakcí</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F47B0B"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Návštěvy/rok</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21155C"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3D4563"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9BAE1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698 025,000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71D0D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659BF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1C9CE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BD46A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4B651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7295C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55 614,000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E7B19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954C6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0844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004DF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BD092D" w14:textId="297AEC90" w:rsidR="00533CD2" w:rsidRDefault="00D90625" w:rsidP="00B02F02">
            <w:pPr>
              <w:ind w:left="57" w:right="57"/>
              <w:rPr>
                <w:rFonts w:ascii="Arial" w:eastAsia="Arial" w:hAnsi="Arial" w:cs="Arial"/>
                <w:color w:val="000000"/>
                <w:sz w:val="14"/>
              </w:rPr>
            </w:pPr>
            <w:r w:rsidRPr="001043E4">
              <w:rPr>
                <w:rFonts w:ascii="Arial" w:eastAsia="Arial" w:hAnsi="Arial" w:cs="Arial"/>
                <w:color w:val="000000"/>
                <w:sz w:val="14"/>
              </w:rPr>
              <w:t>Dosažené hodnoty indikátoru 91005 jsou vykazováno jeden kalendářní rok po ukončení projektu, pro zatím došlo k vykázání pouze u malého procenta projektů a dosažené hodnota je zatím velmi nízká. ŘO odhaduje, že v následujících letech dojde k jejímu strmému nárůstu.</w:t>
            </w:r>
          </w:p>
        </w:tc>
      </w:tr>
    </w:tbl>
    <w:p w14:paraId="502C6819" w14:textId="77777777" w:rsidR="00533CD2" w:rsidRDefault="0046046C">
      <w:pPr>
        <w:keepNext/>
        <w:spacing w:before="240"/>
        <w:ind w:left="115" w:right="106"/>
        <w:jc w:val="both"/>
        <w:rPr>
          <w:rFonts w:ascii="Arial" w:eastAsia="Arial" w:hAnsi="Arial" w:cs="Arial"/>
          <w:color w:val="000000"/>
          <w:sz w:val="20"/>
        </w:rPr>
      </w:pPr>
      <w:r>
        <w:rPr>
          <w:rFonts w:ascii="Arial" w:eastAsia="Arial" w:hAnsi="Arial" w:cs="Arial"/>
          <w:color w:val="000000"/>
          <w:sz w:val="20"/>
        </w:rPr>
        <w:t>Investiční priorita: 06.3.72 Zvyšování institucionální kapacity orgánů veřejné správy a zúčastněných subjektů a zlepšování účinnosti veřejné správy prostřednictvím opatření pro posilování institucionální kapacity a účinnosti veřejné správy a veřejných služeb souvisejících s prováděním EFRR, jež přispívají k realizaci opatření podporovaných z ESF v oblasti institucionální kapacity a účinnosti veřejné správy</w:t>
      </w:r>
    </w:p>
    <w:tbl>
      <w:tblPr>
        <w:tblW w:w="0" w:type="auto"/>
        <w:tblInd w:w="58" w:type="dxa"/>
        <w:tblLayout w:type="fixed"/>
        <w:tblCellMar>
          <w:left w:w="0" w:type="dxa"/>
          <w:right w:w="0" w:type="dxa"/>
        </w:tblCellMar>
        <w:tblLook w:val="04A0" w:firstRow="1" w:lastRow="0" w:firstColumn="1" w:lastColumn="0" w:noHBand="0" w:noVBand="1"/>
      </w:tblPr>
      <w:tblGrid>
        <w:gridCol w:w="1333"/>
        <w:gridCol w:w="567"/>
        <w:gridCol w:w="2268"/>
        <w:gridCol w:w="709"/>
        <w:gridCol w:w="709"/>
        <w:gridCol w:w="850"/>
        <w:gridCol w:w="766"/>
        <w:gridCol w:w="713"/>
        <w:gridCol w:w="700"/>
        <w:gridCol w:w="712"/>
        <w:gridCol w:w="739"/>
        <w:gridCol w:w="766"/>
        <w:gridCol w:w="708"/>
        <w:gridCol w:w="709"/>
        <w:gridCol w:w="711"/>
        <w:gridCol w:w="710"/>
        <w:gridCol w:w="712"/>
        <w:gridCol w:w="992"/>
      </w:tblGrid>
      <w:tr w:rsidR="00533CD2" w14:paraId="3ABA8220" w14:textId="77777777">
        <w:trPr>
          <w:tblHeader/>
        </w:trPr>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A27A2C" w14:textId="77777777" w:rsidR="00533CD2" w:rsidRDefault="00533CD2">
            <w:pPr>
              <w:ind w:left="57" w:right="57"/>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35C3D3"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ID</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A64753"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Indikátor</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0B148B"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Měrná jednotka</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1FE6B8"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Fond</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E312F6"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Kategorie regionu</w:t>
            </w:r>
          </w:p>
          <w:p w14:paraId="1D5B3359"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(je-li relevantní)</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CD97DA"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Cílová hodnota (2023)</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475AB7"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2014</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6FF421"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2015</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F53AB4"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2016</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D9E562"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2017</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4199D8"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B7EAFB"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BE6E28"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94DF9A"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2021</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53067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2022</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2ADB51"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2C8A18"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Vysvětlení (v případě potřeby)</w:t>
            </w:r>
          </w:p>
        </w:tc>
      </w:tr>
      <w:tr w:rsidR="00533CD2" w14:paraId="042A18FE"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1EE370"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08030C"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90200/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69C883"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územních plánů, regulačních plánů a územních studií</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3E2BAD"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Dokumenty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1E3667"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1A1436"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86532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255,000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2FE7F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2B37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0ABF2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19,000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552C5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284,000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92DD4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384,000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3F8DD7" w14:textId="6E58E7CC" w:rsidR="00533CD2" w:rsidRDefault="0085525E">
            <w:pPr>
              <w:tabs>
                <w:tab w:val="left" w:pos="828"/>
              </w:tabs>
              <w:ind w:left="57" w:right="57"/>
              <w:jc w:val="right"/>
              <w:rPr>
                <w:rFonts w:ascii="Arial" w:eastAsia="Arial" w:hAnsi="Arial" w:cs="Arial"/>
                <w:color w:val="000000"/>
                <w:sz w:val="14"/>
              </w:rPr>
            </w:pPr>
            <w:r>
              <w:rPr>
                <w:rFonts w:ascii="Arial" w:eastAsia="Arial" w:hAnsi="Arial" w:cs="Arial"/>
                <w:color w:val="000000"/>
                <w:sz w:val="14"/>
              </w:rPr>
              <w:t>380</w:t>
            </w:r>
            <w:r w:rsidR="00DD6E4A">
              <w:rPr>
                <w:rFonts w:ascii="Arial" w:eastAsia="Arial" w:hAnsi="Arial" w:cs="Arial"/>
                <w:color w:val="000000"/>
                <w:sz w:val="14"/>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31288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ED92F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2B331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52F54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97B5E7" w14:textId="0A57EE1D" w:rsidR="00533CD2" w:rsidRDefault="0085525E" w:rsidP="0085525E">
            <w:pPr>
              <w:ind w:left="57" w:right="57"/>
              <w:rPr>
                <w:rFonts w:ascii="Arial" w:eastAsia="Arial" w:hAnsi="Arial" w:cs="Arial"/>
                <w:color w:val="000000"/>
                <w:sz w:val="14"/>
              </w:rPr>
            </w:pPr>
            <w:r>
              <w:rPr>
                <w:rFonts w:ascii="Arial" w:eastAsia="Arial" w:hAnsi="Arial" w:cs="Arial"/>
                <w:color w:val="000000"/>
                <w:sz w:val="14"/>
              </w:rPr>
              <w:t>Meziroční polkas odhadu příjemců je zapřčiněn nekončením</w:t>
            </w:r>
            <w:r w:rsidR="00462EBD">
              <w:rPr>
                <w:rFonts w:ascii="Arial" w:eastAsia="Arial" w:hAnsi="Arial" w:cs="Arial"/>
                <w:color w:val="000000"/>
                <w:sz w:val="14"/>
              </w:rPr>
              <w:t>/zrušením</w:t>
            </w:r>
            <w:r>
              <w:rPr>
                <w:rFonts w:ascii="Arial" w:eastAsia="Arial" w:hAnsi="Arial" w:cs="Arial"/>
                <w:color w:val="000000"/>
                <w:sz w:val="14"/>
              </w:rPr>
              <w:t xml:space="preserve"> několika schválených projektů.</w:t>
            </w:r>
          </w:p>
        </w:tc>
      </w:tr>
      <w:tr w:rsidR="00533CD2" w14:paraId="7197671E"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0D72FB"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00F58E"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90200/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D9116A"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územních plánů, regulačních plánů a územních studií</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7DFEA1"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Dokumenty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9E2847"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7BF1B4"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44BE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255,000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118C2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3A91D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F94DC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2A9ED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50,000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1D8BF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185,000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8FF426" w14:textId="6870090B" w:rsidR="00533CD2" w:rsidRDefault="00DD6E4A">
            <w:pPr>
              <w:tabs>
                <w:tab w:val="left" w:pos="828"/>
              </w:tabs>
              <w:ind w:left="57" w:right="57"/>
              <w:jc w:val="right"/>
              <w:rPr>
                <w:rFonts w:ascii="Arial" w:eastAsia="Arial" w:hAnsi="Arial" w:cs="Arial"/>
                <w:color w:val="000000"/>
                <w:sz w:val="14"/>
              </w:rPr>
            </w:pPr>
            <w:r>
              <w:rPr>
                <w:rFonts w:ascii="Arial" w:eastAsia="Arial" w:hAnsi="Arial" w:cs="Arial"/>
                <w:color w:val="000000"/>
                <w:sz w:val="14"/>
              </w:rPr>
              <w:t>285,000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96391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18CE5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AFE4A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E38B6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66A366" w14:textId="77777777" w:rsidR="00533CD2" w:rsidRDefault="00533CD2">
            <w:pPr>
              <w:ind w:left="57" w:right="57"/>
              <w:rPr>
                <w:rFonts w:ascii="Arial" w:eastAsia="Arial" w:hAnsi="Arial" w:cs="Arial"/>
                <w:color w:val="000000"/>
                <w:sz w:val="14"/>
              </w:rPr>
            </w:pPr>
          </w:p>
        </w:tc>
      </w:tr>
    </w:tbl>
    <w:p w14:paraId="585BD113" w14:textId="77777777" w:rsidR="00533CD2" w:rsidRDefault="0046046C">
      <w:pPr>
        <w:keepNext/>
        <w:spacing w:before="240"/>
        <w:ind w:left="115" w:right="106"/>
        <w:jc w:val="both"/>
        <w:rPr>
          <w:rFonts w:ascii="Arial" w:eastAsia="Arial" w:hAnsi="Arial" w:cs="Arial"/>
          <w:color w:val="000000"/>
          <w:sz w:val="20"/>
        </w:rPr>
      </w:pPr>
      <w:r>
        <w:rPr>
          <w:rFonts w:ascii="Arial" w:eastAsia="Arial" w:hAnsi="Arial" w:cs="Arial"/>
          <w:color w:val="000000"/>
          <w:sz w:val="20"/>
        </w:rPr>
        <w:t>Investiční priorita: 06.4.59 Provádění investic v rámci komunitně vedených strategií místního rozvoje</w:t>
      </w:r>
    </w:p>
    <w:tbl>
      <w:tblPr>
        <w:tblW w:w="0" w:type="auto"/>
        <w:tblInd w:w="58" w:type="dxa"/>
        <w:tblLayout w:type="fixed"/>
        <w:tblCellMar>
          <w:left w:w="0" w:type="dxa"/>
          <w:right w:w="0" w:type="dxa"/>
        </w:tblCellMar>
        <w:tblLook w:val="04A0" w:firstRow="1" w:lastRow="0" w:firstColumn="1" w:lastColumn="0" w:noHBand="0" w:noVBand="1"/>
      </w:tblPr>
      <w:tblGrid>
        <w:gridCol w:w="1333"/>
        <w:gridCol w:w="567"/>
        <w:gridCol w:w="2268"/>
        <w:gridCol w:w="709"/>
        <w:gridCol w:w="709"/>
        <w:gridCol w:w="850"/>
        <w:gridCol w:w="766"/>
        <w:gridCol w:w="713"/>
        <w:gridCol w:w="700"/>
        <w:gridCol w:w="712"/>
        <w:gridCol w:w="739"/>
        <w:gridCol w:w="766"/>
        <w:gridCol w:w="708"/>
        <w:gridCol w:w="709"/>
        <w:gridCol w:w="711"/>
        <w:gridCol w:w="710"/>
        <w:gridCol w:w="712"/>
        <w:gridCol w:w="992"/>
      </w:tblGrid>
      <w:tr w:rsidR="00533CD2" w14:paraId="41CB5248" w14:textId="77777777">
        <w:trPr>
          <w:tblHeader/>
        </w:trPr>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70A463" w14:textId="77777777" w:rsidR="00533CD2" w:rsidRDefault="00533CD2">
            <w:pPr>
              <w:ind w:left="57" w:right="57"/>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5F45AD"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ID</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00E447"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Indikátor</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4236E2"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Měrná jednotka</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4053B1"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Fond</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D7941B"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Kategorie regionu</w:t>
            </w:r>
          </w:p>
          <w:p w14:paraId="3A598B61"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(je-li relevantní)</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44CB3A"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Cílová hodnota (2023)</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353262"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2014</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DAA9EC"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2015</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B5B825"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2016</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66558E"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2017</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ED1B0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31B6ED"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43797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979C21"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2021</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4D65EB"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2022</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4BD098"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8E4A75"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Vysvětlení (v případě potřeby)</w:t>
            </w:r>
          </w:p>
        </w:tc>
      </w:tr>
      <w:tr w:rsidR="00533CD2" w14:paraId="3572B5D8"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205D96"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B31DA1"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82000/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849709"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uskutečněných školení, seminářů, workshopů a konferencí</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A2FD2C"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Aktivity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D77712"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FFD191"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17946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5 728,000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A4D60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B3EDF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BCD65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2 107,000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78085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3 964,000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E4128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5 520,000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A7655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6 118,000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E7791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1D7A4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E94A4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D3D7D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0B4C15" w14:textId="77777777" w:rsidR="00533CD2" w:rsidRDefault="00533CD2">
            <w:pPr>
              <w:ind w:left="57" w:right="57"/>
              <w:rPr>
                <w:rFonts w:ascii="Arial" w:eastAsia="Arial" w:hAnsi="Arial" w:cs="Arial"/>
                <w:color w:val="000000"/>
                <w:sz w:val="14"/>
              </w:rPr>
            </w:pPr>
          </w:p>
        </w:tc>
      </w:tr>
      <w:tr w:rsidR="00533CD2" w14:paraId="1BD3EB2D"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B6EED2"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F4AF7A"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82000/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FCB636"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uskutečněných školení, seminářů, workshopů a konferencí</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E6F5C1"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Aktivity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6ED989"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9C3050"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F65B3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5 728,000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15DAB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739B5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1BD0D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27BFB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51,000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F1BF3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560,000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42947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1 433,000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46D5D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85E0C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0C5BE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2E763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794EE0" w14:textId="77777777" w:rsidR="00533CD2" w:rsidRDefault="00533CD2">
            <w:pPr>
              <w:ind w:left="57" w:right="57"/>
              <w:rPr>
                <w:rFonts w:ascii="Arial" w:eastAsia="Arial" w:hAnsi="Arial" w:cs="Arial"/>
                <w:color w:val="000000"/>
                <w:sz w:val="14"/>
              </w:rPr>
            </w:pPr>
          </w:p>
        </w:tc>
      </w:tr>
      <w:tr w:rsidR="00533CD2" w14:paraId="673DA1C4"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F1E44E"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D05EB2"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90001/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CDD51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podpořených strategií CLLD</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759C83"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Strategie</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24BC5"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2199EA"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1A553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160,000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43E318" w14:textId="2D17D09A" w:rsidR="00533CD2" w:rsidRDefault="00533CD2">
            <w:pPr>
              <w:tabs>
                <w:tab w:val="left" w:pos="828"/>
              </w:tabs>
              <w:ind w:left="57" w:right="57"/>
              <w:jc w:val="right"/>
              <w:rPr>
                <w:rFonts w:ascii="Arial" w:eastAsia="Arial" w:hAnsi="Arial" w:cs="Arial"/>
                <w:color w:val="000000"/>
                <w:sz w:val="14"/>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6BC777" w14:textId="05AA631D" w:rsidR="00533CD2" w:rsidRDefault="00533CD2">
            <w:pPr>
              <w:tabs>
                <w:tab w:val="left" w:pos="828"/>
              </w:tabs>
              <w:ind w:left="57" w:right="57"/>
              <w:jc w:val="right"/>
              <w:rPr>
                <w:rFonts w:ascii="Arial" w:eastAsia="Arial" w:hAnsi="Arial" w:cs="Arial"/>
                <w:color w:val="000000"/>
                <w:sz w:val="14"/>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CFFF77" w14:textId="74A907BA" w:rsidR="00533CD2" w:rsidRDefault="00533CD2">
            <w:pPr>
              <w:tabs>
                <w:tab w:val="left" w:pos="828"/>
              </w:tabs>
              <w:ind w:left="57" w:right="57"/>
              <w:jc w:val="right"/>
              <w:rPr>
                <w:rFonts w:ascii="Arial" w:eastAsia="Arial" w:hAnsi="Arial" w:cs="Arial"/>
                <w:color w:val="000000"/>
                <w:sz w:val="14"/>
              </w:rPr>
            </w:pP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884CE6" w14:textId="139A739E" w:rsidR="00533CD2" w:rsidRDefault="00533CD2">
            <w:pPr>
              <w:tabs>
                <w:tab w:val="left" w:pos="828"/>
              </w:tabs>
              <w:ind w:left="57" w:right="57"/>
              <w:jc w:val="right"/>
              <w:rPr>
                <w:rFonts w:ascii="Arial" w:eastAsia="Arial" w:hAnsi="Arial" w:cs="Arial"/>
                <w:color w:val="000000"/>
                <w:sz w:val="14"/>
              </w:rPr>
            </w:pP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FAF722" w14:textId="2752306B" w:rsidR="00533CD2" w:rsidRDefault="00533CD2">
            <w:pPr>
              <w:tabs>
                <w:tab w:val="left" w:pos="828"/>
              </w:tabs>
              <w:ind w:left="57" w:right="57"/>
              <w:jc w:val="right"/>
              <w:rPr>
                <w:rFonts w:ascii="Arial" w:eastAsia="Arial" w:hAnsi="Arial" w:cs="Arial"/>
                <w:color w:val="000000"/>
                <w:sz w:val="14"/>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E7BC8E" w14:textId="17183F4E" w:rsidR="00533CD2" w:rsidRDefault="00533CD2">
            <w:pPr>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3947F6" w14:textId="1841634A" w:rsidR="00533CD2" w:rsidRDefault="00533CD2">
            <w:pPr>
              <w:tabs>
                <w:tab w:val="left" w:pos="828"/>
              </w:tabs>
              <w:ind w:left="57" w:right="57"/>
              <w:jc w:val="right"/>
              <w:rPr>
                <w:rFonts w:ascii="Arial" w:eastAsia="Arial" w:hAnsi="Arial" w:cs="Arial"/>
                <w:color w:val="000000"/>
                <w:sz w:val="14"/>
              </w:rPr>
            </w:pP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8A80EF" w14:textId="1F8ABA18" w:rsidR="00533CD2" w:rsidRDefault="00533CD2">
            <w:pPr>
              <w:tabs>
                <w:tab w:val="left" w:pos="828"/>
              </w:tabs>
              <w:ind w:left="57" w:right="57"/>
              <w:jc w:val="right"/>
              <w:rPr>
                <w:rFonts w:ascii="Arial" w:eastAsia="Arial" w:hAnsi="Arial" w:cs="Arial"/>
                <w:color w:val="000000"/>
                <w:sz w:val="14"/>
              </w:rPr>
            </w:pP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811F20" w14:textId="2811E4A4" w:rsidR="00533CD2" w:rsidRDefault="00533CD2">
            <w:pPr>
              <w:tabs>
                <w:tab w:val="left" w:pos="828"/>
              </w:tabs>
              <w:ind w:left="57" w:right="57"/>
              <w:jc w:val="right"/>
              <w:rPr>
                <w:rFonts w:ascii="Arial" w:eastAsia="Arial" w:hAnsi="Arial" w:cs="Arial"/>
                <w:color w:val="000000"/>
                <w:sz w:val="14"/>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93E158" w14:textId="517D2AB7" w:rsidR="00533CD2" w:rsidRDefault="00533CD2">
            <w:pPr>
              <w:tabs>
                <w:tab w:val="left" w:pos="828"/>
              </w:tabs>
              <w:ind w:left="57" w:right="57"/>
              <w:jc w:val="right"/>
              <w:rPr>
                <w:rFonts w:ascii="Arial" w:eastAsia="Arial" w:hAnsi="Arial" w:cs="Arial"/>
                <w:color w:val="000000"/>
                <w:sz w:val="1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38DB2F" w14:textId="08BD8351" w:rsidR="00533CD2" w:rsidRDefault="00DD6E4A">
            <w:pPr>
              <w:ind w:left="57" w:right="57"/>
              <w:rPr>
                <w:rFonts w:ascii="Arial" w:eastAsia="Arial" w:hAnsi="Arial" w:cs="Arial"/>
                <w:color w:val="000000"/>
                <w:sz w:val="14"/>
              </w:rPr>
            </w:pPr>
            <w:r>
              <w:rPr>
                <w:rFonts w:ascii="Arial" w:eastAsia="Arial" w:hAnsi="Arial" w:cs="Arial"/>
                <w:color w:val="000000"/>
                <w:sz w:val="14"/>
              </w:rPr>
              <w:t>Indikátor měří počet podpořených strategií CLLD. Protože nejde o hodnoty z projektů, nelze mluvit o existence závazků. Indikátor je již naplněn.</w:t>
            </w:r>
          </w:p>
        </w:tc>
      </w:tr>
      <w:tr w:rsidR="00533CD2" w14:paraId="179808FF"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73DA9B"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96568E"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90001/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837528"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podpořených strategií CLLD</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3244D7"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Strategie</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87C69E"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DB856C"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9A5AE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160,000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9DFB2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B8D99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80483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19,000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5EBE4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178,000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B62CB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178,000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DE459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178,000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218FC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55C7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08601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5C75E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2312E0" w14:textId="77777777" w:rsidR="00533CD2" w:rsidRDefault="00533CD2">
            <w:pPr>
              <w:ind w:left="57" w:right="57"/>
              <w:rPr>
                <w:rFonts w:ascii="Arial" w:eastAsia="Arial" w:hAnsi="Arial" w:cs="Arial"/>
                <w:color w:val="000000"/>
                <w:sz w:val="14"/>
              </w:rPr>
            </w:pPr>
          </w:p>
        </w:tc>
      </w:tr>
      <w:tr w:rsidR="00533CD2" w14:paraId="15223A0A"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9DEE96"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D6C310"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93508/</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061D19"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úspěšně zrealizovaných výzev místní akční skupinou</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970B38"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výzvy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963398"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46164C"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D257C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2 506,000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7E0B9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8E7BD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31A97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1 114,000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401E1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2 267,000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CE3D1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3 161,000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0B00D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3 257,000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2CDFC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917F5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CE8F8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65425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AE55E7" w14:textId="77777777" w:rsidR="00533CD2" w:rsidRDefault="00533CD2">
            <w:pPr>
              <w:ind w:left="57" w:right="57"/>
              <w:rPr>
                <w:rFonts w:ascii="Arial" w:eastAsia="Arial" w:hAnsi="Arial" w:cs="Arial"/>
                <w:color w:val="000000"/>
                <w:sz w:val="14"/>
              </w:rPr>
            </w:pPr>
          </w:p>
        </w:tc>
      </w:tr>
      <w:tr w:rsidR="00533CD2" w14:paraId="00B10782"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19512C"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4BE006"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93508/</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DE1442"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úspěšně zrealizovaných výzev místní akční skupinou</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BBE5CB"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výzvy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6B70F7"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D993D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0A60D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2 506,000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323D5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67609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F02BC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CB9B3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16,000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0DD8A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215,000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3E6D4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637,000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F3A72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60FD0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D8D32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2993E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1BCDBF" w14:textId="77777777" w:rsidR="00533CD2" w:rsidRDefault="00533CD2">
            <w:pPr>
              <w:ind w:left="57" w:right="57"/>
              <w:rPr>
                <w:rFonts w:ascii="Arial" w:eastAsia="Arial" w:hAnsi="Arial" w:cs="Arial"/>
                <w:color w:val="000000"/>
                <w:sz w:val="14"/>
              </w:rPr>
            </w:pPr>
          </w:p>
        </w:tc>
      </w:tr>
    </w:tbl>
    <w:p w14:paraId="2279C817" w14:textId="77777777" w:rsidR="00533CD2" w:rsidRDefault="0046046C">
      <w:pPr>
        <w:keepNext/>
        <w:spacing w:before="240"/>
        <w:ind w:left="115" w:right="106"/>
        <w:jc w:val="both"/>
        <w:rPr>
          <w:rFonts w:ascii="Arial" w:eastAsia="Arial" w:hAnsi="Arial" w:cs="Arial"/>
          <w:color w:val="000000"/>
          <w:sz w:val="20"/>
        </w:rPr>
      </w:pPr>
      <w:r>
        <w:rPr>
          <w:rFonts w:ascii="Arial" w:eastAsia="Arial" w:hAnsi="Arial" w:cs="Arial"/>
          <w:color w:val="000000"/>
          <w:sz w:val="20"/>
        </w:rPr>
        <w:t>Investiční priorita: 06.5.125 Technická pomoc</w:t>
      </w:r>
    </w:p>
    <w:tbl>
      <w:tblPr>
        <w:tblW w:w="0" w:type="auto"/>
        <w:tblInd w:w="58" w:type="dxa"/>
        <w:tblLayout w:type="fixed"/>
        <w:tblCellMar>
          <w:left w:w="0" w:type="dxa"/>
          <w:right w:w="0" w:type="dxa"/>
        </w:tblCellMar>
        <w:tblLook w:val="04A0" w:firstRow="1" w:lastRow="0" w:firstColumn="1" w:lastColumn="0" w:noHBand="0" w:noVBand="1"/>
      </w:tblPr>
      <w:tblGrid>
        <w:gridCol w:w="1333"/>
        <w:gridCol w:w="567"/>
        <w:gridCol w:w="2268"/>
        <w:gridCol w:w="709"/>
        <w:gridCol w:w="709"/>
        <w:gridCol w:w="850"/>
        <w:gridCol w:w="766"/>
        <w:gridCol w:w="713"/>
        <w:gridCol w:w="700"/>
        <w:gridCol w:w="712"/>
        <w:gridCol w:w="739"/>
        <w:gridCol w:w="766"/>
        <w:gridCol w:w="708"/>
        <w:gridCol w:w="709"/>
        <w:gridCol w:w="711"/>
        <w:gridCol w:w="710"/>
        <w:gridCol w:w="712"/>
        <w:gridCol w:w="992"/>
      </w:tblGrid>
      <w:tr w:rsidR="00533CD2" w14:paraId="1380AFAF" w14:textId="77777777">
        <w:trPr>
          <w:tblHeader/>
        </w:trPr>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FDE73C" w14:textId="77777777" w:rsidR="00533CD2" w:rsidRDefault="00533CD2">
            <w:pPr>
              <w:ind w:left="57" w:right="57"/>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9CB5B7"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ID</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F3DF33"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Indikátor</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C65BB7"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Měrná jednotka</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B955CF"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Fond</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1DAB96"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Kategorie regionu</w:t>
            </w:r>
          </w:p>
          <w:p w14:paraId="214C549D"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(je-li relevantní)</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56CA94"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Cílová hodnota (2023)</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A64472"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2014</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9C711F"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2015</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ACBCCF"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2016</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D3FF21"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2017</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EF7C18"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786CCD"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F2C445"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607611"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2021</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9E2C5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2022</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17C7FD"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60329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Vysvětlení (v případě potřeby)</w:t>
            </w:r>
          </w:p>
        </w:tc>
      </w:tr>
      <w:tr w:rsidR="00533CD2" w14:paraId="71A1991A"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E0793B"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97B02A"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60000/CESF0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4E0C07"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Celkový počet účastníků</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306167"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Osoby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1585CE"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BB246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71355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1 500,000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1889A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666C8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5DE66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1 648,000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5D178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5 456,000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5D21B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9 618,000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E246E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22 211,000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C6464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84285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0CF50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2058A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F582A3" w14:textId="77777777" w:rsidR="00533CD2" w:rsidRDefault="00533CD2">
            <w:pPr>
              <w:ind w:left="57" w:right="57"/>
              <w:rPr>
                <w:rFonts w:ascii="Arial" w:eastAsia="Arial" w:hAnsi="Arial" w:cs="Arial"/>
                <w:color w:val="000000"/>
                <w:sz w:val="14"/>
              </w:rPr>
            </w:pPr>
          </w:p>
        </w:tc>
      </w:tr>
      <w:tr w:rsidR="00533CD2" w14:paraId="1557BE7D"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7B7E3E"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6FDD9"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60000/CESF0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6521D5"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Celkový počet účastníků</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CFC478"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Osoby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B0EC23"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5FCB91"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112CC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1 500,000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FA37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5FBA0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71045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1 217,000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C0A7B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2 038,000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EE179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5 025,000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0B604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5 588,000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7989F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AF94F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F28A5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B217E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4AD846" w14:textId="428BB823" w:rsidR="00533CD2" w:rsidRDefault="00DC1EB9">
            <w:pPr>
              <w:ind w:left="57" w:right="57"/>
              <w:rPr>
                <w:rFonts w:ascii="Arial" w:eastAsia="Arial" w:hAnsi="Arial" w:cs="Arial"/>
                <w:color w:val="000000"/>
                <w:sz w:val="14"/>
              </w:rPr>
            </w:pPr>
            <w:r>
              <w:rPr>
                <w:rFonts w:ascii="Arial" w:eastAsia="Arial" w:hAnsi="Arial" w:cs="Arial"/>
                <w:color w:val="000000"/>
                <w:sz w:val="14"/>
              </w:rPr>
              <w:t>Cílová hodnota byla nastavena nízko, proto došlo k přeplnění. Jedná se o účastníky seminářů pro žadatale a příjemce, nicméně také o proškolené zaměstnance v implementační struktuře IROP. ŘO IROP hodnotu upraví v následujcí revizi PD IROP</w:t>
            </w:r>
          </w:p>
        </w:tc>
      </w:tr>
      <w:tr w:rsidR="00533CD2" w14:paraId="7A477505"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3378B5"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AA938A"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80001/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EB0288"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uspořádaných informačních a propagačních aktivit</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CCD661"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Aktivity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48F8D8"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7F3363"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E32A4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150,000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DA441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7396E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6FEBC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B4704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16,000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43545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38,000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0768A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37,000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46500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78A4A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50CC5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BD132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95AE2B" w14:textId="77777777" w:rsidR="00533CD2" w:rsidRDefault="00533CD2">
            <w:pPr>
              <w:ind w:left="57" w:right="57"/>
              <w:rPr>
                <w:rFonts w:ascii="Arial" w:eastAsia="Arial" w:hAnsi="Arial" w:cs="Arial"/>
                <w:color w:val="000000"/>
                <w:sz w:val="14"/>
              </w:rPr>
            </w:pPr>
          </w:p>
        </w:tc>
      </w:tr>
      <w:tr w:rsidR="00533CD2" w14:paraId="37784C86"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613302"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EEA6A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80001/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7CF13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uspořádaných informačních a propagačních aktivit</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3FD2C7"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Aktivity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8614C8"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D7F321"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9714D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150,000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07BD3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F2046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EAF3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B4B0B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ED21B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15,000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34631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31,000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CB61B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70B84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5AF70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C3A2F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4F5B8F" w14:textId="77777777" w:rsidR="00533CD2" w:rsidRDefault="00533CD2">
            <w:pPr>
              <w:ind w:left="57" w:right="57"/>
              <w:rPr>
                <w:rFonts w:ascii="Arial" w:eastAsia="Arial" w:hAnsi="Arial" w:cs="Arial"/>
                <w:color w:val="000000"/>
                <w:sz w:val="14"/>
              </w:rPr>
            </w:pPr>
          </w:p>
        </w:tc>
      </w:tr>
      <w:tr w:rsidR="00533CD2" w14:paraId="19F00C4C"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1C86C6"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6B2874"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80103/</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FBD1C5"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vytvořených komunikačních nástrojů</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AB2E0E"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Nástroje</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12D7D5"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EECCE4"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36F76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8,000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BD390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42886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76D73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2B3AF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82C5D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ED93D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16,000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4D6FC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C6FD5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F2B63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456FA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D9A732" w14:textId="77777777" w:rsidR="00533CD2" w:rsidRDefault="00533CD2">
            <w:pPr>
              <w:ind w:left="57" w:right="57"/>
              <w:rPr>
                <w:rFonts w:ascii="Arial" w:eastAsia="Arial" w:hAnsi="Arial" w:cs="Arial"/>
                <w:color w:val="000000"/>
                <w:sz w:val="14"/>
              </w:rPr>
            </w:pPr>
          </w:p>
        </w:tc>
      </w:tr>
      <w:tr w:rsidR="00533CD2" w14:paraId="2CD60645"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147F00"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58F01B"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80103/</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FFEBC2"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vytvořených komunikačních nástrojů</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047B46"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Nástroje</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F9E167"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49165E"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EBE7F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8,000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2FDEE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881A6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6A391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1BEB8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26CC1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71785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8,000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22422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F990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AE350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3509B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C25F7D" w14:textId="77777777" w:rsidR="00533CD2" w:rsidRDefault="00533CD2">
            <w:pPr>
              <w:ind w:left="57" w:right="57"/>
              <w:rPr>
                <w:rFonts w:ascii="Arial" w:eastAsia="Arial" w:hAnsi="Arial" w:cs="Arial"/>
                <w:color w:val="000000"/>
                <w:sz w:val="14"/>
              </w:rPr>
            </w:pPr>
          </w:p>
        </w:tc>
      </w:tr>
      <w:tr w:rsidR="00533CD2" w14:paraId="5C3556CD"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BB3FF6"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91915E"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80200/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82842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vytvořených informačních materiálů</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15F263"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Unikátní materiály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00AEB5"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3B416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49CD3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45,000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51751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04E3B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A0DBD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71,000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1DAFF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212,000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F4D58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205,000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AF548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314,000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49E43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C57F9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BC29E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A16F2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31B68F" w14:textId="77777777" w:rsidR="00533CD2" w:rsidRDefault="00533CD2">
            <w:pPr>
              <w:ind w:left="57" w:right="57"/>
              <w:rPr>
                <w:rFonts w:ascii="Arial" w:eastAsia="Arial" w:hAnsi="Arial" w:cs="Arial"/>
                <w:color w:val="000000"/>
                <w:sz w:val="14"/>
              </w:rPr>
            </w:pPr>
          </w:p>
        </w:tc>
      </w:tr>
      <w:tr w:rsidR="00533CD2" w14:paraId="7FDABFCC"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4FE1EC"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9AE057"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80200/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9D5FF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vytvořených informačních materiálů</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786CD0"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Unikátní materiály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F343B9"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79FA15"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7BC45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45,000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28B0E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17394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FE1F5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04C9F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71,000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C594A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161,000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E5794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205,000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6B719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F26A6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9C21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C70AA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F06189" w14:textId="77777777" w:rsidR="00533CD2" w:rsidRDefault="00533CD2">
            <w:pPr>
              <w:ind w:left="57" w:right="57"/>
              <w:rPr>
                <w:rFonts w:ascii="Arial" w:eastAsia="Arial" w:hAnsi="Arial" w:cs="Arial"/>
                <w:color w:val="000000"/>
                <w:sz w:val="14"/>
              </w:rPr>
            </w:pPr>
          </w:p>
        </w:tc>
      </w:tr>
      <w:tr w:rsidR="00533CD2" w14:paraId="1CD9047D" w14:textId="77777777" w:rsidTr="00192346">
        <w:trPr>
          <w:trHeight w:val="1007"/>
        </w:trPr>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FCFF35"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D73EB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80500/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8EB220"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napsaných a zveřejněných analytických a strategických dokumentů (vč. evaluačních)</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544AD2"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Dokumenty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C721ED"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6D2717"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81545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8DE6F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E2B5F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6BF14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148A0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13,000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FF5EA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13,000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DFAE3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12,000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2A997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4E5A4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E911E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61B8A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F55C0B" w14:textId="77777777" w:rsidR="00533CD2" w:rsidRDefault="00533CD2">
            <w:pPr>
              <w:ind w:left="57" w:right="57"/>
              <w:rPr>
                <w:rFonts w:ascii="Arial" w:eastAsia="Arial" w:hAnsi="Arial" w:cs="Arial"/>
                <w:color w:val="000000"/>
                <w:sz w:val="14"/>
              </w:rPr>
            </w:pPr>
          </w:p>
        </w:tc>
      </w:tr>
      <w:tr w:rsidR="00533CD2" w14:paraId="19C12012"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8DF7DE"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6ACBEC"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80500/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1E197E"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napsaných a zveřejněných analytických a strategických dokumentů (vč. evaluačních)</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C4BAE1"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Dokumenty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424E37"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BF4CD9"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F41BD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DDD0D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A2977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9A4AC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33D99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2F1DF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9C873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FBE23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22D37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16600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6DEAE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2C8C74" w14:textId="77777777" w:rsidR="00A71C8F" w:rsidRPr="00955396" w:rsidRDefault="00A71C8F" w:rsidP="00A71C8F">
            <w:r w:rsidRPr="005B6BB8">
              <w:rPr>
                <w:rFonts w:ascii="Arial" w:eastAsia="Arial" w:hAnsi="Arial" w:cs="Arial"/>
                <w:color w:val="000000"/>
                <w:sz w:val="14"/>
                <w:lang w:val="cs-CZ"/>
              </w:rPr>
              <w:t>Hodnoty indikátorů jsou načítány z ukončených projektů – nicméně z důvodu úspory nákladů na administraci</w:t>
            </w:r>
            <w:r>
              <w:rPr>
                <w:rFonts w:ascii="Arial" w:eastAsia="Arial" w:hAnsi="Arial" w:cs="Arial"/>
                <w:color w:val="000000"/>
                <w:sz w:val="14"/>
                <w:lang w:val="cs-CZ"/>
              </w:rPr>
              <w:t xml:space="preserve"> je projekt na realizaci evaluačních aktivit naplánován na</w:t>
            </w:r>
            <w:r w:rsidRPr="005B6BB8">
              <w:rPr>
                <w:rFonts w:ascii="Arial" w:eastAsia="Arial" w:hAnsi="Arial" w:cs="Arial"/>
                <w:color w:val="000000"/>
                <w:sz w:val="14"/>
                <w:lang w:val="cs-CZ"/>
              </w:rPr>
              <w:t xml:space="preserve"> celé pro</w:t>
            </w:r>
            <w:r>
              <w:rPr>
                <w:rFonts w:ascii="Arial" w:eastAsia="Arial" w:hAnsi="Arial" w:cs="Arial"/>
                <w:color w:val="000000"/>
                <w:sz w:val="14"/>
                <w:lang w:val="cs-CZ"/>
              </w:rPr>
              <w:t>gramovací období a tudíž bude hodnota vykázána až v roce 2023. V současnosti je dosažené hodnota 3 dokumenty.</w:t>
            </w:r>
          </w:p>
          <w:p w14:paraId="7ADA0A11" w14:textId="13C77AB3" w:rsidR="00533CD2" w:rsidRPr="00192346" w:rsidRDefault="00533CD2" w:rsidP="00192346">
            <w:pPr>
              <w:ind w:right="57"/>
              <w:rPr>
                <w:rFonts w:ascii="Arial" w:eastAsia="Arial" w:hAnsi="Arial" w:cs="Arial"/>
                <w:color w:val="000000"/>
                <w:sz w:val="14"/>
                <w:lang w:val="cs-CZ"/>
              </w:rPr>
            </w:pPr>
          </w:p>
        </w:tc>
      </w:tr>
      <w:tr w:rsidR="00533CD2" w14:paraId="36F12922"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F8099D"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9592EA"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80600/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3214C5"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jednání orgánů, pracovních či poradních skupin</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53836A"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Jednání</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E535AD"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490238"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E6FD0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55,000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86CC5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59FFA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B229B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45,000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F6850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55,000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5B397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143,000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B73ED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145,000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F3F24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A1DAE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58366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2BB66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0174F8" w14:textId="77777777" w:rsidR="00533CD2" w:rsidRDefault="00533CD2">
            <w:pPr>
              <w:ind w:left="57" w:right="57"/>
              <w:rPr>
                <w:rFonts w:ascii="Arial" w:eastAsia="Arial" w:hAnsi="Arial" w:cs="Arial"/>
                <w:color w:val="000000"/>
                <w:sz w:val="14"/>
              </w:rPr>
            </w:pPr>
          </w:p>
        </w:tc>
      </w:tr>
      <w:tr w:rsidR="00533CD2" w14:paraId="25E51AC2"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C3CB6D"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5FF8C6"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80600/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D7BE84"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jednání orgánů, pracovních či poradních skupin</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B487B9"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Jednání</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C79FC5"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49210E"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8603C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55,000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4BE67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D683F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9218F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D47AF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55,000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E619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55,000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73EF5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55,000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B0FF7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4580E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6EDD6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2FCCA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CBB4D4" w14:textId="77777777" w:rsidR="00533CD2" w:rsidRDefault="00533CD2">
            <w:pPr>
              <w:ind w:left="57" w:right="57"/>
              <w:rPr>
                <w:rFonts w:ascii="Arial" w:eastAsia="Arial" w:hAnsi="Arial" w:cs="Arial"/>
                <w:color w:val="000000"/>
                <w:sz w:val="14"/>
              </w:rPr>
            </w:pPr>
          </w:p>
        </w:tc>
      </w:tr>
      <w:tr w:rsidR="00533CD2" w14:paraId="4160520C"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4053F9"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E26CF1"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82000/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7A5290"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uskutečněných školení, seminářů, workshopů a konferencí</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BE1F46"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Aktivity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C2ACC6"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6B1ACC"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EFC90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226,000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00890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95D02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6000C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219,000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0A8F2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379,000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21F81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355,000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36B9E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894,000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85E9C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66F0A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2B23B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04FBC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3C60F4" w14:textId="77777777" w:rsidR="00533CD2" w:rsidRDefault="00533CD2">
            <w:pPr>
              <w:ind w:left="57" w:right="57"/>
              <w:rPr>
                <w:rFonts w:ascii="Arial" w:eastAsia="Arial" w:hAnsi="Arial" w:cs="Arial"/>
                <w:color w:val="000000"/>
                <w:sz w:val="14"/>
              </w:rPr>
            </w:pPr>
          </w:p>
        </w:tc>
      </w:tr>
      <w:tr w:rsidR="00DC1EB9" w14:paraId="5DA8C85E"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38754C" w14:textId="77777777" w:rsidR="00DC1EB9" w:rsidRDefault="00DC1EB9" w:rsidP="00DC1EB9">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F89D68" w14:textId="77777777" w:rsidR="00DC1EB9" w:rsidRDefault="00DC1EB9" w:rsidP="00DC1EB9">
            <w:pPr>
              <w:tabs>
                <w:tab w:val="left" w:pos="828"/>
              </w:tabs>
              <w:ind w:left="57" w:right="57"/>
              <w:rPr>
                <w:rFonts w:ascii="Arial" w:eastAsia="Arial" w:hAnsi="Arial" w:cs="Arial"/>
                <w:color w:val="000000"/>
                <w:sz w:val="14"/>
              </w:rPr>
            </w:pPr>
            <w:r>
              <w:rPr>
                <w:rFonts w:ascii="Arial" w:eastAsia="Arial" w:hAnsi="Arial" w:cs="Arial"/>
                <w:color w:val="000000"/>
                <w:sz w:val="14"/>
              </w:rPr>
              <w:t>82000/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BB6C7B" w14:textId="77777777" w:rsidR="00DC1EB9" w:rsidRDefault="00DC1EB9" w:rsidP="00DC1EB9">
            <w:pPr>
              <w:tabs>
                <w:tab w:val="left" w:pos="828"/>
              </w:tabs>
              <w:ind w:left="57" w:right="57"/>
              <w:rPr>
                <w:rFonts w:ascii="Arial" w:eastAsia="Arial" w:hAnsi="Arial" w:cs="Arial"/>
                <w:color w:val="000000"/>
                <w:sz w:val="14"/>
              </w:rPr>
            </w:pPr>
            <w:r>
              <w:rPr>
                <w:rFonts w:ascii="Arial" w:eastAsia="Arial" w:hAnsi="Arial" w:cs="Arial"/>
                <w:color w:val="000000"/>
                <w:sz w:val="14"/>
              </w:rPr>
              <w:t>Počet uskutečněných školení, seminářů, workshopů a konferencí</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3D9262" w14:textId="77777777" w:rsidR="00DC1EB9" w:rsidRDefault="00DC1EB9" w:rsidP="00DC1EB9">
            <w:pPr>
              <w:ind w:left="57" w:right="57"/>
              <w:rPr>
                <w:rFonts w:ascii="Arial" w:eastAsia="Arial" w:hAnsi="Arial" w:cs="Arial"/>
                <w:color w:val="000000"/>
                <w:sz w:val="14"/>
              </w:rPr>
            </w:pPr>
            <w:r>
              <w:rPr>
                <w:rFonts w:ascii="Arial" w:eastAsia="Arial" w:hAnsi="Arial" w:cs="Arial"/>
                <w:color w:val="000000"/>
                <w:sz w:val="14"/>
              </w:rPr>
              <w:t>Aktivity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25A26E" w14:textId="77777777" w:rsidR="00DC1EB9" w:rsidRDefault="00DC1EB9" w:rsidP="00DC1EB9">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D50DF0" w14:textId="77777777" w:rsidR="00DC1EB9" w:rsidRDefault="00DC1EB9" w:rsidP="00DC1EB9">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845799"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226,000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217741"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E8B707"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C26D26"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E209F8"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63,000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A54DA7"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166,000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A0E25A"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181,000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1852A3"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271D0B"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920324"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8F553E"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C60B36" w14:textId="5F25AE31" w:rsidR="00DC1EB9" w:rsidRDefault="00DC1EB9" w:rsidP="00DC1EB9">
            <w:pPr>
              <w:ind w:left="57" w:right="57"/>
              <w:rPr>
                <w:rFonts w:ascii="Arial" w:eastAsia="Arial" w:hAnsi="Arial" w:cs="Arial"/>
                <w:color w:val="000000"/>
                <w:sz w:val="14"/>
              </w:rPr>
            </w:pPr>
            <w:r>
              <w:rPr>
                <w:rFonts w:ascii="Arial" w:eastAsia="Arial" w:hAnsi="Arial" w:cs="Arial"/>
                <w:color w:val="000000"/>
                <w:sz w:val="14"/>
              </w:rPr>
              <w:t xml:space="preserve">Do indikátorů se započítává počet unikátních materiálů, např. </w:t>
            </w:r>
            <w:proofErr w:type="gramStart"/>
            <w:r>
              <w:rPr>
                <w:rFonts w:ascii="Arial" w:eastAsia="Arial" w:hAnsi="Arial" w:cs="Arial"/>
                <w:color w:val="000000"/>
                <w:sz w:val="14"/>
              </w:rPr>
              <w:t>jen</w:t>
            </w:r>
            <w:proofErr w:type="gramEnd"/>
            <w:r>
              <w:rPr>
                <w:rFonts w:ascii="Arial" w:eastAsia="Arial" w:hAnsi="Arial" w:cs="Arial"/>
                <w:color w:val="000000"/>
                <w:sz w:val="14"/>
              </w:rPr>
              <w:t xml:space="preserve"> za rok 2018 bylo vytvořeno celkem 74 druhů propagačních předmětů. Cílová hodnota byla nastavena nízko. Publicita je mj. </w:t>
            </w:r>
            <w:proofErr w:type="gramStart"/>
            <w:r>
              <w:rPr>
                <w:rFonts w:ascii="Arial" w:eastAsia="Arial" w:hAnsi="Arial" w:cs="Arial"/>
                <w:color w:val="000000"/>
                <w:sz w:val="14"/>
              </w:rPr>
              <w:t>pro</w:t>
            </w:r>
            <w:proofErr w:type="gramEnd"/>
            <w:r>
              <w:rPr>
                <w:rFonts w:ascii="Arial" w:eastAsia="Arial" w:hAnsi="Arial" w:cs="Arial"/>
                <w:color w:val="000000"/>
                <w:sz w:val="14"/>
              </w:rPr>
              <w:t xml:space="preserve"> současné období jednou z priorit, proto je i vice vytvořených materiálů. ŘO IROP hodnotu upraví v následujcí revizi PD IROP</w:t>
            </w:r>
          </w:p>
        </w:tc>
      </w:tr>
      <w:tr w:rsidR="00DC1EB9" w14:paraId="77E4281C"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1BAF5E" w14:textId="77777777" w:rsidR="00DC1EB9" w:rsidRDefault="00DC1EB9" w:rsidP="00DC1EB9"/>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236E3B" w14:textId="77777777" w:rsidR="00DC1EB9" w:rsidRDefault="00DC1EB9" w:rsidP="00DC1EB9">
            <w:pPr>
              <w:tabs>
                <w:tab w:val="left" w:pos="828"/>
              </w:tabs>
              <w:ind w:left="57" w:right="57"/>
              <w:rPr>
                <w:rFonts w:ascii="Arial" w:eastAsia="Arial" w:hAnsi="Arial" w:cs="Arial"/>
                <w:color w:val="000000"/>
                <w:sz w:val="14"/>
              </w:rPr>
            </w:pPr>
            <w:r>
              <w:rPr>
                <w:rFonts w:ascii="Arial" w:eastAsia="Arial" w:hAnsi="Arial" w:cs="Arial"/>
                <w:color w:val="000000"/>
                <w:sz w:val="14"/>
              </w:rPr>
              <w:t>82200/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48B967" w14:textId="77777777" w:rsidR="00DC1EB9" w:rsidRDefault="00DC1EB9" w:rsidP="00DC1EB9">
            <w:pPr>
              <w:tabs>
                <w:tab w:val="left" w:pos="828"/>
              </w:tabs>
              <w:ind w:left="57" w:right="57"/>
              <w:rPr>
                <w:rFonts w:ascii="Arial" w:eastAsia="Arial" w:hAnsi="Arial" w:cs="Arial"/>
                <w:color w:val="000000"/>
                <w:sz w:val="14"/>
              </w:rPr>
            </w:pPr>
            <w:r>
              <w:rPr>
                <w:rFonts w:ascii="Arial" w:eastAsia="Arial" w:hAnsi="Arial" w:cs="Arial"/>
                <w:color w:val="000000"/>
                <w:sz w:val="14"/>
              </w:rPr>
              <w:t>Nákup materiálu, zboží a služeb potřebných k zajištění implementace programu</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FD9ACD" w14:textId="77777777" w:rsidR="00DC1EB9" w:rsidRDefault="00DC1EB9" w:rsidP="00DC1EB9">
            <w:pPr>
              <w:ind w:left="57" w:right="57"/>
              <w:rPr>
                <w:rFonts w:ascii="Arial" w:eastAsia="Arial" w:hAnsi="Arial" w:cs="Arial"/>
                <w:color w:val="000000"/>
                <w:sz w:val="14"/>
              </w:rPr>
            </w:pPr>
            <w:r>
              <w:rPr>
                <w:rFonts w:ascii="Arial" w:eastAsia="Arial" w:hAnsi="Arial" w:cs="Arial"/>
                <w:color w:val="000000"/>
                <w:sz w:val="14"/>
              </w:rPr>
              <w:t>Kč</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28AA5F" w14:textId="77777777" w:rsidR="00DC1EB9" w:rsidRDefault="00DC1EB9" w:rsidP="00DC1EB9">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1D011E" w14:textId="77777777" w:rsidR="00DC1EB9" w:rsidRDefault="00DC1EB9" w:rsidP="00DC1EB9">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C08017"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400 000,000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FEC1EE"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629D8D"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431F1D"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6 826 792,000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0D5CCD"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72 229 815,920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ADDFF8"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163 316 714,520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5E91D"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180 111 005,050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7CC3F8"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76D10B"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3E6592"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CB4BF5"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2DDF81" w14:textId="77777777" w:rsidR="00DC1EB9" w:rsidRDefault="00DC1EB9" w:rsidP="00DC1EB9">
            <w:pPr>
              <w:ind w:left="57" w:right="57"/>
              <w:rPr>
                <w:rFonts w:ascii="Arial" w:eastAsia="Arial" w:hAnsi="Arial" w:cs="Arial"/>
                <w:color w:val="000000"/>
                <w:sz w:val="14"/>
              </w:rPr>
            </w:pPr>
          </w:p>
        </w:tc>
      </w:tr>
      <w:tr w:rsidR="00DC1EB9" w14:paraId="6BFC05E4"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E3A89F" w14:textId="77777777" w:rsidR="00DC1EB9" w:rsidRDefault="00DC1EB9" w:rsidP="00DC1EB9">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C88558" w14:textId="77777777" w:rsidR="00DC1EB9" w:rsidRDefault="00DC1EB9" w:rsidP="00DC1EB9">
            <w:pPr>
              <w:tabs>
                <w:tab w:val="left" w:pos="828"/>
              </w:tabs>
              <w:ind w:left="57" w:right="57"/>
              <w:rPr>
                <w:rFonts w:ascii="Arial" w:eastAsia="Arial" w:hAnsi="Arial" w:cs="Arial"/>
                <w:color w:val="000000"/>
                <w:sz w:val="14"/>
              </w:rPr>
            </w:pPr>
            <w:r>
              <w:rPr>
                <w:rFonts w:ascii="Arial" w:eastAsia="Arial" w:hAnsi="Arial" w:cs="Arial"/>
                <w:color w:val="000000"/>
                <w:sz w:val="14"/>
              </w:rPr>
              <w:t>82200/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B079E7" w14:textId="77777777" w:rsidR="00DC1EB9" w:rsidRDefault="00DC1EB9" w:rsidP="00DC1EB9">
            <w:pPr>
              <w:tabs>
                <w:tab w:val="left" w:pos="828"/>
              </w:tabs>
              <w:ind w:left="57" w:right="57"/>
              <w:rPr>
                <w:rFonts w:ascii="Arial" w:eastAsia="Arial" w:hAnsi="Arial" w:cs="Arial"/>
                <w:color w:val="000000"/>
                <w:sz w:val="14"/>
              </w:rPr>
            </w:pPr>
            <w:r>
              <w:rPr>
                <w:rFonts w:ascii="Arial" w:eastAsia="Arial" w:hAnsi="Arial" w:cs="Arial"/>
                <w:color w:val="000000"/>
                <w:sz w:val="14"/>
              </w:rPr>
              <w:t>Nákup materiálu, zboží a služeb potřebných k zajištění implementace programu</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417333" w14:textId="77777777" w:rsidR="00DC1EB9" w:rsidRDefault="00DC1EB9" w:rsidP="00DC1EB9">
            <w:pPr>
              <w:ind w:left="57" w:right="57"/>
              <w:rPr>
                <w:rFonts w:ascii="Arial" w:eastAsia="Arial" w:hAnsi="Arial" w:cs="Arial"/>
                <w:color w:val="000000"/>
                <w:sz w:val="14"/>
              </w:rPr>
            </w:pPr>
            <w:r>
              <w:rPr>
                <w:rFonts w:ascii="Arial" w:eastAsia="Arial" w:hAnsi="Arial" w:cs="Arial"/>
                <w:color w:val="000000"/>
                <w:sz w:val="14"/>
              </w:rPr>
              <w:t>Kč</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ED5507" w14:textId="77777777" w:rsidR="00DC1EB9" w:rsidRDefault="00DC1EB9" w:rsidP="00DC1EB9">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E3BDCB" w14:textId="77777777" w:rsidR="00DC1EB9" w:rsidRDefault="00DC1EB9" w:rsidP="00DC1EB9">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F4DCD4"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400 000,000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C880D1"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02968F"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56D479"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220EB6"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1 799 148,760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9B0D0B"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10 928 989,760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50504A"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37 756 278,730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24F2EF"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88A2AD"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D59766"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1DE1A6"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665C9F" w14:textId="441AAB1D" w:rsidR="00DC1EB9" w:rsidRDefault="00DC1EB9" w:rsidP="00DC1EB9">
            <w:pPr>
              <w:ind w:left="57" w:right="57"/>
              <w:rPr>
                <w:rFonts w:ascii="Arial" w:eastAsia="Arial" w:hAnsi="Arial" w:cs="Arial"/>
                <w:color w:val="000000"/>
                <w:sz w:val="14"/>
              </w:rPr>
            </w:pPr>
            <w:r>
              <w:rPr>
                <w:rFonts w:ascii="Arial" w:eastAsia="Arial" w:hAnsi="Arial" w:cs="Arial"/>
                <w:color w:val="000000"/>
                <w:sz w:val="14"/>
              </w:rPr>
              <w:t xml:space="preserve">Jedná se zejména o služby, které nespadají pod žádný jiný indikátor, např. </w:t>
            </w:r>
            <w:proofErr w:type="gramStart"/>
            <w:r>
              <w:rPr>
                <w:rFonts w:ascii="Arial" w:eastAsia="Arial" w:hAnsi="Arial" w:cs="Arial"/>
                <w:color w:val="000000"/>
                <w:sz w:val="14"/>
              </w:rPr>
              <w:t>režijní</w:t>
            </w:r>
            <w:proofErr w:type="gramEnd"/>
            <w:r>
              <w:rPr>
                <w:rFonts w:ascii="Arial" w:eastAsia="Arial" w:hAnsi="Arial" w:cs="Arial"/>
                <w:color w:val="000000"/>
                <w:sz w:val="14"/>
              </w:rPr>
              <w:t xml:space="preserve"> náklady v projektech Centra. Cílová hodnota indikátoru nebyla nastavena s ohledem na tuto skutečnost. ŘO IROP hodnotu upraví v následujcí revizi PD IROP.</w:t>
            </w:r>
          </w:p>
        </w:tc>
      </w:tr>
      <w:tr w:rsidR="00DC1EB9" w14:paraId="47B5BA3F"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7AFCA1" w14:textId="77777777" w:rsidR="00DC1EB9" w:rsidRDefault="00DC1EB9" w:rsidP="00DC1EB9"/>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3A8F9F" w14:textId="77777777" w:rsidR="00DC1EB9" w:rsidRDefault="00DC1EB9" w:rsidP="00DC1EB9">
            <w:pPr>
              <w:tabs>
                <w:tab w:val="left" w:pos="828"/>
              </w:tabs>
              <w:ind w:left="57" w:right="57"/>
              <w:rPr>
                <w:rFonts w:ascii="Arial" w:eastAsia="Arial" w:hAnsi="Arial" w:cs="Arial"/>
                <w:color w:val="000000"/>
                <w:sz w:val="14"/>
              </w:rPr>
            </w:pPr>
            <w:r>
              <w:rPr>
                <w:rFonts w:ascii="Arial" w:eastAsia="Arial" w:hAnsi="Arial" w:cs="Arial"/>
                <w:color w:val="000000"/>
                <w:sz w:val="14"/>
              </w:rPr>
              <w:t>82300/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A48626" w14:textId="77777777" w:rsidR="00DC1EB9" w:rsidRDefault="00DC1EB9" w:rsidP="00DC1EB9">
            <w:pPr>
              <w:tabs>
                <w:tab w:val="left" w:pos="828"/>
              </w:tabs>
              <w:ind w:left="57" w:right="57"/>
              <w:rPr>
                <w:rFonts w:ascii="Arial" w:eastAsia="Arial" w:hAnsi="Arial" w:cs="Arial"/>
                <w:color w:val="000000"/>
                <w:sz w:val="14"/>
              </w:rPr>
            </w:pPr>
            <w:r>
              <w:rPr>
                <w:rFonts w:ascii="Arial" w:eastAsia="Arial" w:hAnsi="Arial" w:cs="Arial"/>
                <w:color w:val="000000"/>
                <w:sz w:val="14"/>
              </w:rPr>
              <w:t>Počet nově pořízeného vybavení</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BB5345" w14:textId="77777777" w:rsidR="00DC1EB9" w:rsidRDefault="00DC1EB9" w:rsidP="00DC1EB9">
            <w:pPr>
              <w:ind w:left="57" w:right="57"/>
              <w:rPr>
                <w:rFonts w:ascii="Arial" w:eastAsia="Arial" w:hAnsi="Arial" w:cs="Arial"/>
                <w:color w:val="000000"/>
                <w:sz w:val="14"/>
              </w:rPr>
            </w:pPr>
            <w:r>
              <w:rPr>
                <w:rFonts w:ascii="Arial" w:eastAsia="Arial" w:hAnsi="Arial" w:cs="Arial"/>
                <w:color w:val="000000"/>
                <w:sz w:val="14"/>
              </w:rPr>
              <w:t>Inventární čísla</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765463" w14:textId="77777777" w:rsidR="00DC1EB9" w:rsidRDefault="00DC1EB9" w:rsidP="00DC1EB9">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901709" w14:textId="77777777" w:rsidR="00DC1EB9" w:rsidRDefault="00DC1EB9" w:rsidP="00DC1EB9">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D0692C"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500,000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5F799B"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C8E0C3"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636E30"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280,000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86D6A4"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7 271,000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E53C0C"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13 864,000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3D9CE8"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6 184,000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B9568F"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3A8377"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D24C10"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CE7DD"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17F243" w14:textId="77777777" w:rsidR="00DC1EB9" w:rsidRDefault="00DC1EB9" w:rsidP="00DC1EB9">
            <w:pPr>
              <w:ind w:left="57" w:right="57"/>
              <w:rPr>
                <w:rFonts w:ascii="Arial" w:eastAsia="Arial" w:hAnsi="Arial" w:cs="Arial"/>
                <w:color w:val="000000"/>
                <w:sz w:val="14"/>
              </w:rPr>
            </w:pPr>
          </w:p>
        </w:tc>
      </w:tr>
      <w:tr w:rsidR="00DC1EB9" w14:paraId="0DAEFACB"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B6EEC9" w14:textId="77777777" w:rsidR="00DC1EB9" w:rsidRDefault="00DC1EB9" w:rsidP="00DC1EB9">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F35E14" w14:textId="77777777" w:rsidR="00DC1EB9" w:rsidRDefault="00DC1EB9" w:rsidP="00DC1EB9">
            <w:pPr>
              <w:tabs>
                <w:tab w:val="left" w:pos="828"/>
              </w:tabs>
              <w:ind w:left="57" w:right="57"/>
              <w:rPr>
                <w:rFonts w:ascii="Arial" w:eastAsia="Arial" w:hAnsi="Arial" w:cs="Arial"/>
                <w:color w:val="000000"/>
                <w:sz w:val="14"/>
              </w:rPr>
            </w:pPr>
            <w:r>
              <w:rPr>
                <w:rFonts w:ascii="Arial" w:eastAsia="Arial" w:hAnsi="Arial" w:cs="Arial"/>
                <w:color w:val="000000"/>
                <w:sz w:val="14"/>
              </w:rPr>
              <w:t>82300/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6CDC8F" w14:textId="77777777" w:rsidR="00DC1EB9" w:rsidRDefault="00DC1EB9" w:rsidP="00DC1EB9">
            <w:pPr>
              <w:tabs>
                <w:tab w:val="left" w:pos="828"/>
              </w:tabs>
              <w:ind w:left="57" w:right="57"/>
              <w:rPr>
                <w:rFonts w:ascii="Arial" w:eastAsia="Arial" w:hAnsi="Arial" w:cs="Arial"/>
                <w:color w:val="000000"/>
                <w:sz w:val="14"/>
              </w:rPr>
            </w:pPr>
            <w:r>
              <w:rPr>
                <w:rFonts w:ascii="Arial" w:eastAsia="Arial" w:hAnsi="Arial" w:cs="Arial"/>
                <w:color w:val="000000"/>
                <w:sz w:val="14"/>
              </w:rPr>
              <w:t>Počet nově pořízeného vybavení</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565C1B" w14:textId="77777777" w:rsidR="00DC1EB9" w:rsidRDefault="00DC1EB9" w:rsidP="00DC1EB9">
            <w:pPr>
              <w:ind w:left="57" w:right="57"/>
              <w:rPr>
                <w:rFonts w:ascii="Arial" w:eastAsia="Arial" w:hAnsi="Arial" w:cs="Arial"/>
                <w:color w:val="000000"/>
                <w:sz w:val="14"/>
              </w:rPr>
            </w:pPr>
            <w:r>
              <w:rPr>
                <w:rFonts w:ascii="Arial" w:eastAsia="Arial" w:hAnsi="Arial" w:cs="Arial"/>
                <w:color w:val="000000"/>
                <w:sz w:val="14"/>
              </w:rPr>
              <w:t>Inventární čísla</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182F7B" w14:textId="77777777" w:rsidR="00DC1EB9" w:rsidRDefault="00DC1EB9" w:rsidP="00DC1EB9">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E259F3" w14:textId="77777777" w:rsidR="00DC1EB9" w:rsidRDefault="00DC1EB9" w:rsidP="00DC1EB9">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A19812"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500,000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53A761"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4920F6"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824659"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D19B06"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299,000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351517"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1 191,000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76DA03"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6 561,000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9689F1"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36CF20"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B4B9BE"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4693ED"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A5C622" w14:textId="17982D9D" w:rsidR="00DC1EB9" w:rsidRDefault="00DC1EB9" w:rsidP="00DC1EB9">
            <w:pPr>
              <w:ind w:left="57" w:right="57"/>
              <w:rPr>
                <w:rFonts w:ascii="Arial" w:eastAsia="Arial" w:hAnsi="Arial" w:cs="Arial"/>
                <w:color w:val="000000"/>
                <w:sz w:val="14"/>
              </w:rPr>
            </w:pPr>
            <w:r>
              <w:rPr>
                <w:rFonts w:ascii="Arial" w:eastAsia="Arial" w:hAnsi="Arial" w:cs="Arial"/>
                <w:color w:val="000000"/>
                <w:sz w:val="14"/>
              </w:rPr>
              <w:t>Došlo k nákupu hardwarového vybavení a pořízení nábytku do všech poboček Centra, každý kus s inventárním číslem se počítá zvlášť, proto bylo dosaženo vysoké hodnoty. ŘO IROP hodnotu upraví v následujcí revizi PD IROP.</w:t>
            </w:r>
          </w:p>
        </w:tc>
      </w:tr>
      <w:tr w:rsidR="00DC1EB9" w14:paraId="0606A492"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D7FB91" w14:textId="77777777" w:rsidR="00DC1EB9" w:rsidRDefault="00DC1EB9" w:rsidP="00DC1EB9"/>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DA9788" w14:textId="77777777" w:rsidR="00DC1EB9" w:rsidRDefault="00DC1EB9" w:rsidP="00DC1EB9">
            <w:pPr>
              <w:tabs>
                <w:tab w:val="left" w:pos="828"/>
              </w:tabs>
              <w:ind w:left="57" w:right="57"/>
              <w:rPr>
                <w:rFonts w:ascii="Arial" w:eastAsia="Arial" w:hAnsi="Arial" w:cs="Arial"/>
                <w:color w:val="000000"/>
                <w:sz w:val="14"/>
              </w:rPr>
            </w:pPr>
            <w:r>
              <w:rPr>
                <w:rFonts w:ascii="Arial" w:eastAsia="Arial" w:hAnsi="Arial" w:cs="Arial"/>
                <w:color w:val="000000"/>
                <w:sz w:val="14"/>
              </w:rPr>
              <w:t>82500/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F41C8A" w14:textId="77777777" w:rsidR="00DC1EB9" w:rsidRDefault="00DC1EB9" w:rsidP="00DC1EB9">
            <w:pPr>
              <w:tabs>
                <w:tab w:val="left" w:pos="828"/>
              </w:tabs>
              <w:ind w:left="57" w:right="57"/>
              <w:rPr>
                <w:rFonts w:ascii="Arial" w:eastAsia="Arial" w:hAnsi="Arial" w:cs="Arial"/>
                <w:color w:val="000000"/>
                <w:sz w:val="14"/>
              </w:rPr>
            </w:pPr>
            <w:r>
              <w:rPr>
                <w:rFonts w:ascii="Arial" w:eastAsia="Arial" w:hAnsi="Arial" w:cs="Arial"/>
                <w:color w:val="000000"/>
                <w:sz w:val="14"/>
              </w:rPr>
              <w:t>Počet pracovních míst financovaných z programu</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F7B5B3" w14:textId="77777777" w:rsidR="00DC1EB9" w:rsidRDefault="00DC1EB9" w:rsidP="00DC1EB9">
            <w:pPr>
              <w:ind w:left="57" w:right="57"/>
              <w:rPr>
                <w:rFonts w:ascii="Arial" w:eastAsia="Arial" w:hAnsi="Arial" w:cs="Arial"/>
                <w:color w:val="000000"/>
                <w:sz w:val="14"/>
              </w:rPr>
            </w:pPr>
            <w:r>
              <w:rPr>
                <w:rFonts w:ascii="Arial" w:eastAsia="Arial" w:hAnsi="Arial" w:cs="Arial"/>
                <w:color w:val="000000"/>
                <w:sz w:val="14"/>
              </w:rPr>
              <w:t>FTE</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024628" w14:textId="77777777" w:rsidR="00DC1EB9" w:rsidRDefault="00DC1EB9" w:rsidP="00DC1EB9">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4A33DD" w14:textId="77777777" w:rsidR="00DC1EB9" w:rsidRDefault="00DC1EB9" w:rsidP="00DC1EB9">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B47C20"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407,400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0AC578"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467186"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7DEEDA"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292,630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4124D9"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583,000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2F51DA"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982,130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63FACC"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1 038,630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9965CF"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E3A039"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86855F"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B75F1C"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C88797" w14:textId="77777777" w:rsidR="00DC1EB9" w:rsidRDefault="00DC1EB9" w:rsidP="00DC1EB9">
            <w:pPr>
              <w:ind w:left="57" w:right="57"/>
              <w:rPr>
                <w:rFonts w:ascii="Arial" w:eastAsia="Arial" w:hAnsi="Arial" w:cs="Arial"/>
                <w:color w:val="000000"/>
                <w:sz w:val="14"/>
              </w:rPr>
            </w:pPr>
          </w:p>
        </w:tc>
      </w:tr>
      <w:tr w:rsidR="00DC1EB9" w14:paraId="4FEFE28D"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E41A21" w14:textId="77777777" w:rsidR="00DC1EB9" w:rsidRDefault="00DC1EB9" w:rsidP="00DC1EB9">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CB3A75" w14:textId="77777777" w:rsidR="00DC1EB9" w:rsidRDefault="00DC1EB9" w:rsidP="00DC1EB9">
            <w:pPr>
              <w:tabs>
                <w:tab w:val="left" w:pos="828"/>
              </w:tabs>
              <w:ind w:left="57" w:right="57"/>
              <w:rPr>
                <w:rFonts w:ascii="Arial" w:eastAsia="Arial" w:hAnsi="Arial" w:cs="Arial"/>
                <w:color w:val="000000"/>
                <w:sz w:val="14"/>
              </w:rPr>
            </w:pPr>
            <w:r>
              <w:rPr>
                <w:rFonts w:ascii="Arial" w:eastAsia="Arial" w:hAnsi="Arial" w:cs="Arial"/>
                <w:color w:val="000000"/>
                <w:sz w:val="14"/>
              </w:rPr>
              <w:t>82500/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8E6582" w14:textId="77777777" w:rsidR="00DC1EB9" w:rsidRDefault="00DC1EB9" w:rsidP="00DC1EB9">
            <w:pPr>
              <w:tabs>
                <w:tab w:val="left" w:pos="828"/>
              </w:tabs>
              <w:ind w:left="57" w:right="57"/>
              <w:rPr>
                <w:rFonts w:ascii="Arial" w:eastAsia="Arial" w:hAnsi="Arial" w:cs="Arial"/>
                <w:color w:val="000000"/>
                <w:sz w:val="14"/>
              </w:rPr>
            </w:pPr>
            <w:r>
              <w:rPr>
                <w:rFonts w:ascii="Arial" w:eastAsia="Arial" w:hAnsi="Arial" w:cs="Arial"/>
                <w:color w:val="000000"/>
                <w:sz w:val="14"/>
              </w:rPr>
              <w:t>Počet pracovních míst financovaných z programu</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D8FF40" w14:textId="77777777" w:rsidR="00DC1EB9" w:rsidRDefault="00DC1EB9" w:rsidP="00DC1EB9">
            <w:pPr>
              <w:ind w:left="57" w:right="57"/>
              <w:rPr>
                <w:rFonts w:ascii="Arial" w:eastAsia="Arial" w:hAnsi="Arial" w:cs="Arial"/>
                <w:color w:val="000000"/>
                <w:sz w:val="14"/>
              </w:rPr>
            </w:pPr>
            <w:r>
              <w:rPr>
                <w:rFonts w:ascii="Arial" w:eastAsia="Arial" w:hAnsi="Arial" w:cs="Arial"/>
                <w:color w:val="000000"/>
                <w:sz w:val="14"/>
              </w:rPr>
              <w:t>FTE</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C4F79D" w14:textId="77777777" w:rsidR="00DC1EB9" w:rsidRDefault="00DC1EB9" w:rsidP="00DC1EB9">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5C392C" w14:textId="77777777" w:rsidR="00DC1EB9" w:rsidRDefault="00DC1EB9" w:rsidP="00DC1EB9">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0A1F7A"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407,400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668B00"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EF4641"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6721D9"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8A73F2"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370,990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8EFD42"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452,700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9687A5" w14:textId="49DC7EBA" w:rsidR="00DC1EB9" w:rsidRDefault="008D4CF2"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506,01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DEA765"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C8C176"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B27154"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B29CD2"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37276A" w14:textId="77777777" w:rsidR="00DC1EB9" w:rsidRDefault="00DC1EB9" w:rsidP="00DC1EB9">
            <w:pPr>
              <w:ind w:left="57" w:right="57"/>
              <w:rPr>
                <w:rFonts w:ascii="Arial" w:eastAsia="Arial" w:hAnsi="Arial" w:cs="Arial"/>
                <w:color w:val="000000"/>
                <w:sz w:val="14"/>
              </w:rPr>
            </w:pPr>
          </w:p>
        </w:tc>
      </w:tr>
    </w:tbl>
    <w:p w14:paraId="40D31B48" w14:textId="77777777" w:rsidR="00533CD2" w:rsidRDefault="00533CD2">
      <w:pPr>
        <w:keepNext/>
        <w:tabs>
          <w:tab w:val="left" w:pos="1675"/>
        </w:tabs>
        <w:ind w:left="115" w:right="106"/>
        <w:rPr>
          <w:rFonts w:ascii="Times New Roman" w:hAnsi="Times New Roman" w:cs="Times New Roman"/>
          <w:color w:val="000000"/>
          <w:sz w:val="16"/>
        </w:rPr>
      </w:pPr>
    </w:p>
    <w:p w14:paraId="7DCA6DBF" w14:textId="77777777" w:rsidR="00533CD2" w:rsidRDefault="00533CD2">
      <w:pPr>
        <w:spacing w:line="312" w:lineRule="auto"/>
        <w:ind w:left="115" w:right="670"/>
        <w:rPr>
          <w:rFonts w:ascii="Arial" w:eastAsia="Arial" w:hAnsi="Arial" w:cs="Arial"/>
          <w:color w:val="000000"/>
          <w:sz w:val="10"/>
        </w:rPr>
      </w:pPr>
    </w:p>
    <w:p w14:paraId="59E13B5C" w14:textId="77777777" w:rsidR="00533CD2" w:rsidRDefault="0046046C">
      <w:r>
        <w:br w:type="page"/>
      </w:r>
    </w:p>
    <w:p w14:paraId="30AF25BE" w14:textId="77777777" w:rsidR="00533CD2" w:rsidRDefault="00533CD2">
      <w:pPr>
        <w:spacing w:line="312" w:lineRule="auto"/>
        <w:ind w:left="115" w:right="670"/>
      </w:pPr>
    </w:p>
    <w:p w14:paraId="4A47C463" w14:textId="77777777" w:rsidR="00533CD2" w:rsidRDefault="0046046C">
      <w:pPr>
        <w:spacing w:line="312" w:lineRule="auto"/>
        <w:ind w:left="115" w:right="670"/>
        <w:rPr>
          <w:rFonts w:ascii="Arial" w:eastAsia="Arial" w:hAnsi="Arial" w:cs="Arial"/>
          <w:b/>
          <w:bCs/>
          <w:i/>
          <w:iCs/>
          <w:color w:val="000000"/>
          <w:sz w:val="20"/>
        </w:rPr>
      </w:pPr>
      <w:r>
        <w:rPr>
          <w:rFonts w:ascii="Arial" w:eastAsia="Arial" w:hAnsi="Arial" w:cs="Arial"/>
          <w:b/>
          <w:bCs/>
          <w:i/>
          <w:iCs/>
          <w:color w:val="000000"/>
          <w:sz w:val="20"/>
        </w:rPr>
        <w:t>Tabulka 3B: Pro určité společné indikátory výstupů pro podporu z EFRR v rámci cíle Investice pro růst a zaměstnanost v souvislosti s produktivními investicemi – počet podniků podpořených operačním programem po odečtení vícenásobné podpory pro stejné podniky</w:t>
      </w:r>
    </w:p>
    <w:tbl>
      <w:tblPr>
        <w:tblW w:w="0" w:type="auto"/>
        <w:tblInd w:w="7" w:type="dxa"/>
        <w:tblLayout w:type="fixed"/>
        <w:tblCellMar>
          <w:left w:w="0" w:type="dxa"/>
          <w:right w:w="0" w:type="dxa"/>
        </w:tblCellMar>
        <w:tblLook w:val="04A0" w:firstRow="1" w:lastRow="0" w:firstColumn="1" w:lastColumn="0" w:noHBand="0" w:noVBand="1"/>
      </w:tblPr>
      <w:tblGrid>
        <w:gridCol w:w="10145"/>
        <w:gridCol w:w="4418"/>
      </w:tblGrid>
      <w:tr w:rsidR="00533CD2" w14:paraId="3CD5E856" w14:textId="77777777">
        <w:trPr>
          <w:cantSplit/>
          <w:tblHeader/>
        </w:trPr>
        <w:tc>
          <w:tcPr>
            <w:tcW w:w="101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45E60D" w14:textId="77777777" w:rsidR="00533CD2" w:rsidRDefault="0046046C">
            <w:pPr>
              <w:keepLines/>
              <w:tabs>
                <w:tab w:val="left" w:pos="828"/>
              </w:tabs>
              <w:ind w:left="108" w:right="108"/>
              <w:jc w:val="center"/>
              <w:rPr>
                <w:rFonts w:ascii="Arial" w:eastAsia="Arial" w:hAnsi="Arial" w:cs="Arial"/>
                <w:b/>
                <w:bCs/>
                <w:color w:val="000000"/>
                <w:sz w:val="14"/>
              </w:rPr>
            </w:pPr>
            <w:r>
              <w:rPr>
                <w:rFonts w:ascii="Arial" w:eastAsia="Arial" w:hAnsi="Arial" w:cs="Arial"/>
                <w:b/>
                <w:bCs/>
                <w:color w:val="000000"/>
                <w:sz w:val="14"/>
              </w:rPr>
              <w:t>Název indikátoru</w:t>
            </w:r>
          </w:p>
        </w:tc>
        <w:tc>
          <w:tcPr>
            <w:tcW w:w="4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9763A1" w14:textId="77777777" w:rsidR="00533CD2" w:rsidRDefault="0046046C">
            <w:pPr>
              <w:keepLines/>
              <w:tabs>
                <w:tab w:val="left" w:pos="828"/>
              </w:tabs>
              <w:ind w:left="108" w:right="108"/>
              <w:jc w:val="center"/>
              <w:rPr>
                <w:rFonts w:ascii="Arial" w:eastAsia="Arial" w:hAnsi="Arial" w:cs="Arial"/>
                <w:b/>
                <w:bCs/>
                <w:color w:val="000000"/>
                <w:sz w:val="14"/>
              </w:rPr>
            </w:pPr>
            <w:r>
              <w:rPr>
                <w:rFonts w:ascii="Arial" w:eastAsia="Arial" w:hAnsi="Arial" w:cs="Arial"/>
                <w:b/>
                <w:bCs/>
                <w:color w:val="000000"/>
                <w:sz w:val="14"/>
              </w:rPr>
              <w:t>Počet podniků podpořených OP po odečtení vícenásobné podpory</w:t>
            </w:r>
          </w:p>
        </w:tc>
      </w:tr>
      <w:tr w:rsidR="00533CD2" w14:paraId="775AF9FB" w14:textId="77777777">
        <w:trPr>
          <w:cantSplit/>
          <w:tblHeader/>
        </w:trPr>
        <w:tc>
          <w:tcPr>
            <w:tcW w:w="101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3F04B4" w14:textId="77777777" w:rsidR="00533CD2" w:rsidRDefault="0046046C">
            <w:pPr>
              <w:keepLines/>
              <w:tabs>
                <w:tab w:val="left" w:pos="828"/>
              </w:tabs>
              <w:ind w:left="108" w:right="108"/>
              <w:rPr>
                <w:rFonts w:ascii="Arial" w:eastAsia="Arial" w:hAnsi="Arial" w:cs="Arial"/>
                <w:color w:val="000000"/>
                <w:sz w:val="14"/>
              </w:rPr>
            </w:pPr>
            <w:r>
              <w:rPr>
                <w:rFonts w:ascii="Arial" w:eastAsia="Arial" w:hAnsi="Arial" w:cs="Arial"/>
                <w:color w:val="000000"/>
                <w:sz w:val="14"/>
              </w:rPr>
              <w:t>10000/CO01 Počet podniků pobírajících podporu</w:t>
            </w:r>
          </w:p>
        </w:tc>
        <w:tc>
          <w:tcPr>
            <w:tcW w:w="4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A468F3" w14:textId="77777777" w:rsidR="00533CD2" w:rsidRDefault="0046046C">
            <w:pPr>
              <w:keepLines/>
              <w:tabs>
                <w:tab w:val="left" w:pos="828"/>
              </w:tabs>
              <w:ind w:left="108" w:right="108"/>
              <w:jc w:val="right"/>
              <w:rPr>
                <w:rFonts w:ascii="Arial" w:eastAsia="Arial" w:hAnsi="Arial" w:cs="Arial"/>
                <w:color w:val="000000"/>
                <w:sz w:val="14"/>
              </w:rPr>
            </w:pPr>
            <w:r>
              <w:rPr>
                <w:rFonts w:ascii="Arial" w:eastAsia="Arial" w:hAnsi="Arial" w:cs="Arial"/>
                <w:color w:val="000000"/>
                <w:sz w:val="14"/>
              </w:rPr>
              <w:t>87</w:t>
            </w:r>
          </w:p>
        </w:tc>
      </w:tr>
      <w:tr w:rsidR="00533CD2" w14:paraId="13021732" w14:textId="77777777">
        <w:trPr>
          <w:cantSplit/>
          <w:tblHeader/>
        </w:trPr>
        <w:tc>
          <w:tcPr>
            <w:tcW w:w="101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350BDD" w14:textId="77777777" w:rsidR="00533CD2" w:rsidRDefault="0046046C">
            <w:pPr>
              <w:keepLines/>
              <w:tabs>
                <w:tab w:val="left" w:pos="828"/>
              </w:tabs>
              <w:ind w:left="108" w:right="108"/>
              <w:rPr>
                <w:rFonts w:ascii="Arial" w:eastAsia="Arial" w:hAnsi="Arial" w:cs="Arial"/>
                <w:color w:val="000000"/>
                <w:sz w:val="14"/>
              </w:rPr>
            </w:pPr>
            <w:r>
              <w:rPr>
                <w:rFonts w:ascii="Arial" w:eastAsia="Arial" w:hAnsi="Arial" w:cs="Arial"/>
                <w:color w:val="000000"/>
                <w:sz w:val="14"/>
              </w:rPr>
              <w:t>10102/CO02 Počet podniků pobírajících granty</w:t>
            </w:r>
          </w:p>
        </w:tc>
        <w:tc>
          <w:tcPr>
            <w:tcW w:w="4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151CE4" w14:textId="77777777" w:rsidR="00533CD2" w:rsidRDefault="0046046C">
            <w:pPr>
              <w:keepLines/>
              <w:tabs>
                <w:tab w:val="left" w:pos="828"/>
              </w:tabs>
              <w:ind w:left="108" w:right="108"/>
              <w:jc w:val="right"/>
              <w:rPr>
                <w:rFonts w:ascii="Arial" w:eastAsia="Arial" w:hAnsi="Arial" w:cs="Arial"/>
                <w:color w:val="000000"/>
                <w:sz w:val="14"/>
              </w:rPr>
            </w:pPr>
            <w:r>
              <w:rPr>
                <w:rFonts w:ascii="Arial" w:eastAsia="Arial" w:hAnsi="Arial" w:cs="Arial"/>
                <w:color w:val="000000"/>
                <w:sz w:val="14"/>
              </w:rPr>
              <w:t>87</w:t>
            </w:r>
          </w:p>
        </w:tc>
      </w:tr>
      <w:tr w:rsidR="00533CD2" w14:paraId="2AD44200" w14:textId="77777777">
        <w:trPr>
          <w:cantSplit/>
          <w:tblHeader/>
        </w:trPr>
        <w:tc>
          <w:tcPr>
            <w:tcW w:w="101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408DC3" w14:textId="77777777" w:rsidR="00533CD2" w:rsidRDefault="0046046C">
            <w:pPr>
              <w:keepLines/>
              <w:tabs>
                <w:tab w:val="left" w:pos="828"/>
              </w:tabs>
              <w:ind w:left="108" w:right="108"/>
              <w:rPr>
                <w:rFonts w:ascii="Arial" w:eastAsia="Arial" w:hAnsi="Arial" w:cs="Arial"/>
                <w:color w:val="000000"/>
                <w:sz w:val="14"/>
              </w:rPr>
            </w:pPr>
            <w:r>
              <w:rPr>
                <w:rFonts w:ascii="Arial" w:eastAsia="Arial" w:hAnsi="Arial" w:cs="Arial"/>
                <w:color w:val="000000"/>
                <w:sz w:val="14"/>
              </w:rPr>
              <w:t>10105/CO05 Počet nových podniků, které dostávají podporu</w:t>
            </w:r>
          </w:p>
        </w:tc>
        <w:tc>
          <w:tcPr>
            <w:tcW w:w="4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8B5F50" w14:textId="77777777" w:rsidR="00533CD2" w:rsidRDefault="0046046C">
            <w:pPr>
              <w:keepLines/>
              <w:tabs>
                <w:tab w:val="left" w:pos="828"/>
              </w:tabs>
              <w:ind w:left="108" w:right="108"/>
              <w:jc w:val="right"/>
              <w:rPr>
                <w:rFonts w:ascii="Arial" w:eastAsia="Arial" w:hAnsi="Arial" w:cs="Arial"/>
                <w:color w:val="000000"/>
                <w:sz w:val="14"/>
              </w:rPr>
            </w:pPr>
            <w:r>
              <w:rPr>
                <w:rFonts w:ascii="Arial" w:eastAsia="Arial" w:hAnsi="Arial" w:cs="Arial"/>
                <w:color w:val="000000"/>
                <w:sz w:val="14"/>
              </w:rPr>
              <w:t>42</w:t>
            </w:r>
          </w:p>
        </w:tc>
      </w:tr>
    </w:tbl>
    <w:p w14:paraId="2BF4CDD9" w14:textId="77777777" w:rsidR="00533CD2" w:rsidRDefault="00533CD2">
      <w:pPr>
        <w:tabs>
          <w:tab w:val="left" w:pos="1675"/>
        </w:tabs>
        <w:ind w:left="115" w:right="106"/>
        <w:rPr>
          <w:rFonts w:ascii="Calibri" w:eastAsia="Calibri" w:hAnsi="Calibri" w:cs="Calibri"/>
          <w:color w:val="000000"/>
          <w:sz w:val="20"/>
        </w:rPr>
      </w:pPr>
    </w:p>
    <w:p w14:paraId="6989BB1F" w14:textId="77777777" w:rsidR="00533CD2" w:rsidRDefault="00533CD2">
      <w:pPr>
        <w:spacing w:line="312" w:lineRule="auto"/>
        <w:ind w:left="115" w:right="670"/>
        <w:jc w:val="both"/>
        <w:rPr>
          <w:rFonts w:ascii="Calibri" w:eastAsia="Calibri" w:hAnsi="Calibri" w:cs="Calibri"/>
          <w:color w:val="000000"/>
          <w:sz w:val="20"/>
        </w:rPr>
      </w:pPr>
    </w:p>
    <w:p w14:paraId="63DC846D" w14:textId="77777777" w:rsidR="00533CD2" w:rsidRDefault="007429C8" w:rsidP="007429C8">
      <w:r>
        <w:br w:type="page"/>
      </w:r>
    </w:p>
    <w:p w14:paraId="1DD14695" w14:textId="77777777" w:rsidR="00533CD2" w:rsidRPr="007429C8" w:rsidRDefault="0046046C" w:rsidP="00B4650D">
      <w:pPr>
        <w:pStyle w:val="Nadpis2"/>
        <w:numPr>
          <w:ilvl w:val="1"/>
          <w:numId w:val="15"/>
        </w:numPr>
      </w:pPr>
      <w:bookmarkStart w:id="8" w:name="_Toc40877816"/>
      <w:r w:rsidRPr="007429C8">
        <w:t xml:space="preserve">Milníky a cíle stanovené ve výkonnostním rámci (čl. 50 odst. 2 nařízení (EU) č. 1303/2013) – předloženo ve výročních zprávách o implementaci </w:t>
      </w:r>
      <w:proofErr w:type="gramStart"/>
      <w:r w:rsidRPr="007429C8">
        <w:t>od</w:t>
      </w:r>
      <w:proofErr w:type="gramEnd"/>
      <w:r w:rsidRPr="007429C8">
        <w:t xml:space="preserve"> roku 2017</w:t>
      </w:r>
      <w:bookmarkEnd w:id="8"/>
    </w:p>
    <w:p w14:paraId="008D74B6" w14:textId="77777777" w:rsidR="00533CD2" w:rsidRDefault="0046046C">
      <w:pPr>
        <w:spacing w:before="240"/>
        <w:ind w:left="115" w:right="812"/>
        <w:jc w:val="both"/>
        <w:rPr>
          <w:rFonts w:ascii="Arial" w:eastAsia="Arial" w:hAnsi="Arial" w:cs="Arial"/>
          <w:color w:val="000000"/>
          <w:sz w:val="20"/>
        </w:rPr>
      </w:pPr>
      <w:r>
        <w:rPr>
          <w:rFonts w:ascii="Arial" w:eastAsia="Arial" w:hAnsi="Arial" w:cs="Arial"/>
          <w:color w:val="000000"/>
          <w:sz w:val="20"/>
        </w:rPr>
        <w:t>Poskytnutí údajů o finančních ukazatelích, klíčových prováděcích krocích, indikátorech výstupů a výsledků jako milníků a cílů pro výkonnostní rámec (počínaje zprávami, které mají být předloženy v roce 2017).</w:t>
      </w:r>
    </w:p>
    <w:p w14:paraId="4DC30E88" w14:textId="77777777" w:rsidR="00533CD2" w:rsidRDefault="00533CD2">
      <w:pPr>
        <w:spacing w:before="240" w:after="120"/>
        <w:ind w:left="115" w:right="529"/>
        <w:jc w:val="both"/>
        <w:rPr>
          <w:rFonts w:ascii="Arial" w:eastAsia="Arial" w:hAnsi="Arial" w:cs="Arial"/>
          <w:color w:val="000000"/>
          <w:sz w:val="20"/>
        </w:rPr>
      </w:pPr>
    </w:p>
    <w:p w14:paraId="4F115BE3" w14:textId="77777777" w:rsidR="00533CD2" w:rsidRDefault="0046046C">
      <w:pPr>
        <w:keepNext/>
        <w:tabs>
          <w:tab w:val="left" w:pos="1675"/>
        </w:tabs>
        <w:ind w:left="115" w:right="106"/>
        <w:rPr>
          <w:rFonts w:ascii="Arial" w:eastAsia="Arial" w:hAnsi="Arial" w:cs="Arial"/>
          <w:b/>
          <w:bCs/>
          <w:i/>
          <w:iCs/>
          <w:color w:val="000000"/>
          <w:sz w:val="20"/>
        </w:rPr>
      </w:pPr>
      <w:r>
        <w:rPr>
          <w:rFonts w:ascii="Arial" w:eastAsia="Arial" w:hAnsi="Arial" w:cs="Arial"/>
          <w:b/>
          <w:bCs/>
          <w:i/>
          <w:iCs/>
          <w:color w:val="000000"/>
          <w:sz w:val="20"/>
        </w:rPr>
        <w:t>Tabulka 5: Informace o milnících a cílech stanovených ve výkonnostním rámci</w:t>
      </w:r>
    </w:p>
    <w:p w14:paraId="67FEE8A8" w14:textId="77777777" w:rsidR="00533CD2" w:rsidRDefault="00533CD2">
      <w:pPr>
        <w:keepNext/>
        <w:ind w:left="115" w:right="106"/>
        <w:jc w:val="both"/>
        <w:rPr>
          <w:rFonts w:ascii="Arial" w:eastAsia="Arial" w:hAnsi="Arial" w:cs="Arial"/>
          <w:color w:val="000000"/>
          <w:sz w:val="20"/>
        </w:rPr>
      </w:pPr>
    </w:p>
    <w:tbl>
      <w:tblPr>
        <w:tblW w:w="0" w:type="auto"/>
        <w:tblInd w:w="58" w:type="dxa"/>
        <w:tblLayout w:type="fixed"/>
        <w:tblCellMar>
          <w:left w:w="0" w:type="dxa"/>
          <w:right w:w="0" w:type="dxa"/>
        </w:tblCellMar>
        <w:tblLook w:val="04A0" w:firstRow="1" w:lastRow="0" w:firstColumn="1" w:lastColumn="0" w:noHBand="0" w:noVBand="1"/>
      </w:tblPr>
      <w:tblGrid>
        <w:gridCol w:w="466"/>
        <w:gridCol w:w="867"/>
        <w:gridCol w:w="425"/>
        <w:gridCol w:w="1276"/>
        <w:gridCol w:w="567"/>
        <w:gridCol w:w="567"/>
        <w:gridCol w:w="567"/>
        <w:gridCol w:w="709"/>
        <w:gridCol w:w="709"/>
        <w:gridCol w:w="850"/>
        <w:gridCol w:w="851"/>
        <w:gridCol w:w="850"/>
        <w:gridCol w:w="851"/>
        <w:gridCol w:w="850"/>
        <w:gridCol w:w="851"/>
        <w:gridCol w:w="850"/>
        <w:gridCol w:w="851"/>
        <w:gridCol w:w="850"/>
        <w:gridCol w:w="851"/>
        <w:gridCol w:w="850"/>
      </w:tblGrid>
      <w:tr w:rsidR="00533CD2" w14:paraId="7A5B618C" w14:textId="77777777">
        <w:trPr>
          <w:cantSplit/>
          <w:tblHeader/>
        </w:trPr>
        <w:tc>
          <w:tcPr>
            <w:tcW w:w="6153" w:type="dxa"/>
            <w:gridSpan w:val="9"/>
            <w:tcBorders>
              <w:top w:val="single" w:sz="12" w:space="0" w:color="000000"/>
              <w:left w:val="single" w:sz="12" w:space="0" w:color="000000"/>
              <w:bottom w:val="single" w:sz="4" w:space="0" w:color="000000"/>
              <w:right w:val="single" w:sz="4" w:space="0" w:color="000000"/>
            </w:tcBorders>
            <w:shd w:val="clear" w:color="auto" w:fill="FFFFFF"/>
            <w:vAlign w:val="center"/>
          </w:tcPr>
          <w:p w14:paraId="39306307" w14:textId="77777777" w:rsidR="00533CD2" w:rsidRDefault="00533CD2">
            <w:pPr>
              <w:keepLines/>
              <w:ind w:left="57" w:right="57"/>
              <w:jc w:val="both"/>
            </w:pPr>
          </w:p>
        </w:tc>
        <w:tc>
          <w:tcPr>
            <w:tcW w:w="9355" w:type="dxa"/>
            <w:gridSpan w:val="11"/>
            <w:tcBorders>
              <w:top w:val="single" w:sz="12" w:space="0" w:color="000000"/>
              <w:left w:val="single" w:sz="4" w:space="0" w:color="000000"/>
              <w:bottom w:val="single" w:sz="4" w:space="0" w:color="000000"/>
              <w:right w:val="single" w:sz="12" w:space="0" w:color="000000"/>
            </w:tcBorders>
            <w:shd w:val="clear" w:color="auto" w:fill="FFFFFF"/>
            <w:vAlign w:val="center"/>
          </w:tcPr>
          <w:p w14:paraId="1053CFE6"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Dosažená hodnota *</w:t>
            </w:r>
          </w:p>
        </w:tc>
      </w:tr>
      <w:tr w:rsidR="00533CD2" w14:paraId="057A06AA" w14:textId="77777777">
        <w:trPr>
          <w:cantSplit/>
          <w:tblHeader/>
        </w:trPr>
        <w:tc>
          <w:tcPr>
            <w:tcW w:w="466" w:type="dxa"/>
            <w:vMerge w:val="restart"/>
            <w:tcBorders>
              <w:top w:val="single" w:sz="4" w:space="0" w:color="000000"/>
              <w:left w:val="single" w:sz="12" w:space="0" w:color="000000"/>
              <w:bottom w:val="single" w:sz="12" w:space="0" w:color="000000"/>
              <w:right w:val="single" w:sz="4" w:space="0" w:color="000000"/>
            </w:tcBorders>
            <w:shd w:val="clear" w:color="auto" w:fill="FFFFFF"/>
            <w:vAlign w:val="center"/>
          </w:tcPr>
          <w:p w14:paraId="1EBA4481" w14:textId="77777777" w:rsidR="00533CD2" w:rsidRDefault="0046046C">
            <w:pPr>
              <w:keepNext/>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Prioritní osa</w:t>
            </w:r>
          </w:p>
        </w:tc>
        <w:tc>
          <w:tcPr>
            <w:tcW w:w="867" w:type="dxa"/>
            <w:vMerge w:val="restart"/>
            <w:tcBorders>
              <w:top w:val="single" w:sz="4" w:space="0" w:color="000000"/>
              <w:left w:val="single" w:sz="4" w:space="0" w:color="000000"/>
              <w:bottom w:val="single" w:sz="12" w:space="0" w:color="000000"/>
              <w:right w:val="single" w:sz="4" w:space="0" w:color="000000"/>
            </w:tcBorders>
            <w:shd w:val="clear" w:color="auto" w:fill="FFFFFF"/>
            <w:vAlign w:val="center"/>
          </w:tcPr>
          <w:p w14:paraId="6AE2BA17" w14:textId="77777777" w:rsidR="00533CD2" w:rsidRDefault="0046046C">
            <w:pPr>
              <w:keepNext/>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Druh ukazatele</w:t>
            </w:r>
          </w:p>
        </w:tc>
        <w:tc>
          <w:tcPr>
            <w:tcW w:w="425" w:type="dxa"/>
            <w:vMerge w:val="restart"/>
            <w:tcBorders>
              <w:top w:val="single" w:sz="4" w:space="0" w:color="000000"/>
              <w:left w:val="single" w:sz="4" w:space="0" w:color="000000"/>
              <w:bottom w:val="single" w:sz="12" w:space="0" w:color="000000"/>
              <w:right w:val="single" w:sz="4" w:space="0" w:color="000000"/>
            </w:tcBorders>
            <w:shd w:val="clear" w:color="auto" w:fill="FFFFFF"/>
            <w:vAlign w:val="center"/>
          </w:tcPr>
          <w:p w14:paraId="1709EB29" w14:textId="77777777" w:rsidR="00533CD2" w:rsidRDefault="0046046C">
            <w:pPr>
              <w:keepNext/>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ID</w:t>
            </w:r>
          </w:p>
        </w:tc>
        <w:tc>
          <w:tcPr>
            <w:tcW w:w="1276" w:type="dxa"/>
            <w:vMerge w:val="restart"/>
            <w:tcBorders>
              <w:top w:val="single" w:sz="4" w:space="0" w:color="000000"/>
              <w:left w:val="single" w:sz="4" w:space="0" w:color="000000"/>
              <w:bottom w:val="single" w:sz="12" w:space="0" w:color="000000"/>
              <w:right w:val="single" w:sz="4" w:space="0" w:color="000000"/>
            </w:tcBorders>
            <w:shd w:val="clear" w:color="auto" w:fill="FFFFFF"/>
            <w:vAlign w:val="center"/>
          </w:tcPr>
          <w:p w14:paraId="728F3F76" w14:textId="77777777" w:rsidR="00533CD2" w:rsidRDefault="0046046C">
            <w:pPr>
              <w:keepNext/>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Ukazatel nebo klíčový prováděcí krok</w:t>
            </w:r>
          </w:p>
        </w:tc>
        <w:tc>
          <w:tcPr>
            <w:tcW w:w="567" w:type="dxa"/>
            <w:vMerge w:val="restart"/>
            <w:tcBorders>
              <w:top w:val="single" w:sz="4" w:space="0" w:color="000000"/>
              <w:left w:val="single" w:sz="4" w:space="0" w:color="000000"/>
              <w:bottom w:val="single" w:sz="12" w:space="0" w:color="000000"/>
              <w:right w:val="single" w:sz="4" w:space="0" w:color="000000"/>
            </w:tcBorders>
            <w:shd w:val="clear" w:color="auto" w:fill="FFFFFF"/>
            <w:vAlign w:val="center"/>
          </w:tcPr>
          <w:p w14:paraId="7C827B37" w14:textId="77777777" w:rsidR="00533CD2" w:rsidRDefault="0046046C">
            <w:pPr>
              <w:keepNext/>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Měrná jednotka</w:t>
            </w:r>
          </w:p>
        </w:tc>
        <w:tc>
          <w:tcPr>
            <w:tcW w:w="567" w:type="dxa"/>
            <w:vMerge w:val="restart"/>
            <w:tcBorders>
              <w:top w:val="single" w:sz="4" w:space="0" w:color="000000"/>
              <w:left w:val="single" w:sz="4" w:space="0" w:color="000000"/>
              <w:bottom w:val="single" w:sz="12" w:space="0" w:color="000000"/>
              <w:right w:val="single" w:sz="4" w:space="0" w:color="000000"/>
            </w:tcBorders>
            <w:shd w:val="clear" w:color="auto" w:fill="FFFFFF"/>
            <w:vAlign w:val="center"/>
          </w:tcPr>
          <w:p w14:paraId="34BDD5CE"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Fond</w:t>
            </w:r>
          </w:p>
        </w:tc>
        <w:tc>
          <w:tcPr>
            <w:tcW w:w="567" w:type="dxa"/>
            <w:vMerge w:val="restart"/>
            <w:tcBorders>
              <w:top w:val="single" w:sz="4" w:space="0" w:color="000000"/>
              <w:left w:val="single" w:sz="4" w:space="0" w:color="000000"/>
              <w:bottom w:val="single" w:sz="12" w:space="0" w:color="000000"/>
              <w:right w:val="single" w:sz="4" w:space="0" w:color="000000"/>
            </w:tcBorders>
            <w:shd w:val="clear" w:color="auto" w:fill="FFFFFF"/>
            <w:vAlign w:val="center"/>
          </w:tcPr>
          <w:p w14:paraId="71C01E2B"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Kategorie regionu</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2524BC2"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Milník pro rok 2018</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A31404B"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Cílová hodnota (2023)</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7C6FF6"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2014</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E00DBA"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2015</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7B7EDA"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2016</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BE226C"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2017</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3B700A"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2018</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45EB33"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2019</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5CECE1"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2020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F8360C"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2021</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3E610B"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2022</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1DD869"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2023</w:t>
            </w:r>
          </w:p>
        </w:tc>
        <w:tc>
          <w:tcPr>
            <w:tcW w:w="850" w:type="dxa"/>
            <w:vMerge w:val="restart"/>
            <w:tcBorders>
              <w:top w:val="single" w:sz="4" w:space="0" w:color="000000"/>
              <w:left w:val="single" w:sz="4" w:space="0" w:color="000000"/>
              <w:bottom w:val="single" w:sz="12" w:space="0" w:color="000000"/>
              <w:right w:val="single" w:sz="12" w:space="0" w:color="000000"/>
            </w:tcBorders>
            <w:shd w:val="clear" w:color="auto" w:fill="FFFFFF"/>
            <w:vAlign w:val="center"/>
          </w:tcPr>
          <w:p w14:paraId="0503FFD3"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Vysvětlení (v případě potřeby)</w:t>
            </w:r>
          </w:p>
        </w:tc>
      </w:tr>
      <w:tr w:rsidR="00533CD2" w14:paraId="18DC7BE7" w14:textId="77777777">
        <w:trPr>
          <w:cantSplit/>
          <w:tblHeader/>
        </w:trPr>
        <w:tc>
          <w:tcPr>
            <w:tcW w:w="466" w:type="dxa"/>
            <w:vMerge/>
            <w:tcBorders>
              <w:top w:val="single" w:sz="4" w:space="0" w:color="000000"/>
              <w:left w:val="single" w:sz="12" w:space="0" w:color="000000"/>
              <w:bottom w:val="single" w:sz="12" w:space="0" w:color="000000"/>
              <w:right w:val="single" w:sz="4" w:space="0" w:color="000000"/>
            </w:tcBorders>
            <w:shd w:val="clear" w:color="auto" w:fill="FFFFFF"/>
            <w:vAlign w:val="center"/>
          </w:tcPr>
          <w:p w14:paraId="355E6666" w14:textId="77777777" w:rsidR="00533CD2" w:rsidRDefault="00533CD2"/>
        </w:tc>
        <w:tc>
          <w:tcPr>
            <w:tcW w:w="8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018B2B34" w14:textId="77777777" w:rsidR="00533CD2" w:rsidRDefault="00533CD2"/>
        </w:tc>
        <w:tc>
          <w:tcPr>
            <w:tcW w:w="425"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53051CB1" w14:textId="77777777" w:rsidR="00533CD2" w:rsidRDefault="00533CD2"/>
        </w:tc>
        <w:tc>
          <w:tcPr>
            <w:tcW w:w="1276"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062A91FD" w14:textId="77777777" w:rsidR="00533CD2" w:rsidRDefault="00533CD2"/>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2A2F5421" w14:textId="77777777" w:rsidR="00533CD2" w:rsidRDefault="00533CD2"/>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74BB38D2" w14:textId="77777777" w:rsidR="00533CD2" w:rsidRDefault="00533CD2"/>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4D7FD164" w14:textId="77777777" w:rsidR="00533CD2" w:rsidRDefault="00533CD2"/>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B90C1F8" w14:textId="77777777" w:rsidR="00533CD2" w:rsidRDefault="00533CD2"/>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B6E1C5D" w14:textId="77777777" w:rsidR="00533CD2" w:rsidRDefault="00533CD2"/>
        </w:tc>
        <w:tc>
          <w:tcPr>
            <w:tcW w:w="8505"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14:paraId="0A42EA63"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Roční hodnota</w:t>
            </w:r>
          </w:p>
        </w:tc>
        <w:tc>
          <w:tcPr>
            <w:tcW w:w="850" w:type="dxa"/>
            <w:vMerge/>
            <w:tcBorders>
              <w:top w:val="single" w:sz="4" w:space="0" w:color="000000"/>
              <w:left w:val="single" w:sz="4" w:space="0" w:color="000000"/>
              <w:bottom w:val="single" w:sz="12" w:space="0" w:color="000000"/>
              <w:right w:val="single" w:sz="12" w:space="0" w:color="000000"/>
            </w:tcBorders>
            <w:shd w:val="clear" w:color="auto" w:fill="FFFFFF"/>
            <w:vAlign w:val="center"/>
          </w:tcPr>
          <w:p w14:paraId="4426A032" w14:textId="77777777" w:rsidR="00533CD2" w:rsidRDefault="00533CD2"/>
        </w:tc>
      </w:tr>
      <w:tr w:rsidR="00533CD2" w14:paraId="21ECAFA0" w14:textId="77777777">
        <w:trPr>
          <w:cantSplit/>
          <w:tblHeader/>
        </w:trPr>
        <w:tc>
          <w:tcPr>
            <w:tcW w:w="466" w:type="dxa"/>
            <w:vMerge/>
            <w:tcBorders>
              <w:top w:val="single" w:sz="4" w:space="0" w:color="000000"/>
              <w:left w:val="single" w:sz="12" w:space="0" w:color="000000"/>
              <w:bottom w:val="single" w:sz="12" w:space="0" w:color="000000"/>
              <w:right w:val="single" w:sz="4" w:space="0" w:color="000000"/>
            </w:tcBorders>
            <w:shd w:val="clear" w:color="auto" w:fill="FFFFFF"/>
            <w:vAlign w:val="center"/>
          </w:tcPr>
          <w:p w14:paraId="5D8A094F" w14:textId="77777777" w:rsidR="00533CD2" w:rsidRDefault="00533CD2"/>
        </w:tc>
        <w:tc>
          <w:tcPr>
            <w:tcW w:w="8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139404FA" w14:textId="77777777" w:rsidR="00533CD2" w:rsidRDefault="00533CD2"/>
        </w:tc>
        <w:tc>
          <w:tcPr>
            <w:tcW w:w="425"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308FA62A" w14:textId="77777777" w:rsidR="00533CD2" w:rsidRDefault="00533CD2"/>
        </w:tc>
        <w:tc>
          <w:tcPr>
            <w:tcW w:w="1276"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11E66DB5" w14:textId="77777777" w:rsidR="00533CD2" w:rsidRDefault="00533CD2"/>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500B6111" w14:textId="77777777" w:rsidR="00533CD2" w:rsidRDefault="00533CD2"/>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5F979860" w14:textId="77777777" w:rsidR="00533CD2" w:rsidRDefault="00533CD2"/>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55BD747D" w14:textId="77777777" w:rsidR="00533CD2" w:rsidRDefault="00533CD2"/>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02AC28A" w14:textId="77777777" w:rsidR="00533CD2" w:rsidRDefault="00533CD2"/>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3760DE2"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42FF8A91"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Celkem</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6073B2FE"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Celkem</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51A69DB4"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Celkem</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7FFCDDA6"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Celkem</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2D032A6"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Celkem</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833E233"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Celkem</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69797479"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Celkem</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73763DC4"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Celkem</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1A2C730E"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Celkem</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36469476"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Celkem</w:t>
            </w:r>
          </w:p>
        </w:tc>
        <w:tc>
          <w:tcPr>
            <w:tcW w:w="850" w:type="dxa"/>
            <w:vMerge/>
            <w:tcBorders>
              <w:top w:val="single" w:sz="4" w:space="0" w:color="000000"/>
              <w:left w:val="single" w:sz="4" w:space="0" w:color="000000"/>
              <w:bottom w:val="single" w:sz="12" w:space="0" w:color="000000"/>
              <w:right w:val="single" w:sz="12" w:space="0" w:color="000000"/>
            </w:tcBorders>
            <w:shd w:val="clear" w:color="auto" w:fill="FFFFFF"/>
            <w:vAlign w:val="center"/>
          </w:tcPr>
          <w:p w14:paraId="4CBA4B6F" w14:textId="77777777" w:rsidR="00533CD2" w:rsidRDefault="00533CD2"/>
        </w:tc>
      </w:tr>
      <w:tr w:rsidR="00533CD2" w14:paraId="1241AA19" w14:textId="77777777">
        <w:trPr>
          <w:cantSplit/>
          <w:tblHeader/>
        </w:trPr>
        <w:tc>
          <w:tcPr>
            <w:tcW w:w="466" w:type="dxa"/>
            <w:vMerge/>
            <w:tcBorders>
              <w:top w:val="single" w:sz="4" w:space="0" w:color="000000"/>
              <w:left w:val="single" w:sz="12" w:space="0" w:color="000000"/>
              <w:bottom w:val="single" w:sz="12" w:space="0" w:color="000000"/>
              <w:right w:val="single" w:sz="4" w:space="0" w:color="000000"/>
            </w:tcBorders>
            <w:shd w:val="clear" w:color="auto" w:fill="FFFFFF"/>
            <w:vAlign w:val="center"/>
          </w:tcPr>
          <w:p w14:paraId="101A5FD9" w14:textId="77777777" w:rsidR="00533CD2" w:rsidRDefault="00533CD2"/>
        </w:tc>
        <w:tc>
          <w:tcPr>
            <w:tcW w:w="8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5EDBCFB0" w14:textId="77777777" w:rsidR="00533CD2" w:rsidRDefault="00533CD2"/>
        </w:tc>
        <w:tc>
          <w:tcPr>
            <w:tcW w:w="425"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31BB7432" w14:textId="77777777" w:rsidR="00533CD2" w:rsidRDefault="00533CD2"/>
        </w:tc>
        <w:tc>
          <w:tcPr>
            <w:tcW w:w="1276"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7F657328" w14:textId="77777777" w:rsidR="00533CD2" w:rsidRDefault="00533CD2"/>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71FFD34B" w14:textId="77777777" w:rsidR="00533CD2" w:rsidRDefault="00533CD2"/>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7E59D78F" w14:textId="77777777" w:rsidR="00533CD2" w:rsidRDefault="00533CD2"/>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57AF77C4" w14:textId="77777777" w:rsidR="00533CD2" w:rsidRDefault="00533CD2"/>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1928CEC" w14:textId="77777777" w:rsidR="00533CD2" w:rsidRDefault="00533CD2"/>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E34F0BB"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41C37" w14:textId="77777777" w:rsidR="00533CD2" w:rsidRDefault="0046046C">
            <w:pPr>
              <w:keepNext/>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M</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BB26C0"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M</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CA5323"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M</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E4670B"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M</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51D840"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M</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E2057E"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M</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F95829"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M</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B80F3D"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M</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2D68AE"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M</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15CD07"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M</w:t>
            </w:r>
          </w:p>
        </w:tc>
        <w:tc>
          <w:tcPr>
            <w:tcW w:w="850" w:type="dxa"/>
            <w:vMerge/>
            <w:tcBorders>
              <w:top w:val="single" w:sz="4" w:space="0" w:color="000000"/>
              <w:left w:val="single" w:sz="4" w:space="0" w:color="000000"/>
              <w:bottom w:val="single" w:sz="12" w:space="0" w:color="000000"/>
              <w:right w:val="single" w:sz="12" w:space="0" w:color="000000"/>
            </w:tcBorders>
            <w:shd w:val="clear" w:color="auto" w:fill="FFFFFF"/>
            <w:vAlign w:val="center"/>
          </w:tcPr>
          <w:p w14:paraId="42675C03" w14:textId="77777777" w:rsidR="00533CD2" w:rsidRDefault="00533CD2"/>
        </w:tc>
      </w:tr>
      <w:tr w:rsidR="00533CD2" w14:paraId="1CE7DE4F" w14:textId="77777777">
        <w:trPr>
          <w:cantSplit/>
          <w:tblHeader/>
        </w:trPr>
        <w:tc>
          <w:tcPr>
            <w:tcW w:w="466" w:type="dxa"/>
            <w:vMerge/>
            <w:tcBorders>
              <w:top w:val="single" w:sz="4" w:space="0" w:color="000000"/>
              <w:left w:val="single" w:sz="12" w:space="0" w:color="000000"/>
              <w:bottom w:val="single" w:sz="12" w:space="0" w:color="000000"/>
              <w:right w:val="single" w:sz="4" w:space="0" w:color="000000"/>
            </w:tcBorders>
            <w:shd w:val="clear" w:color="auto" w:fill="FFFFFF"/>
            <w:vAlign w:val="center"/>
          </w:tcPr>
          <w:p w14:paraId="7C272DBC" w14:textId="77777777" w:rsidR="00533CD2" w:rsidRDefault="00533CD2"/>
        </w:tc>
        <w:tc>
          <w:tcPr>
            <w:tcW w:w="8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06128F65" w14:textId="77777777" w:rsidR="00533CD2" w:rsidRDefault="00533CD2"/>
        </w:tc>
        <w:tc>
          <w:tcPr>
            <w:tcW w:w="425"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1113C02E" w14:textId="77777777" w:rsidR="00533CD2" w:rsidRDefault="00533CD2"/>
        </w:tc>
        <w:tc>
          <w:tcPr>
            <w:tcW w:w="1276"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3DC057D0" w14:textId="77777777" w:rsidR="00533CD2" w:rsidRDefault="00533CD2"/>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16F59BC2" w14:textId="77777777" w:rsidR="00533CD2" w:rsidRDefault="00533CD2"/>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6765291B" w14:textId="77777777" w:rsidR="00533CD2" w:rsidRDefault="00533CD2"/>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2EE6E386" w14:textId="77777777" w:rsidR="00533CD2" w:rsidRDefault="00533CD2"/>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AB3690A" w14:textId="77777777" w:rsidR="00533CD2" w:rsidRDefault="00533CD2"/>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FD18AE8"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CAE42A" w14:textId="77777777" w:rsidR="00533CD2" w:rsidRDefault="0046046C">
            <w:pPr>
              <w:keepNext/>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Ž</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9FD8BB"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Ž</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4A3DA0"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Ž</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2AE5BC"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Ž</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BC497F"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Ž</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5C4BB4"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Ž</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D10591"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Ž</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CF68F5"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Ž</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FA84AC"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Ž</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C0BC7D"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Ž</w:t>
            </w:r>
          </w:p>
        </w:tc>
        <w:tc>
          <w:tcPr>
            <w:tcW w:w="850" w:type="dxa"/>
            <w:vMerge/>
            <w:tcBorders>
              <w:top w:val="single" w:sz="4" w:space="0" w:color="000000"/>
              <w:left w:val="single" w:sz="4" w:space="0" w:color="000000"/>
              <w:bottom w:val="single" w:sz="12" w:space="0" w:color="000000"/>
              <w:right w:val="single" w:sz="12" w:space="0" w:color="000000"/>
            </w:tcBorders>
            <w:shd w:val="clear" w:color="auto" w:fill="FFFFFF"/>
            <w:vAlign w:val="center"/>
          </w:tcPr>
          <w:p w14:paraId="4B0BC095" w14:textId="77777777" w:rsidR="00533CD2" w:rsidRDefault="00533CD2"/>
        </w:tc>
      </w:tr>
      <w:tr w:rsidR="00533CD2" w14:paraId="4301DCD1" w14:textId="77777777">
        <w:trPr>
          <w:cantSplit/>
          <w:tblHeader/>
        </w:trPr>
        <w:tc>
          <w:tcPr>
            <w:tcW w:w="466" w:type="dxa"/>
            <w:vMerge/>
            <w:tcBorders>
              <w:top w:val="single" w:sz="4" w:space="0" w:color="000000"/>
              <w:left w:val="single" w:sz="12" w:space="0" w:color="000000"/>
              <w:bottom w:val="single" w:sz="12" w:space="0" w:color="000000"/>
              <w:right w:val="single" w:sz="4" w:space="0" w:color="000000"/>
            </w:tcBorders>
            <w:shd w:val="clear" w:color="auto" w:fill="FFFFFF"/>
            <w:vAlign w:val="center"/>
          </w:tcPr>
          <w:p w14:paraId="06484FCC" w14:textId="77777777" w:rsidR="00533CD2" w:rsidRDefault="00533CD2"/>
        </w:tc>
        <w:tc>
          <w:tcPr>
            <w:tcW w:w="8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1F2A0972" w14:textId="77777777" w:rsidR="00533CD2" w:rsidRDefault="00533CD2"/>
        </w:tc>
        <w:tc>
          <w:tcPr>
            <w:tcW w:w="425"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2AB92711" w14:textId="77777777" w:rsidR="00533CD2" w:rsidRDefault="00533CD2"/>
        </w:tc>
        <w:tc>
          <w:tcPr>
            <w:tcW w:w="1276"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1C1C8A0D" w14:textId="77777777" w:rsidR="00533CD2" w:rsidRDefault="00533CD2"/>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0DE8C428" w14:textId="77777777" w:rsidR="00533CD2" w:rsidRDefault="00533CD2"/>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35B9E52F" w14:textId="77777777" w:rsidR="00533CD2" w:rsidRDefault="00533CD2"/>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379A0DD2" w14:textId="77777777" w:rsidR="00533CD2" w:rsidRDefault="00533CD2"/>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C1111A6" w14:textId="77777777" w:rsidR="00533CD2" w:rsidRDefault="00533CD2"/>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5DED769" w14:textId="77777777" w:rsidR="00533CD2" w:rsidRDefault="00533CD2"/>
        </w:tc>
        <w:tc>
          <w:tcPr>
            <w:tcW w:w="8505"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14:paraId="70FAA345"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Kumulativní hodnota</w:t>
            </w:r>
          </w:p>
        </w:tc>
        <w:tc>
          <w:tcPr>
            <w:tcW w:w="850" w:type="dxa"/>
            <w:vMerge/>
            <w:tcBorders>
              <w:top w:val="single" w:sz="4" w:space="0" w:color="000000"/>
              <w:left w:val="single" w:sz="4" w:space="0" w:color="000000"/>
              <w:bottom w:val="single" w:sz="12" w:space="0" w:color="000000"/>
              <w:right w:val="single" w:sz="12" w:space="0" w:color="000000"/>
            </w:tcBorders>
            <w:shd w:val="clear" w:color="auto" w:fill="FFFFFF"/>
            <w:vAlign w:val="center"/>
          </w:tcPr>
          <w:p w14:paraId="5A567CE2" w14:textId="77777777" w:rsidR="00533CD2" w:rsidRDefault="00533CD2"/>
        </w:tc>
      </w:tr>
      <w:tr w:rsidR="00533CD2" w14:paraId="136629D0" w14:textId="77777777">
        <w:trPr>
          <w:cantSplit/>
          <w:tblHeader/>
        </w:trPr>
        <w:tc>
          <w:tcPr>
            <w:tcW w:w="466" w:type="dxa"/>
            <w:vMerge/>
            <w:tcBorders>
              <w:top w:val="single" w:sz="4" w:space="0" w:color="000000"/>
              <w:left w:val="single" w:sz="12" w:space="0" w:color="000000"/>
              <w:bottom w:val="single" w:sz="12" w:space="0" w:color="000000"/>
              <w:right w:val="single" w:sz="4" w:space="0" w:color="000000"/>
            </w:tcBorders>
            <w:shd w:val="clear" w:color="auto" w:fill="FFFFFF"/>
            <w:vAlign w:val="center"/>
          </w:tcPr>
          <w:p w14:paraId="39811B4A" w14:textId="77777777" w:rsidR="00533CD2" w:rsidRDefault="00533CD2"/>
        </w:tc>
        <w:tc>
          <w:tcPr>
            <w:tcW w:w="8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2900A5CC" w14:textId="77777777" w:rsidR="00533CD2" w:rsidRDefault="00533CD2"/>
        </w:tc>
        <w:tc>
          <w:tcPr>
            <w:tcW w:w="425"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18E55AA1" w14:textId="77777777" w:rsidR="00533CD2" w:rsidRDefault="00533CD2"/>
        </w:tc>
        <w:tc>
          <w:tcPr>
            <w:tcW w:w="1276"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31D28BF6" w14:textId="77777777" w:rsidR="00533CD2" w:rsidRDefault="00533CD2"/>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75501C0E" w14:textId="77777777" w:rsidR="00533CD2" w:rsidRDefault="00533CD2"/>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1D512E10" w14:textId="77777777" w:rsidR="00533CD2" w:rsidRDefault="00533CD2"/>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4E60E1B8" w14:textId="77777777" w:rsidR="00533CD2" w:rsidRDefault="00533CD2"/>
        </w:tc>
        <w:tc>
          <w:tcPr>
            <w:tcW w:w="709"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75C03BBD"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Celkem</w:t>
            </w:r>
          </w:p>
        </w:tc>
        <w:tc>
          <w:tcPr>
            <w:tcW w:w="709"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6AC0B114"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Celkem</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7D5629FF"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Celkem</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6D9624C1"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Celkem</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340CE98A"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Celkem</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6E681C7C"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Celkem</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B19BA95"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Celkem</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1517B196"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Celkem</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49047799"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Celkem</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4B6CF396"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Celkem</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DC99484"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Celkem</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9534952"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Celkem</w:t>
            </w:r>
          </w:p>
        </w:tc>
        <w:tc>
          <w:tcPr>
            <w:tcW w:w="850" w:type="dxa"/>
            <w:vMerge/>
            <w:tcBorders>
              <w:top w:val="single" w:sz="4" w:space="0" w:color="000000"/>
              <w:left w:val="single" w:sz="4" w:space="0" w:color="000000"/>
              <w:bottom w:val="single" w:sz="12" w:space="0" w:color="000000"/>
              <w:right w:val="single" w:sz="12" w:space="0" w:color="000000"/>
            </w:tcBorders>
            <w:shd w:val="clear" w:color="auto" w:fill="FFFFFF"/>
            <w:vAlign w:val="center"/>
          </w:tcPr>
          <w:p w14:paraId="7B309F8F" w14:textId="77777777" w:rsidR="00533CD2" w:rsidRDefault="00533CD2"/>
        </w:tc>
      </w:tr>
      <w:tr w:rsidR="00533CD2" w14:paraId="2B2BA4F1" w14:textId="77777777">
        <w:trPr>
          <w:cantSplit/>
          <w:tblHeader/>
        </w:trPr>
        <w:tc>
          <w:tcPr>
            <w:tcW w:w="466" w:type="dxa"/>
            <w:vMerge/>
            <w:tcBorders>
              <w:top w:val="single" w:sz="4" w:space="0" w:color="000000"/>
              <w:left w:val="single" w:sz="12" w:space="0" w:color="000000"/>
              <w:bottom w:val="single" w:sz="12" w:space="0" w:color="000000"/>
              <w:right w:val="single" w:sz="4" w:space="0" w:color="000000"/>
            </w:tcBorders>
            <w:shd w:val="clear" w:color="auto" w:fill="FFFFFF"/>
            <w:vAlign w:val="center"/>
          </w:tcPr>
          <w:p w14:paraId="515EC397" w14:textId="77777777" w:rsidR="00533CD2" w:rsidRDefault="00533CD2"/>
        </w:tc>
        <w:tc>
          <w:tcPr>
            <w:tcW w:w="8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3B824615" w14:textId="77777777" w:rsidR="00533CD2" w:rsidRDefault="00533CD2"/>
        </w:tc>
        <w:tc>
          <w:tcPr>
            <w:tcW w:w="425"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0FC75F62" w14:textId="77777777" w:rsidR="00533CD2" w:rsidRDefault="00533CD2"/>
        </w:tc>
        <w:tc>
          <w:tcPr>
            <w:tcW w:w="1276"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6EA2FE94" w14:textId="77777777" w:rsidR="00533CD2" w:rsidRDefault="00533CD2"/>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7E0D54A5" w14:textId="77777777" w:rsidR="00533CD2" w:rsidRDefault="00533CD2"/>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607538E6" w14:textId="77777777" w:rsidR="00533CD2" w:rsidRDefault="00533CD2"/>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0C14AC3F" w14:textId="77777777" w:rsidR="00533CD2" w:rsidRDefault="00533CD2"/>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209474"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M</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EBD605"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M</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7E5A48" w14:textId="77777777" w:rsidR="00533CD2" w:rsidRDefault="0046046C">
            <w:pPr>
              <w:keepNext/>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M</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5A352E"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M</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B6E1F4"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M</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0728FA"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M</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BBE8C5"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M</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DDA143"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M</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805D0E"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M</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7EDA80"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M</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911014"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M</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22B638"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M</w:t>
            </w:r>
          </w:p>
        </w:tc>
        <w:tc>
          <w:tcPr>
            <w:tcW w:w="850" w:type="dxa"/>
            <w:vMerge/>
            <w:tcBorders>
              <w:top w:val="single" w:sz="4" w:space="0" w:color="000000"/>
              <w:left w:val="single" w:sz="4" w:space="0" w:color="000000"/>
              <w:bottom w:val="single" w:sz="12" w:space="0" w:color="000000"/>
              <w:right w:val="single" w:sz="12" w:space="0" w:color="000000"/>
            </w:tcBorders>
            <w:shd w:val="clear" w:color="auto" w:fill="FFFFFF"/>
            <w:vAlign w:val="center"/>
          </w:tcPr>
          <w:p w14:paraId="29B54BDA" w14:textId="77777777" w:rsidR="00533CD2" w:rsidRDefault="00533CD2"/>
        </w:tc>
      </w:tr>
      <w:tr w:rsidR="00533CD2" w14:paraId="1463254A" w14:textId="77777777">
        <w:trPr>
          <w:cantSplit/>
          <w:tblHeader/>
        </w:trPr>
        <w:tc>
          <w:tcPr>
            <w:tcW w:w="466" w:type="dxa"/>
            <w:vMerge/>
            <w:tcBorders>
              <w:top w:val="single" w:sz="4" w:space="0" w:color="000000"/>
              <w:left w:val="single" w:sz="12" w:space="0" w:color="000000"/>
              <w:bottom w:val="single" w:sz="12" w:space="0" w:color="000000"/>
              <w:right w:val="single" w:sz="4" w:space="0" w:color="000000"/>
            </w:tcBorders>
            <w:shd w:val="clear" w:color="auto" w:fill="FFFFFF"/>
            <w:vAlign w:val="center"/>
          </w:tcPr>
          <w:p w14:paraId="4463749D" w14:textId="77777777" w:rsidR="00533CD2" w:rsidRDefault="00533CD2"/>
        </w:tc>
        <w:tc>
          <w:tcPr>
            <w:tcW w:w="8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367D7451" w14:textId="77777777" w:rsidR="00533CD2" w:rsidRDefault="00533CD2"/>
        </w:tc>
        <w:tc>
          <w:tcPr>
            <w:tcW w:w="425"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05E413A2" w14:textId="77777777" w:rsidR="00533CD2" w:rsidRDefault="00533CD2"/>
        </w:tc>
        <w:tc>
          <w:tcPr>
            <w:tcW w:w="1276"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19D1D6EA" w14:textId="77777777" w:rsidR="00533CD2" w:rsidRDefault="00533CD2"/>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222E972A" w14:textId="77777777" w:rsidR="00533CD2" w:rsidRDefault="00533CD2"/>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7069FD06" w14:textId="77777777" w:rsidR="00533CD2" w:rsidRDefault="00533CD2"/>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2D1CB60F" w14:textId="77777777" w:rsidR="00533CD2" w:rsidRDefault="00533CD2"/>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41812010"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Ž</w:t>
            </w:r>
          </w:p>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1B7CBA6"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Ž</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30C5DDE" w14:textId="77777777" w:rsidR="00533CD2" w:rsidRDefault="0046046C">
            <w:pPr>
              <w:keepNext/>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Ž</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C7A0131"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Ž</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0F8C6BBA"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Ž</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90D7785"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Ž</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4AEDE97"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Ž</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39E2651"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Ž</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530B4A3"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Ž</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488EA86E"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Ž</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3E06E49"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Ž</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3F3B6B1"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Ž</w:t>
            </w:r>
          </w:p>
        </w:tc>
        <w:tc>
          <w:tcPr>
            <w:tcW w:w="850" w:type="dxa"/>
            <w:vMerge/>
            <w:tcBorders>
              <w:top w:val="single" w:sz="4" w:space="0" w:color="000000"/>
              <w:left w:val="single" w:sz="4" w:space="0" w:color="000000"/>
              <w:bottom w:val="single" w:sz="12" w:space="0" w:color="000000"/>
              <w:right w:val="single" w:sz="12" w:space="0" w:color="000000"/>
            </w:tcBorders>
            <w:shd w:val="clear" w:color="auto" w:fill="FFFFFF"/>
            <w:vAlign w:val="center"/>
          </w:tcPr>
          <w:p w14:paraId="67B48BC6" w14:textId="77777777" w:rsidR="00533CD2" w:rsidRDefault="00533CD2"/>
        </w:tc>
      </w:tr>
      <w:tr w:rsidR="00533CD2" w14:paraId="244FB3EB" w14:textId="77777777">
        <w:tc>
          <w:tcPr>
            <w:tcW w:w="466" w:type="dxa"/>
            <w:vMerge w:val="restart"/>
            <w:tcBorders>
              <w:top w:val="single" w:sz="12" w:space="0" w:color="000000"/>
              <w:left w:val="single" w:sz="12" w:space="0" w:color="000000"/>
              <w:bottom w:val="single" w:sz="12" w:space="0" w:color="000000"/>
              <w:right w:val="single" w:sz="4" w:space="0" w:color="000000"/>
            </w:tcBorders>
            <w:shd w:val="clear" w:color="auto" w:fill="FFFFFF"/>
            <w:vAlign w:val="center"/>
          </w:tcPr>
          <w:p w14:paraId="3A9A531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06.1</w:t>
            </w:r>
          </w:p>
        </w:tc>
        <w:tc>
          <w:tcPr>
            <w:tcW w:w="8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4D734119"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Indikátor výstupu</w:t>
            </w:r>
          </w:p>
        </w:tc>
        <w:tc>
          <w:tcPr>
            <w:tcW w:w="425"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59953372"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57501</w:t>
            </w:r>
          </w:p>
        </w:tc>
        <w:tc>
          <w:tcPr>
            <w:tcW w:w="1276"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4BE394AC"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nových a modernizovaných objektů sloužících složkám IZS</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74CB78C7"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Objekty</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3CE55285"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EFRR</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449B8545"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1D547073" w14:textId="77777777" w:rsidR="00533CD2" w:rsidRDefault="00533CD2">
            <w:pPr>
              <w:ind w:left="57" w:right="57"/>
              <w:jc w:val="both"/>
            </w:pP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4B6AB116" w14:textId="77777777" w:rsidR="00533CD2" w:rsidRDefault="00533CD2">
            <w:pPr>
              <w:ind w:left="57" w:right="57"/>
              <w:jc w:val="both"/>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5718738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601405E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B32B02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629BB39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0A4553F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45,000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20B3EA3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33,000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12D7A54"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8BAB864"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6E409FEE"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404451DD"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val="restart"/>
            <w:tcBorders>
              <w:top w:val="single" w:sz="12" w:space="0" w:color="000000"/>
              <w:left w:val="single" w:sz="4" w:space="0" w:color="000000"/>
              <w:bottom w:val="single" w:sz="12" w:space="0" w:color="000000"/>
              <w:right w:val="single" w:sz="12" w:space="0" w:color="000000"/>
            </w:tcBorders>
            <w:shd w:val="clear" w:color="auto" w:fill="FFFFFF"/>
            <w:vAlign w:val="center"/>
          </w:tcPr>
          <w:p w14:paraId="1805746A" w14:textId="77777777" w:rsidR="00533CD2" w:rsidRDefault="00533CD2">
            <w:pPr>
              <w:keepLines/>
              <w:tabs>
                <w:tab w:val="left" w:pos="828"/>
              </w:tabs>
              <w:ind w:left="57" w:right="57"/>
              <w:rPr>
                <w:rFonts w:ascii="Arial" w:eastAsia="Arial" w:hAnsi="Arial" w:cs="Arial"/>
                <w:color w:val="000000"/>
                <w:sz w:val="14"/>
              </w:rPr>
            </w:pPr>
          </w:p>
        </w:tc>
      </w:tr>
      <w:tr w:rsidR="00533CD2" w14:paraId="3F33FD97"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20B5F4B2"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F791E96"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4975D19"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DDB649F"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4AFE7C1"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B5A8F3B"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C35CC83"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06F37DA8"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4628551F"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565DD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5B5AF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BECA9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6E060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E9FCD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962DE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6B0627"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D7D1D9"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9A36D7"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36BB1C"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3EB4F551" w14:textId="77777777" w:rsidR="00533CD2" w:rsidRDefault="00533CD2"/>
        </w:tc>
      </w:tr>
      <w:tr w:rsidR="00533CD2" w14:paraId="7A242F99"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4894698A"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0A1AB41"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533811A"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3ECADE5"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9D7FB44"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DCF27B6"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F3339F2"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4B42E808"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60CC630E"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00FC5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DE1AF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BCF21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9F073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E378D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9F464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586697"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64834E"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0DEFA7"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AF8282"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7D2E73FA" w14:textId="77777777" w:rsidR="00533CD2" w:rsidRDefault="00533CD2"/>
        </w:tc>
      </w:tr>
      <w:tr w:rsidR="00533CD2" w14:paraId="1BF0AC26"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5942E6DC"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69F5D83"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AD35164"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7E64B42"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8E20C53"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2FFB4F9"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6CEB914" w14:textId="77777777" w:rsidR="00533CD2" w:rsidRDefault="00533CD2"/>
        </w:tc>
        <w:tc>
          <w:tcPr>
            <w:tcW w:w="709" w:type="dxa"/>
            <w:tcBorders>
              <w:left w:val="single" w:sz="4" w:space="0" w:color="000000"/>
              <w:bottom w:val="single" w:sz="4" w:space="0" w:color="000000"/>
              <w:right w:val="single" w:sz="4" w:space="0" w:color="000000"/>
            </w:tcBorders>
            <w:shd w:val="clear" w:color="auto" w:fill="E7E6E6"/>
            <w:vAlign w:val="bottom"/>
          </w:tcPr>
          <w:p w14:paraId="539F219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25,000</w:t>
            </w:r>
          </w:p>
        </w:tc>
        <w:tc>
          <w:tcPr>
            <w:tcW w:w="709" w:type="dxa"/>
            <w:tcBorders>
              <w:left w:val="single" w:sz="4" w:space="0" w:color="000000"/>
              <w:bottom w:val="single" w:sz="4" w:space="0" w:color="000000"/>
              <w:right w:val="single" w:sz="4" w:space="0" w:color="000000"/>
            </w:tcBorders>
            <w:shd w:val="clear" w:color="auto" w:fill="E7E6E6"/>
            <w:vAlign w:val="bottom"/>
          </w:tcPr>
          <w:p w14:paraId="1AD851D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86,000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77C91AA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79100ED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78166BA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F2DCBC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AEE60F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51,000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560B946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84,000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5488916"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ABFD2C8"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C060890"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E836836"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3241A8AC" w14:textId="77777777" w:rsidR="00533CD2" w:rsidRDefault="00533CD2"/>
        </w:tc>
      </w:tr>
      <w:tr w:rsidR="00533CD2" w14:paraId="1613F447"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7B08E33A"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F021578"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DFE5790"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1720748"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E8E1212"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B58303B"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13F0C4B" w14:textId="77777777" w:rsidR="00533CD2" w:rsidRDefault="00533CD2"/>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C7704F"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2C8973"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A1D94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18F36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3E66E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FE4D1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E116E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3916D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2E8F1A"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348D1E"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16AC56"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DE436D"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39CD5A74" w14:textId="77777777" w:rsidR="00533CD2" w:rsidRDefault="00533CD2"/>
        </w:tc>
      </w:tr>
      <w:tr w:rsidR="00533CD2" w14:paraId="647B9AB1"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168EFCFF"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68C74C5"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5684A89"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D00409D"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DBB8E85"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F5742BC"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1A7E58A" w14:textId="77777777" w:rsidR="00533CD2" w:rsidRDefault="00533CD2"/>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411D9E4C"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84EA82C"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C965C4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F5FD847"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AF9019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DC004D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0A8631B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92E77F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6BC74C6"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6D8C56A"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51A6C85"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01C1EB35"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07690F46" w14:textId="77777777" w:rsidR="00533CD2" w:rsidRDefault="00533CD2"/>
        </w:tc>
      </w:tr>
      <w:tr w:rsidR="00533CD2" w14:paraId="07D3FEFA" w14:textId="77777777">
        <w:tc>
          <w:tcPr>
            <w:tcW w:w="466" w:type="dxa"/>
            <w:vMerge w:val="restart"/>
            <w:tcBorders>
              <w:top w:val="single" w:sz="12" w:space="0" w:color="000000"/>
              <w:left w:val="single" w:sz="12" w:space="0" w:color="000000"/>
              <w:bottom w:val="single" w:sz="12" w:space="0" w:color="000000"/>
              <w:right w:val="single" w:sz="4" w:space="0" w:color="000000"/>
            </w:tcBorders>
            <w:shd w:val="clear" w:color="auto" w:fill="FFFFFF"/>
            <w:vAlign w:val="center"/>
          </w:tcPr>
          <w:p w14:paraId="74EA53DA"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06.1</w:t>
            </w:r>
          </w:p>
        </w:tc>
        <w:tc>
          <w:tcPr>
            <w:tcW w:w="8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5C9FC1C3"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Indikátor výstupu</w:t>
            </w:r>
          </w:p>
        </w:tc>
        <w:tc>
          <w:tcPr>
            <w:tcW w:w="425"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77D94182"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72300</w:t>
            </w:r>
          </w:p>
        </w:tc>
        <w:tc>
          <w:tcPr>
            <w:tcW w:w="1276"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64B3191A"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Celková délka rekonstruovaných nebo modernizovaných silnic</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45D6E478"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kilometrů</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6007AA41"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EFRR</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211B7793"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35C714D3" w14:textId="77777777" w:rsidR="00533CD2" w:rsidRDefault="00533CD2">
            <w:pPr>
              <w:ind w:left="57" w:right="57"/>
              <w:jc w:val="both"/>
            </w:pP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3176B500" w14:textId="77777777" w:rsidR="00533CD2" w:rsidRDefault="00533CD2">
            <w:pPr>
              <w:ind w:left="57" w:right="57"/>
              <w:jc w:val="both"/>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20A8C6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59B834B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0ACC05C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5006C2A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30,046</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2E66DB0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334,430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AECC11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537,616</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27B8F96F"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E45DBE1"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59114EA8"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0803700E"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val="restart"/>
            <w:tcBorders>
              <w:top w:val="single" w:sz="12" w:space="0" w:color="000000"/>
              <w:left w:val="single" w:sz="4" w:space="0" w:color="000000"/>
              <w:bottom w:val="single" w:sz="12" w:space="0" w:color="000000"/>
              <w:right w:val="single" w:sz="12" w:space="0" w:color="000000"/>
            </w:tcBorders>
            <w:shd w:val="clear" w:color="auto" w:fill="FFFFFF"/>
            <w:vAlign w:val="center"/>
          </w:tcPr>
          <w:p w14:paraId="06EE8794" w14:textId="77777777" w:rsidR="00533CD2" w:rsidRDefault="00533CD2">
            <w:pPr>
              <w:keepLines/>
              <w:tabs>
                <w:tab w:val="left" w:pos="828"/>
              </w:tabs>
              <w:ind w:left="57" w:right="57"/>
              <w:rPr>
                <w:rFonts w:ascii="Arial" w:eastAsia="Arial" w:hAnsi="Arial" w:cs="Arial"/>
                <w:color w:val="000000"/>
                <w:sz w:val="14"/>
              </w:rPr>
            </w:pPr>
          </w:p>
        </w:tc>
      </w:tr>
      <w:tr w:rsidR="00533CD2" w14:paraId="5E1DBEFE"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6AE977DD"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9A83839"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5819B93"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83A516F"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052F2E8"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93D711D"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52966A3"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605353DA"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77C4CDD3"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190C9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05D1B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4ACB1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5E365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580457"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AB822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AD0F5F"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339D5C"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2890D7"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494759"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0242F781" w14:textId="77777777" w:rsidR="00533CD2" w:rsidRDefault="00533CD2"/>
        </w:tc>
      </w:tr>
      <w:tr w:rsidR="00533CD2" w14:paraId="5A4AF9AD"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3634F9C8"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95F4087"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63B50D6"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C98FAC1"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3D8B639"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BD38923"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D40FB27"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30EFCF53"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7AF179EB"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DF134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F240D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AF241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0977D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46CD3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3AAE3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3B210A"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6F7665"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1DBA89"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89FC4D"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0AA0EA58" w14:textId="77777777" w:rsidR="00533CD2" w:rsidRDefault="00533CD2"/>
        </w:tc>
      </w:tr>
      <w:tr w:rsidR="00533CD2" w14:paraId="2AB422DF"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0959352C"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E598BDC"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C575D94"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EADA466"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688A849"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3ACBA15"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46B8F00" w14:textId="77777777" w:rsidR="00533CD2" w:rsidRDefault="00533CD2"/>
        </w:tc>
        <w:tc>
          <w:tcPr>
            <w:tcW w:w="709" w:type="dxa"/>
            <w:tcBorders>
              <w:left w:val="single" w:sz="4" w:space="0" w:color="000000"/>
              <w:bottom w:val="single" w:sz="4" w:space="0" w:color="000000"/>
              <w:right w:val="single" w:sz="4" w:space="0" w:color="000000"/>
            </w:tcBorders>
            <w:shd w:val="clear" w:color="auto" w:fill="E7E6E6"/>
            <w:vAlign w:val="bottom"/>
          </w:tcPr>
          <w:p w14:paraId="2D599E8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104,000</w:t>
            </w:r>
          </w:p>
        </w:tc>
        <w:tc>
          <w:tcPr>
            <w:tcW w:w="709" w:type="dxa"/>
            <w:tcBorders>
              <w:left w:val="single" w:sz="4" w:space="0" w:color="000000"/>
              <w:bottom w:val="single" w:sz="4" w:space="0" w:color="000000"/>
              <w:right w:val="single" w:sz="4" w:space="0" w:color="000000"/>
            </w:tcBorders>
            <w:shd w:val="clear" w:color="auto" w:fill="E7E6E6"/>
            <w:vAlign w:val="bottom"/>
          </w:tcPr>
          <w:p w14:paraId="6223B5B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729,000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EFE7C4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53F1967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7627212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5630F7D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30,046</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2FA1D9C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364,476</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F2CE19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902,092</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27D64095"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17863ED"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29E6618"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71BF8F3E"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5CE72646" w14:textId="77777777" w:rsidR="00533CD2" w:rsidRDefault="00533CD2"/>
        </w:tc>
      </w:tr>
      <w:tr w:rsidR="00533CD2" w14:paraId="5E289A7B"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5BAA9DE0"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B77848D"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324D775"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76A9338"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E9EC4F3"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BF696EA"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E085392" w14:textId="77777777" w:rsidR="00533CD2" w:rsidRDefault="00533CD2"/>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7AC33C"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A09B4E"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72D64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924A1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30287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8D699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17E80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2DDE5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B6879E"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7D8919"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014F9D"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57F11C"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50C9860E" w14:textId="77777777" w:rsidR="00533CD2" w:rsidRDefault="00533CD2"/>
        </w:tc>
      </w:tr>
      <w:tr w:rsidR="00533CD2" w14:paraId="76D6C06F"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56BB40E4"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8B54D5B"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E6596CB"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A56B173"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AE28277"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EB3C21A"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12A6C76" w14:textId="77777777" w:rsidR="00533CD2" w:rsidRDefault="00533CD2"/>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38FBF03"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C9FAF42"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513304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C30ABB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238C96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47941FA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890422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147D51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BC6F99E"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4B632500"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58F3B8E"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2EC8629"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56E3A8FC" w14:textId="77777777" w:rsidR="00533CD2" w:rsidRDefault="00533CD2"/>
        </w:tc>
      </w:tr>
      <w:tr w:rsidR="00533CD2" w14:paraId="3FBA874E" w14:textId="77777777">
        <w:tc>
          <w:tcPr>
            <w:tcW w:w="466" w:type="dxa"/>
            <w:vMerge w:val="restart"/>
            <w:tcBorders>
              <w:top w:val="single" w:sz="12" w:space="0" w:color="000000"/>
              <w:left w:val="single" w:sz="12" w:space="0" w:color="000000"/>
              <w:bottom w:val="single" w:sz="12" w:space="0" w:color="000000"/>
              <w:right w:val="single" w:sz="4" w:space="0" w:color="000000"/>
            </w:tcBorders>
            <w:shd w:val="clear" w:color="auto" w:fill="FFFFFF"/>
            <w:vAlign w:val="center"/>
          </w:tcPr>
          <w:p w14:paraId="27A149F4"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06.1</w:t>
            </w:r>
          </w:p>
        </w:tc>
        <w:tc>
          <w:tcPr>
            <w:tcW w:w="8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719ED135"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Indikátor výstupu</w:t>
            </w:r>
          </w:p>
        </w:tc>
        <w:tc>
          <w:tcPr>
            <w:tcW w:w="425"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74CCC79A"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74801</w:t>
            </w:r>
          </w:p>
        </w:tc>
        <w:tc>
          <w:tcPr>
            <w:tcW w:w="1276"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6F1247C4"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nově pořízených vozidel pro veřejnou dopravu</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2B582EE7"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Vozidla</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710C21C4"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EFRR</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797851D6"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17E885D7" w14:textId="77777777" w:rsidR="00533CD2" w:rsidRDefault="00533CD2">
            <w:pPr>
              <w:ind w:left="57" w:right="57"/>
              <w:jc w:val="both"/>
            </w:pP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4E634FC3" w14:textId="77777777" w:rsidR="00533CD2" w:rsidRDefault="00533CD2">
            <w:pPr>
              <w:ind w:left="57" w:right="57"/>
              <w:jc w:val="both"/>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52F7D0B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080E02E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1C91066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02B015C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68,000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8415EF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370,000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EE62A57"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142,000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1EF323F3"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0B6DAAB"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1EFD792"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592DC2D8"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val="restart"/>
            <w:tcBorders>
              <w:top w:val="single" w:sz="12" w:space="0" w:color="000000"/>
              <w:left w:val="single" w:sz="4" w:space="0" w:color="000000"/>
              <w:bottom w:val="single" w:sz="12" w:space="0" w:color="000000"/>
              <w:right w:val="single" w:sz="12" w:space="0" w:color="000000"/>
            </w:tcBorders>
            <w:shd w:val="clear" w:color="auto" w:fill="FFFFFF"/>
            <w:vAlign w:val="center"/>
          </w:tcPr>
          <w:p w14:paraId="4B98CB42" w14:textId="77777777" w:rsidR="00533CD2" w:rsidRDefault="00533CD2">
            <w:pPr>
              <w:keepLines/>
              <w:tabs>
                <w:tab w:val="left" w:pos="828"/>
              </w:tabs>
              <w:ind w:left="57" w:right="57"/>
              <w:rPr>
                <w:rFonts w:ascii="Arial" w:eastAsia="Arial" w:hAnsi="Arial" w:cs="Arial"/>
                <w:color w:val="000000"/>
                <w:sz w:val="14"/>
              </w:rPr>
            </w:pPr>
          </w:p>
        </w:tc>
      </w:tr>
      <w:tr w:rsidR="00533CD2" w14:paraId="7F8C23BB"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71E59D7D"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0D7C2AB"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053D025"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A64F3DB"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DEBFF49"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1AD6E7C"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5745228"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2A808A78"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204CF171"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D7395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BFAEC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A0B88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D4ABC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CFA24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9055E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3B7067"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540D30"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8AC83F"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31029C"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623DFFD3" w14:textId="77777777" w:rsidR="00533CD2" w:rsidRDefault="00533CD2"/>
        </w:tc>
      </w:tr>
      <w:tr w:rsidR="00533CD2" w14:paraId="317DE63B"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3E43B438"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665A8C7"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508AB5E"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8A2FD27"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FD6B05D"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A38A88B"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AA69E49"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25131C6E"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69366D7E"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136A3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DDB77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D405A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E9C51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39D82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25DB6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5F0837"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CADAE1"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3BCCB7"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2986A8"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051FD6BE" w14:textId="77777777" w:rsidR="00533CD2" w:rsidRDefault="00533CD2"/>
        </w:tc>
      </w:tr>
      <w:tr w:rsidR="00533CD2" w14:paraId="3D15F61E"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45F6298B"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FA4979C"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858F48B"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7AA4D2A"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B5F27D6"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C8825F1"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E24694A" w14:textId="77777777" w:rsidR="00533CD2" w:rsidRDefault="00533CD2"/>
        </w:tc>
        <w:tc>
          <w:tcPr>
            <w:tcW w:w="709" w:type="dxa"/>
            <w:tcBorders>
              <w:left w:val="single" w:sz="4" w:space="0" w:color="000000"/>
              <w:bottom w:val="single" w:sz="4" w:space="0" w:color="000000"/>
              <w:right w:val="single" w:sz="4" w:space="0" w:color="000000"/>
            </w:tcBorders>
            <w:shd w:val="clear" w:color="auto" w:fill="E7E6E6"/>
            <w:vAlign w:val="bottom"/>
          </w:tcPr>
          <w:p w14:paraId="65E8147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177,000</w:t>
            </w:r>
          </w:p>
        </w:tc>
        <w:tc>
          <w:tcPr>
            <w:tcW w:w="709" w:type="dxa"/>
            <w:tcBorders>
              <w:left w:val="single" w:sz="4" w:space="0" w:color="000000"/>
              <w:bottom w:val="single" w:sz="4" w:space="0" w:color="000000"/>
              <w:right w:val="single" w:sz="4" w:space="0" w:color="000000"/>
            </w:tcBorders>
            <w:shd w:val="clear" w:color="auto" w:fill="E7E6E6"/>
            <w:vAlign w:val="bottom"/>
          </w:tcPr>
          <w:p w14:paraId="13654E1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875,000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307127F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017DCC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2E7D2C7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31F7BD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68,000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39DFC25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438,000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582EB95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580,000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3898B50"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EB238D5"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363B02C5"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0E60CAC"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6480D270" w14:textId="77777777" w:rsidR="00533CD2" w:rsidRDefault="00533CD2"/>
        </w:tc>
      </w:tr>
      <w:tr w:rsidR="00533CD2" w14:paraId="5BA6DD65"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0E8FB82A"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A98DFE0"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5D16C32"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E306926"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23E8602"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3A7E532"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B10B3A4" w14:textId="77777777" w:rsidR="00533CD2" w:rsidRDefault="00533CD2"/>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C85374"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363773"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F9F3F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12407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403CB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65513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EA12B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DD890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DE4CAB"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3043BE"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A3A12B"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6AE3F6"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32B81914" w14:textId="77777777" w:rsidR="00533CD2" w:rsidRDefault="00533CD2"/>
        </w:tc>
      </w:tr>
      <w:tr w:rsidR="00533CD2" w14:paraId="2224F9E0"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2B885052"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77E3175"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F3C1CE9"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02DF475"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E07EFDD"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189D670"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FF468EB" w14:textId="77777777" w:rsidR="00533CD2" w:rsidRDefault="00533CD2"/>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E69DE3B"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E7F559F"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604ACF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C6BA73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8FBBB9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C58169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4A67D2C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0C0D3AE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298EB35"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F843ACD"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ED0AFB4"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6F14F26"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52765EF0" w14:textId="77777777" w:rsidR="00533CD2" w:rsidRDefault="00533CD2"/>
        </w:tc>
      </w:tr>
      <w:tr w:rsidR="00533CD2" w14:paraId="0CA9E904" w14:textId="77777777">
        <w:tc>
          <w:tcPr>
            <w:tcW w:w="466" w:type="dxa"/>
            <w:vMerge w:val="restart"/>
            <w:tcBorders>
              <w:top w:val="single" w:sz="12" w:space="0" w:color="000000"/>
              <w:left w:val="single" w:sz="12" w:space="0" w:color="000000"/>
              <w:bottom w:val="single" w:sz="12" w:space="0" w:color="000000"/>
              <w:right w:val="single" w:sz="4" w:space="0" w:color="000000"/>
            </w:tcBorders>
            <w:shd w:val="clear" w:color="auto" w:fill="FFFFFF"/>
            <w:vAlign w:val="center"/>
          </w:tcPr>
          <w:p w14:paraId="7F92D44C"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06.1</w:t>
            </w:r>
          </w:p>
        </w:tc>
        <w:tc>
          <w:tcPr>
            <w:tcW w:w="8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3EE76437"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Indikátor výstupu</w:t>
            </w:r>
          </w:p>
        </w:tc>
        <w:tc>
          <w:tcPr>
            <w:tcW w:w="425"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4DFC6E84"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75201</w:t>
            </w:r>
          </w:p>
        </w:tc>
        <w:tc>
          <w:tcPr>
            <w:tcW w:w="1276"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6828A44E"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nových nebo rekonstruovaných přestupních terminálů ve veřejné dopravě</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7A3422D1"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Terminály</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3D28AE00"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EFRR</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5CA81C6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3857670D" w14:textId="77777777" w:rsidR="00533CD2" w:rsidRDefault="00533CD2">
            <w:pPr>
              <w:ind w:left="57" w:right="57"/>
              <w:jc w:val="both"/>
            </w:pP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0C193551" w14:textId="77777777" w:rsidR="00533CD2" w:rsidRDefault="00533CD2">
            <w:pPr>
              <w:ind w:left="57" w:right="57"/>
              <w:jc w:val="both"/>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E1F24D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4BD61437"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6ED26B5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196C5E3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6D664E3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08D2D08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1A97526B"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A419841"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017AD719"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609A999F"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val="restart"/>
            <w:tcBorders>
              <w:top w:val="single" w:sz="12" w:space="0" w:color="000000"/>
              <w:left w:val="single" w:sz="4" w:space="0" w:color="000000"/>
              <w:bottom w:val="single" w:sz="12" w:space="0" w:color="000000"/>
              <w:right w:val="single" w:sz="12" w:space="0" w:color="000000"/>
            </w:tcBorders>
            <w:shd w:val="clear" w:color="auto" w:fill="FFFFFF"/>
            <w:vAlign w:val="center"/>
          </w:tcPr>
          <w:p w14:paraId="260443CD" w14:textId="77777777" w:rsidR="00533CD2" w:rsidRDefault="00533CD2">
            <w:pPr>
              <w:keepLines/>
              <w:tabs>
                <w:tab w:val="left" w:pos="828"/>
              </w:tabs>
              <w:ind w:left="57" w:right="57"/>
              <w:rPr>
                <w:rFonts w:ascii="Arial" w:eastAsia="Arial" w:hAnsi="Arial" w:cs="Arial"/>
                <w:color w:val="000000"/>
                <w:sz w:val="14"/>
              </w:rPr>
            </w:pPr>
          </w:p>
        </w:tc>
      </w:tr>
      <w:tr w:rsidR="00533CD2" w14:paraId="67DA2F00"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6D5CF440"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2132520"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384096D"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B6A7B69"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F0D1256"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38520A6"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54224A6"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7584AB73"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7DB24EFD"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8D359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4EFC6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3543D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77B1A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E7D9E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9FDC5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D4085C"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5191B5"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4F8FE3"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4FEE13"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466D3D6C" w14:textId="77777777" w:rsidR="00533CD2" w:rsidRDefault="00533CD2"/>
        </w:tc>
      </w:tr>
      <w:tr w:rsidR="00533CD2" w14:paraId="754385EF"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3849F9E1"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903EF47"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6FF35A8"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7BA5715"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2AB8D96"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A635583"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FD447E7"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2DD73410"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33F51B86"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2DAD5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60F4D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9E67E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04C37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CA744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DBCAC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FEAE86"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7A250B"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EBF315"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D94F88"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20CD0B9F" w14:textId="77777777" w:rsidR="00533CD2" w:rsidRDefault="00533CD2"/>
        </w:tc>
      </w:tr>
      <w:tr w:rsidR="00533CD2" w14:paraId="251B01D8"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3A76245A"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15D545B"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47A01B9"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7A0E7CD"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2E99C42"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71C6252"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6F4D588" w14:textId="77777777" w:rsidR="00533CD2" w:rsidRDefault="00533CD2"/>
        </w:tc>
        <w:tc>
          <w:tcPr>
            <w:tcW w:w="709" w:type="dxa"/>
            <w:tcBorders>
              <w:left w:val="single" w:sz="4" w:space="0" w:color="000000"/>
              <w:bottom w:val="single" w:sz="4" w:space="0" w:color="000000"/>
              <w:right w:val="single" w:sz="4" w:space="0" w:color="000000"/>
            </w:tcBorders>
            <w:shd w:val="clear" w:color="auto" w:fill="E7E6E6"/>
            <w:vAlign w:val="bottom"/>
          </w:tcPr>
          <w:p w14:paraId="49B0920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28,000</w:t>
            </w:r>
          </w:p>
        </w:tc>
        <w:tc>
          <w:tcPr>
            <w:tcW w:w="709" w:type="dxa"/>
            <w:tcBorders>
              <w:left w:val="single" w:sz="4" w:space="0" w:color="000000"/>
              <w:bottom w:val="single" w:sz="4" w:space="0" w:color="000000"/>
              <w:right w:val="single" w:sz="4" w:space="0" w:color="000000"/>
            </w:tcBorders>
            <w:shd w:val="clear" w:color="auto" w:fill="E7E6E6"/>
            <w:vAlign w:val="bottom"/>
          </w:tcPr>
          <w:p w14:paraId="15E0002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100,000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D727C3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3C13E54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24ECCF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419540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5ABA656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23,000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3BD0920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37,000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B7F1B8A"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65066C8"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3583E4D8"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FEEF24F"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2CD29140" w14:textId="77777777" w:rsidR="00533CD2" w:rsidRDefault="00533CD2"/>
        </w:tc>
      </w:tr>
      <w:tr w:rsidR="00533CD2" w14:paraId="5A3BBACB"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18227AC9"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DCD3726"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4C9AD9B"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815F671"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D9C0C71"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6961826"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729667B" w14:textId="77777777" w:rsidR="00533CD2" w:rsidRDefault="00533CD2"/>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D867B"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2CD1A8"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7403F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C987E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6E987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DB928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920117"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40AF5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936A3C"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5F3A2A"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474A34"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F68AC7"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0736BEA0" w14:textId="77777777" w:rsidR="00533CD2" w:rsidRDefault="00533CD2"/>
        </w:tc>
      </w:tr>
      <w:tr w:rsidR="00533CD2" w14:paraId="7A94B409"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4079E034"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E9AF84B"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A342113"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CE5A8D8"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18B6999"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C5EC144"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A290766" w14:textId="77777777" w:rsidR="00533CD2" w:rsidRDefault="00533CD2"/>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30DA8A7"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E0BC4EA"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048E325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E2D9AE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69B85D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769D28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1BF88C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0BEFD39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0A948399"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E894C36"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43DA654"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C22E850"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62373262" w14:textId="77777777" w:rsidR="00533CD2" w:rsidRDefault="00533CD2"/>
        </w:tc>
      </w:tr>
      <w:tr w:rsidR="00533CD2" w14:paraId="2CD74680" w14:textId="77777777">
        <w:tc>
          <w:tcPr>
            <w:tcW w:w="466" w:type="dxa"/>
            <w:vMerge w:val="restart"/>
            <w:tcBorders>
              <w:top w:val="single" w:sz="12" w:space="0" w:color="000000"/>
              <w:left w:val="single" w:sz="12" w:space="0" w:color="000000"/>
              <w:bottom w:val="single" w:sz="12" w:space="0" w:color="000000"/>
              <w:right w:val="single" w:sz="4" w:space="0" w:color="000000"/>
            </w:tcBorders>
            <w:shd w:val="clear" w:color="auto" w:fill="FFFFFF"/>
            <w:vAlign w:val="center"/>
          </w:tcPr>
          <w:p w14:paraId="35CBC6B0"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06.1</w:t>
            </w:r>
          </w:p>
        </w:tc>
        <w:tc>
          <w:tcPr>
            <w:tcW w:w="8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65922CD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Finanční ukazatel</w:t>
            </w:r>
          </w:p>
        </w:tc>
        <w:tc>
          <w:tcPr>
            <w:tcW w:w="425"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33D0462C"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FINMT</w:t>
            </w:r>
          </w:p>
        </w:tc>
        <w:tc>
          <w:tcPr>
            <w:tcW w:w="1276"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5820D3A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Celkové certifikované způsobilé výdaje</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7E65C846"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Euro</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21C10E42"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EFRR</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064CB1F4"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4753850E" w14:textId="77777777" w:rsidR="00533CD2" w:rsidRDefault="00533CD2">
            <w:pPr>
              <w:ind w:left="57" w:right="57"/>
              <w:jc w:val="both"/>
            </w:pP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6A243264" w14:textId="77777777" w:rsidR="00533CD2" w:rsidRDefault="00533CD2">
            <w:pPr>
              <w:ind w:left="57" w:right="57"/>
              <w:jc w:val="both"/>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09AE0B0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4EA108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528967C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4 791,290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C5F41F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79 114 137,940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6D737B0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435 974 583,270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02446A2F" w14:textId="27061CD9" w:rsidR="00533CD2" w:rsidRDefault="009D40B8">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230</w:t>
            </w:r>
            <w:r w:rsidR="0046046C">
              <w:rPr>
                <w:rFonts w:ascii="Arial" w:eastAsia="Arial" w:hAnsi="Arial" w:cs="Arial"/>
                <w:color w:val="000000"/>
                <w:sz w:val="14"/>
              </w:rPr>
              <w:t> </w:t>
            </w:r>
            <w:r>
              <w:rPr>
                <w:rFonts w:ascii="Arial" w:eastAsia="Arial" w:hAnsi="Arial" w:cs="Arial"/>
                <w:color w:val="000000"/>
                <w:sz w:val="14"/>
              </w:rPr>
              <w:t>539</w:t>
            </w:r>
            <w:r w:rsidR="0046046C">
              <w:rPr>
                <w:rFonts w:ascii="Arial" w:eastAsia="Arial" w:hAnsi="Arial" w:cs="Arial"/>
                <w:color w:val="000000"/>
                <w:sz w:val="14"/>
              </w:rPr>
              <w:t> </w:t>
            </w:r>
            <w:r>
              <w:rPr>
                <w:rFonts w:ascii="Arial" w:eastAsia="Arial" w:hAnsi="Arial" w:cs="Arial"/>
                <w:color w:val="000000"/>
                <w:sz w:val="14"/>
              </w:rPr>
              <w:t>703</w:t>
            </w:r>
            <w:r w:rsidR="0046046C">
              <w:rPr>
                <w:rFonts w:ascii="Arial" w:eastAsia="Arial" w:hAnsi="Arial" w:cs="Arial"/>
                <w:color w:val="000000"/>
                <w:sz w:val="14"/>
              </w:rPr>
              <w:t>,</w:t>
            </w:r>
            <w:r>
              <w:rPr>
                <w:rFonts w:ascii="Arial" w:eastAsia="Arial" w:hAnsi="Arial" w:cs="Arial"/>
                <w:color w:val="000000"/>
                <w:sz w:val="14"/>
              </w:rPr>
              <w:t>14</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15AA3311"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D75CA2D"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6AD9F743"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46EFBA27"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val="restart"/>
            <w:tcBorders>
              <w:top w:val="single" w:sz="12" w:space="0" w:color="000000"/>
              <w:left w:val="single" w:sz="4" w:space="0" w:color="000000"/>
              <w:bottom w:val="single" w:sz="12" w:space="0" w:color="000000"/>
              <w:right w:val="single" w:sz="12" w:space="0" w:color="000000"/>
            </w:tcBorders>
            <w:shd w:val="clear" w:color="auto" w:fill="FFFFFF"/>
            <w:vAlign w:val="center"/>
          </w:tcPr>
          <w:p w14:paraId="75C54AE6" w14:textId="77777777" w:rsidR="00533CD2" w:rsidRDefault="00533CD2">
            <w:pPr>
              <w:keepLines/>
              <w:tabs>
                <w:tab w:val="left" w:pos="828"/>
              </w:tabs>
              <w:ind w:left="57" w:right="57"/>
              <w:rPr>
                <w:rFonts w:ascii="Arial" w:eastAsia="Arial" w:hAnsi="Arial" w:cs="Arial"/>
                <w:color w:val="000000"/>
                <w:sz w:val="14"/>
              </w:rPr>
            </w:pPr>
          </w:p>
        </w:tc>
      </w:tr>
      <w:tr w:rsidR="00533CD2" w14:paraId="67C21964"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59B87A89"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541B20A"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457DC10"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9A20EA8"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9190964"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08A0A4F"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ABA4F65"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28848F3D"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0077DDD2"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857FC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83E1D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7CC83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18ED5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56383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B84BE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440122"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EC3BA2"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B89E3B"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9AF1E2"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633E4AA2" w14:textId="77777777" w:rsidR="00533CD2" w:rsidRDefault="00533CD2"/>
        </w:tc>
      </w:tr>
      <w:tr w:rsidR="00533CD2" w14:paraId="7570E394"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1C550ACA"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58BABB9"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A477E7E"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3CCA103"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C499F85"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F798A56"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4BCB0A0"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15D0CA7C"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05F4C128"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A2C14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DE491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A5DD7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2D818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CF28C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5D3DF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1F832D"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F829A4"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625FAE"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FD6DA7"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3C647889" w14:textId="77777777" w:rsidR="00533CD2" w:rsidRDefault="00533CD2"/>
        </w:tc>
      </w:tr>
      <w:tr w:rsidR="00533CD2" w14:paraId="3CB309AA"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06D78D5F"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6571882"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653E009"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AC68492"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CD8C3EF"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2E17B13"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F3B33CF" w14:textId="77777777" w:rsidR="00533CD2" w:rsidRDefault="00533CD2"/>
        </w:tc>
        <w:tc>
          <w:tcPr>
            <w:tcW w:w="709" w:type="dxa"/>
            <w:tcBorders>
              <w:left w:val="single" w:sz="4" w:space="0" w:color="000000"/>
              <w:bottom w:val="single" w:sz="4" w:space="0" w:color="000000"/>
              <w:right w:val="single" w:sz="4" w:space="0" w:color="000000"/>
            </w:tcBorders>
            <w:shd w:val="clear" w:color="auto" w:fill="E7E6E6"/>
            <w:vAlign w:val="bottom"/>
          </w:tcPr>
          <w:p w14:paraId="4D3F76F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357 718 082,000</w:t>
            </w:r>
          </w:p>
        </w:tc>
        <w:tc>
          <w:tcPr>
            <w:tcW w:w="709" w:type="dxa"/>
            <w:tcBorders>
              <w:left w:val="single" w:sz="4" w:space="0" w:color="000000"/>
              <w:bottom w:val="single" w:sz="4" w:space="0" w:color="000000"/>
              <w:right w:val="single" w:sz="4" w:space="0" w:color="000000"/>
            </w:tcBorders>
            <w:shd w:val="clear" w:color="auto" w:fill="E7E6E6"/>
            <w:vAlign w:val="bottom"/>
          </w:tcPr>
          <w:p w14:paraId="16C4022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2 004 974 528,000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789367E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A05418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6AF148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4 791,290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5B38C5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79 118 929,230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41C6EE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515 093 512,500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21D85B35" w14:textId="13AEA794" w:rsidR="00533CD2" w:rsidRDefault="0078789E">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745</w:t>
            </w:r>
            <w:r w:rsidR="0046046C">
              <w:rPr>
                <w:rFonts w:ascii="Arial" w:eastAsia="Arial" w:hAnsi="Arial" w:cs="Arial"/>
                <w:color w:val="000000"/>
                <w:sz w:val="14"/>
              </w:rPr>
              <w:t> </w:t>
            </w:r>
            <w:r>
              <w:rPr>
                <w:rFonts w:ascii="Arial" w:eastAsia="Arial" w:hAnsi="Arial" w:cs="Arial"/>
                <w:color w:val="000000"/>
                <w:sz w:val="14"/>
              </w:rPr>
              <w:t>633</w:t>
            </w:r>
            <w:r w:rsidR="0046046C">
              <w:rPr>
                <w:rFonts w:ascii="Arial" w:eastAsia="Arial" w:hAnsi="Arial" w:cs="Arial"/>
                <w:color w:val="000000"/>
                <w:sz w:val="14"/>
              </w:rPr>
              <w:t> </w:t>
            </w:r>
            <w:r>
              <w:rPr>
                <w:rFonts w:ascii="Arial" w:eastAsia="Arial" w:hAnsi="Arial" w:cs="Arial"/>
                <w:color w:val="000000"/>
                <w:sz w:val="14"/>
              </w:rPr>
              <w:t>21</w:t>
            </w:r>
            <w:r w:rsidR="0046046C">
              <w:rPr>
                <w:rFonts w:ascii="Arial" w:eastAsia="Arial" w:hAnsi="Arial" w:cs="Arial"/>
                <w:color w:val="000000"/>
                <w:sz w:val="14"/>
              </w:rPr>
              <w:t>5,</w:t>
            </w:r>
            <w:r>
              <w:rPr>
                <w:rFonts w:ascii="Arial" w:eastAsia="Arial" w:hAnsi="Arial" w:cs="Arial"/>
                <w:color w:val="000000"/>
                <w:sz w:val="14"/>
              </w:rPr>
              <w:t>64</w:t>
            </w:r>
            <w:r w:rsidR="0046046C">
              <w:rPr>
                <w:rFonts w:ascii="Arial" w:eastAsia="Arial" w:hAnsi="Arial" w:cs="Arial"/>
                <w:color w:val="000000"/>
                <w:sz w:val="14"/>
              </w:rPr>
              <w:t>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42FC352"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3764C3B5"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2FB4C2F5"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4A8006E"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7C25441D" w14:textId="77777777" w:rsidR="00533CD2" w:rsidRDefault="00533CD2"/>
        </w:tc>
      </w:tr>
      <w:tr w:rsidR="00533CD2" w14:paraId="7A72F659"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3B86A5C9"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792E07E"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8BB1EC3"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D97E246"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6D0838E"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853962F"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9B55A60" w14:textId="77777777" w:rsidR="00533CD2" w:rsidRDefault="00533CD2"/>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58CB6D"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80D111"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E1430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D64DA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6E944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3C3F7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5C7F5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8F14A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1782BC"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FF581D"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E42700"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B91C5E"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5582152B" w14:textId="77777777" w:rsidR="00533CD2" w:rsidRDefault="00533CD2"/>
        </w:tc>
      </w:tr>
      <w:tr w:rsidR="00533CD2" w14:paraId="5A3D6057"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2761AB78"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8FBED3D"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3C9246A"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686B585"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8EEA64E"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66EC2E5"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237ACC0" w14:textId="77777777" w:rsidR="00533CD2" w:rsidRDefault="00533CD2"/>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CEB0841"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0FA8A2E6"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37DF9A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2DEE93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CA688C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BD9F5E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3BCC22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B70C3B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010CE7F"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FCEAC83"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6BCF747"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4A6748E4"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77643475" w14:textId="77777777" w:rsidR="00533CD2" w:rsidRDefault="00533CD2"/>
        </w:tc>
      </w:tr>
      <w:tr w:rsidR="00533CD2" w14:paraId="4B6C0A99" w14:textId="77777777">
        <w:tc>
          <w:tcPr>
            <w:tcW w:w="466" w:type="dxa"/>
            <w:vMerge w:val="restart"/>
            <w:tcBorders>
              <w:top w:val="single" w:sz="12" w:space="0" w:color="000000"/>
              <w:left w:val="single" w:sz="12" w:space="0" w:color="000000"/>
              <w:bottom w:val="single" w:sz="12" w:space="0" w:color="000000"/>
              <w:right w:val="single" w:sz="4" w:space="0" w:color="000000"/>
            </w:tcBorders>
            <w:shd w:val="clear" w:color="auto" w:fill="FFFFFF"/>
            <w:vAlign w:val="center"/>
          </w:tcPr>
          <w:p w14:paraId="7FA5E2E9"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06.2</w:t>
            </w:r>
          </w:p>
        </w:tc>
        <w:tc>
          <w:tcPr>
            <w:tcW w:w="8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19FF07C6"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Indikátor výstupu</w:t>
            </w:r>
          </w:p>
        </w:tc>
        <w:tc>
          <w:tcPr>
            <w:tcW w:w="425"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67D9E59C"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10000</w:t>
            </w:r>
          </w:p>
        </w:tc>
        <w:tc>
          <w:tcPr>
            <w:tcW w:w="1276"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2D4A71BB"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podniků pobírajících podporu</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1BF9E788"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Podniky</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5D3402A7"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EFRR</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2F56ADF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2B5D9D46" w14:textId="77777777" w:rsidR="00533CD2" w:rsidRDefault="00533CD2">
            <w:pPr>
              <w:ind w:left="57" w:right="57"/>
              <w:jc w:val="both"/>
            </w:pP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41676284" w14:textId="77777777" w:rsidR="00533CD2" w:rsidRDefault="00533CD2">
            <w:pPr>
              <w:ind w:left="57" w:right="57"/>
              <w:jc w:val="both"/>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63B44D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1ACD7CC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58386B0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076EE71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44A4981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96B039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42,000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1976A1C3"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72875E7"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6640045E"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40F48841"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val="restart"/>
            <w:tcBorders>
              <w:top w:val="single" w:sz="12" w:space="0" w:color="000000"/>
              <w:left w:val="single" w:sz="4" w:space="0" w:color="000000"/>
              <w:bottom w:val="single" w:sz="12" w:space="0" w:color="000000"/>
              <w:right w:val="single" w:sz="12" w:space="0" w:color="000000"/>
            </w:tcBorders>
            <w:shd w:val="clear" w:color="auto" w:fill="FFFFFF"/>
            <w:vAlign w:val="center"/>
          </w:tcPr>
          <w:p w14:paraId="001BF3FE" w14:textId="77777777" w:rsidR="00533CD2" w:rsidRDefault="00533CD2">
            <w:pPr>
              <w:keepLines/>
              <w:tabs>
                <w:tab w:val="left" w:pos="828"/>
              </w:tabs>
              <w:ind w:left="57" w:right="57"/>
              <w:rPr>
                <w:rFonts w:ascii="Arial" w:eastAsia="Arial" w:hAnsi="Arial" w:cs="Arial"/>
                <w:color w:val="000000"/>
                <w:sz w:val="14"/>
              </w:rPr>
            </w:pPr>
          </w:p>
        </w:tc>
      </w:tr>
      <w:tr w:rsidR="00533CD2" w14:paraId="0ED9587C"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0ADF79AF"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A4BF83B"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F7EB81E"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B6A11B8"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F3689DF"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A541B88"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7B1236C"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21A8B91B"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60D2169A"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B9EAF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77B11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D285F7"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6A4C2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F8D5C7"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2E0A1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44C854"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C6010E"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234BF4"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25AFA0"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55CF5AC0" w14:textId="77777777" w:rsidR="00533CD2" w:rsidRDefault="00533CD2"/>
        </w:tc>
      </w:tr>
      <w:tr w:rsidR="00533CD2" w14:paraId="00F87DC8"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432453A1"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3A9255F"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B0B9E34"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7C111EC"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4D96D45"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4419E13"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45A069D"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0CBC61FF"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32082684"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BA563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8B5C8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69259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D50D5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6EA95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6422F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9D15F8"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60C18E"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EE4519"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DD81C3"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0FC7D9BA" w14:textId="77777777" w:rsidR="00533CD2" w:rsidRDefault="00533CD2"/>
        </w:tc>
      </w:tr>
      <w:tr w:rsidR="00533CD2" w14:paraId="6D77BD79"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57FE0087"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6670E97"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AA78A19"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869D9B8"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FD22C67"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CFE4CFA"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2DBD953" w14:textId="77777777" w:rsidR="00533CD2" w:rsidRDefault="00533CD2"/>
        </w:tc>
        <w:tc>
          <w:tcPr>
            <w:tcW w:w="709" w:type="dxa"/>
            <w:tcBorders>
              <w:left w:val="single" w:sz="4" w:space="0" w:color="000000"/>
              <w:bottom w:val="single" w:sz="4" w:space="0" w:color="000000"/>
              <w:right w:val="single" w:sz="4" w:space="0" w:color="000000"/>
            </w:tcBorders>
            <w:shd w:val="clear" w:color="auto" w:fill="E7E6E6"/>
            <w:vAlign w:val="bottom"/>
          </w:tcPr>
          <w:p w14:paraId="272D426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55,000</w:t>
            </w:r>
          </w:p>
        </w:tc>
        <w:tc>
          <w:tcPr>
            <w:tcW w:w="709" w:type="dxa"/>
            <w:tcBorders>
              <w:left w:val="single" w:sz="4" w:space="0" w:color="000000"/>
              <w:bottom w:val="single" w:sz="4" w:space="0" w:color="000000"/>
              <w:right w:val="single" w:sz="4" w:space="0" w:color="000000"/>
            </w:tcBorders>
            <w:shd w:val="clear" w:color="auto" w:fill="E7E6E6"/>
            <w:vAlign w:val="bottom"/>
          </w:tcPr>
          <w:p w14:paraId="0E5A6AC7"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383,000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3DBF0E9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59F767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3190BB9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879CCE7"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3B6781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45,000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5A2A9AD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87,000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2F84288A"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7C141391"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293F8EEC"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65AC749"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639BDCF0" w14:textId="77777777" w:rsidR="00533CD2" w:rsidRDefault="00533CD2"/>
        </w:tc>
      </w:tr>
      <w:tr w:rsidR="00533CD2" w14:paraId="5EA13D18"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25ACC671"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0459DB6"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9C045F4"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0487EC7"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83469AB"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DC682A3"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38E85ED" w14:textId="77777777" w:rsidR="00533CD2" w:rsidRDefault="00533CD2"/>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B49F59"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5219C3"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B30E3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34BBD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1787A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BC6D0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B0AC4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CE9CF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68F3AA"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58C095"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E10FD6"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295A4F"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727A732B" w14:textId="77777777" w:rsidR="00533CD2" w:rsidRDefault="00533CD2"/>
        </w:tc>
      </w:tr>
      <w:tr w:rsidR="00533CD2" w14:paraId="79E52D54"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6AB1A0F3"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B78854F"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99F0B48"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5808BFF"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F876A03"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8FACDA7"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8B07455" w14:textId="77777777" w:rsidR="00533CD2" w:rsidRDefault="00533CD2"/>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46BB3AD"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2D8C2AD"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0B11D9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5CA2E2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4858B26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0DC01FE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E94097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03C682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873BFE3"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B9531A5"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59E5A0A"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6F0F5F7"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1518F7C0" w14:textId="77777777" w:rsidR="00533CD2" w:rsidRDefault="00533CD2"/>
        </w:tc>
      </w:tr>
      <w:tr w:rsidR="00533CD2" w14:paraId="2B44B951" w14:textId="77777777">
        <w:tc>
          <w:tcPr>
            <w:tcW w:w="466" w:type="dxa"/>
            <w:vMerge w:val="restart"/>
            <w:tcBorders>
              <w:top w:val="single" w:sz="12" w:space="0" w:color="000000"/>
              <w:left w:val="single" w:sz="12" w:space="0" w:color="000000"/>
              <w:bottom w:val="single" w:sz="12" w:space="0" w:color="000000"/>
              <w:right w:val="single" w:sz="4" w:space="0" w:color="000000"/>
            </w:tcBorders>
            <w:shd w:val="clear" w:color="auto" w:fill="FFFFFF"/>
            <w:vAlign w:val="center"/>
          </w:tcPr>
          <w:p w14:paraId="6808F2A3"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06.2</w:t>
            </w:r>
          </w:p>
        </w:tc>
        <w:tc>
          <w:tcPr>
            <w:tcW w:w="8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3A51529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Indikátor výstupu</w:t>
            </w:r>
          </w:p>
        </w:tc>
        <w:tc>
          <w:tcPr>
            <w:tcW w:w="425"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5CDB7DD1"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32401</w:t>
            </w:r>
          </w:p>
        </w:tc>
        <w:tc>
          <w:tcPr>
            <w:tcW w:w="1276"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6B76B5E1"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domácností s lépe klasifikovanou spotřebou energie</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442C7BB7"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Domácnosti</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7992E26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EFRR</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1305BD0E"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5E3277F5" w14:textId="77777777" w:rsidR="00533CD2" w:rsidRDefault="00533CD2">
            <w:pPr>
              <w:ind w:left="57" w:right="57"/>
              <w:jc w:val="both"/>
            </w:pP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5130E2D8" w14:textId="77777777" w:rsidR="00533CD2" w:rsidRDefault="00533CD2">
            <w:pPr>
              <w:ind w:left="57" w:right="57"/>
              <w:jc w:val="both"/>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5B7B677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283C0DE7"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22EE251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46,000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2510E85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5 552,000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14AD884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15 042,000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6050DFC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14 625,000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19A4ED85"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6738CB33"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08D85319"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6DF8AB50"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val="restart"/>
            <w:tcBorders>
              <w:top w:val="single" w:sz="12" w:space="0" w:color="000000"/>
              <w:left w:val="single" w:sz="4" w:space="0" w:color="000000"/>
              <w:bottom w:val="single" w:sz="12" w:space="0" w:color="000000"/>
              <w:right w:val="single" w:sz="12" w:space="0" w:color="000000"/>
            </w:tcBorders>
            <w:shd w:val="clear" w:color="auto" w:fill="FFFFFF"/>
            <w:vAlign w:val="center"/>
          </w:tcPr>
          <w:p w14:paraId="77D115F8" w14:textId="77777777" w:rsidR="00533CD2" w:rsidRDefault="00533CD2">
            <w:pPr>
              <w:keepLines/>
              <w:tabs>
                <w:tab w:val="left" w:pos="828"/>
              </w:tabs>
              <w:ind w:left="57" w:right="57"/>
              <w:rPr>
                <w:rFonts w:ascii="Arial" w:eastAsia="Arial" w:hAnsi="Arial" w:cs="Arial"/>
                <w:color w:val="000000"/>
                <w:sz w:val="14"/>
              </w:rPr>
            </w:pPr>
          </w:p>
        </w:tc>
      </w:tr>
      <w:tr w:rsidR="00533CD2" w14:paraId="1AAF32EC"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06861366"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0A2E1A8"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3B7CD4F"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D4C4364"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1C21831"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E26C081"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FB3F141"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053AFCAB"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42FBEC7C"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AC2C0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21363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29047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9D1D1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71458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8648C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A1EABB"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6E0E0"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DDBC27"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8808A5"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74C09208" w14:textId="77777777" w:rsidR="00533CD2" w:rsidRDefault="00533CD2"/>
        </w:tc>
      </w:tr>
      <w:tr w:rsidR="00533CD2" w14:paraId="78084E5C"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4E413E82"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807D299"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F271B77"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A555C94"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7CD6404"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D82EDE2"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2ECB777"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0E472B32"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5B50E445"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52135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BDD0F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0783E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5D0B6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8BC61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3A248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97811E"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413955"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415F1F"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EB222C"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2F8AB9D8" w14:textId="77777777" w:rsidR="00533CD2" w:rsidRDefault="00533CD2"/>
        </w:tc>
      </w:tr>
      <w:tr w:rsidR="00533CD2" w14:paraId="0CB678DB"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71B316C8"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E7DDE21"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DBF9259"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95E2BA2"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CBCD4BF"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33A76A1"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4E5F71F" w14:textId="77777777" w:rsidR="00533CD2" w:rsidRDefault="00533CD2"/>
        </w:tc>
        <w:tc>
          <w:tcPr>
            <w:tcW w:w="709" w:type="dxa"/>
            <w:tcBorders>
              <w:left w:val="single" w:sz="4" w:space="0" w:color="000000"/>
              <w:bottom w:val="single" w:sz="4" w:space="0" w:color="000000"/>
              <w:right w:val="single" w:sz="4" w:space="0" w:color="000000"/>
            </w:tcBorders>
            <w:shd w:val="clear" w:color="auto" w:fill="E7E6E6"/>
            <w:vAlign w:val="bottom"/>
          </w:tcPr>
          <w:p w14:paraId="15464B0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20 000,000</w:t>
            </w:r>
          </w:p>
        </w:tc>
        <w:tc>
          <w:tcPr>
            <w:tcW w:w="709" w:type="dxa"/>
            <w:tcBorders>
              <w:left w:val="single" w:sz="4" w:space="0" w:color="000000"/>
              <w:bottom w:val="single" w:sz="4" w:space="0" w:color="000000"/>
              <w:right w:val="single" w:sz="4" w:space="0" w:color="000000"/>
            </w:tcBorders>
            <w:shd w:val="clear" w:color="auto" w:fill="E7E6E6"/>
            <w:vAlign w:val="bottom"/>
          </w:tcPr>
          <w:p w14:paraId="44B96BE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84 990,000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86CD89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22BD7BE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5A48555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46,000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23FDE7E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5 598,000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5EB777B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20 640,000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3F77A02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35 265,000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B481D15"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890A6D0"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705C60E3"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22FDD0D0"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7E408836" w14:textId="77777777" w:rsidR="00533CD2" w:rsidRDefault="00533CD2"/>
        </w:tc>
      </w:tr>
      <w:tr w:rsidR="00533CD2" w14:paraId="06376730"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4F471923"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59C3AAA"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5837BA1"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02A8A4F"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B08C2BB"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A234518"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61E764B" w14:textId="77777777" w:rsidR="00533CD2" w:rsidRDefault="00533CD2"/>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AD0D84"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EC3494"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A9F16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9DC10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02D227"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450D3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19CCA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CD074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9DC647"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CC5934"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86D756"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FFE7F8"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2E72D3E3" w14:textId="77777777" w:rsidR="00533CD2" w:rsidRDefault="00533CD2"/>
        </w:tc>
      </w:tr>
      <w:tr w:rsidR="00533CD2" w14:paraId="3D147278"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167E5E01"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8E8FD5F"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D4CD10B"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6FC814B"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FF8DC1C"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920EB0C"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EE61322" w14:textId="77777777" w:rsidR="00533CD2" w:rsidRDefault="00533CD2"/>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B78EF25"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97B3895"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736734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EF28CF7"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A16D5E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91876E7"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A96450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1E3C1F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995DE94"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5889B2B"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4B5C4CC"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C4B8979"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18E5A5C0" w14:textId="77777777" w:rsidR="00533CD2" w:rsidRDefault="00533CD2"/>
        </w:tc>
      </w:tr>
      <w:tr w:rsidR="00533CD2" w14:paraId="1C0DFFD0" w14:textId="77777777">
        <w:tc>
          <w:tcPr>
            <w:tcW w:w="466" w:type="dxa"/>
            <w:vMerge w:val="restart"/>
            <w:tcBorders>
              <w:top w:val="single" w:sz="12" w:space="0" w:color="000000"/>
              <w:left w:val="single" w:sz="12" w:space="0" w:color="000000"/>
              <w:bottom w:val="single" w:sz="12" w:space="0" w:color="000000"/>
              <w:right w:val="single" w:sz="4" w:space="0" w:color="000000"/>
            </w:tcBorders>
            <w:shd w:val="clear" w:color="auto" w:fill="FFFFFF"/>
            <w:vAlign w:val="center"/>
          </w:tcPr>
          <w:p w14:paraId="54783684"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06.2</w:t>
            </w:r>
          </w:p>
        </w:tc>
        <w:tc>
          <w:tcPr>
            <w:tcW w:w="8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22D04663"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Indikátor výstupu</w:t>
            </w:r>
          </w:p>
        </w:tc>
        <w:tc>
          <w:tcPr>
            <w:tcW w:w="425"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2B29150A"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50000</w:t>
            </w:r>
          </w:p>
        </w:tc>
        <w:tc>
          <w:tcPr>
            <w:tcW w:w="1276"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6218E8A3"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podpořených vzdělávacích zařízení</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70A1A468"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Zařízení</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042D18E7"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EFRR</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512117C7"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7D9A2087" w14:textId="77777777" w:rsidR="00533CD2" w:rsidRDefault="00533CD2">
            <w:pPr>
              <w:ind w:left="57" w:right="57"/>
              <w:jc w:val="both"/>
            </w:pP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1CDEE92F" w14:textId="77777777" w:rsidR="00533CD2" w:rsidRDefault="00533CD2">
            <w:pPr>
              <w:ind w:left="57" w:right="57"/>
              <w:jc w:val="both"/>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2EA4799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6D903D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E766B6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2004710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34,000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6571863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517,000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4F37CAC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590,000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2A6BB885"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019299F1"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0285AEF"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57357F5B"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val="restart"/>
            <w:tcBorders>
              <w:top w:val="single" w:sz="12" w:space="0" w:color="000000"/>
              <w:left w:val="single" w:sz="4" w:space="0" w:color="000000"/>
              <w:bottom w:val="single" w:sz="12" w:space="0" w:color="000000"/>
              <w:right w:val="single" w:sz="12" w:space="0" w:color="000000"/>
            </w:tcBorders>
            <w:shd w:val="clear" w:color="auto" w:fill="FFFFFF"/>
            <w:vAlign w:val="center"/>
          </w:tcPr>
          <w:p w14:paraId="3A63A717" w14:textId="77777777" w:rsidR="00533CD2" w:rsidRDefault="00533CD2">
            <w:pPr>
              <w:keepLines/>
              <w:tabs>
                <w:tab w:val="left" w:pos="828"/>
              </w:tabs>
              <w:ind w:left="57" w:right="57"/>
              <w:rPr>
                <w:rFonts w:ascii="Arial" w:eastAsia="Arial" w:hAnsi="Arial" w:cs="Arial"/>
                <w:color w:val="000000"/>
                <w:sz w:val="14"/>
              </w:rPr>
            </w:pPr>
          </w:p>
        </w:tc>
      </w:tr>
      <w:tr w:rsidR="00533CD2" w14:paraId="17F56DB9"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601B9BF6"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E3B1E8F"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D1026E5"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FB0FBF4"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3BE9489"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1551DE4"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96890AA"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4B82A59F"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6E1892C2"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C3200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B16B1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65249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38D41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2E965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4B0CE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39FC31"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8C9F38"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C502C1"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079707"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0539DD8F" w14:textId="77777777" w:rsidR="00533CD2" w:rsidRDefault="00533CD2"/>
        </w:tc>
      </w:tr>
      <w:tr w:rsidR="00533CD2" w14:paraId="42D70C21"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3D7F2394"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184C8A5"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E1240A6"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D4710EC"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A6107E0"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777E38F"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D61ADDC"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77577A47"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71FB002F"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42F7C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29162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4426E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95E12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EBA8E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BC6D6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BEECEE"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942360"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1E0D91"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FB3889"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2FB4B6D6" w14:textId="77777777" w:rsidR="00533CD2" w:rsidRDefault="00533CD2"/>
        </w:tc>
      </w:tr>
      <w:tr w:rsidR="00533CD2" w14:paraId="0B181F3B"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4EF92667"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7432425"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5CE7A67"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D3AAEE4"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F5422D8"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9C96CEA"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F6452E8" w14:textId="77777777" w:rsidR="00533CD2" w:rsidRDefault="00533CD2"/>
        </w:tc>
        <w:tc>
          <w:tcPr>
            <w:tcW w:w="709" w:type="dxa"/>
            <w:tcBorders>
              <w:left w:val="single" w:sz="4" w:space="0" w:color="000000"/>
              <w:bottom w:val="single" w:sz="4" w:space="0" w:color="000000"/>
              <w:right w:val="single" w:sz="4" w:space="0" w:color="000000"/>
            </w:tcBorders>
            <w:shd w:val="clear" w:color="auto" w:fill="E7E6E6"/>
            <w:vAlign w:val="bottom"/>
          </w:tcPr>
          <w:p w14:paraId="06CD588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134,000</w:t>
            </w:r>
          </w:p>
        </w:tc>
        <w:tc>
          <w:tcPr>
            <w:tcW w:w="709" w:type="dxa"/>
            <w:tcBorders>
              <w:left w:val="single" w:sz="4" w:space="0" w:color="000000"/>
              <w:bottom w:val="single" w:sz="4" w:space="0" w:color="000000"/>
              <w:right w:val="single" w:sz="4" w:space="0" w:color="000000"/>
            </w:tcBorders>
            <w:shd w:val="clear" w:color="auto" w:fill="E7E6E6"/>
            <w:vAlign w:val="bottom"/>
          </w:tcPr>
          <w:p w14:paraId="0ECA59D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1 770,000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3E526F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914520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B9BCC4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52F7C12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34,000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5BA434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551,000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55B488A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1 141,000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9EC85C2"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51D41155"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FA9CA03"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3FB7B0A7"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0500CF2A" w14:textId="77777777" w:rsidR="00533CD2" w:rsidRDefault="00533CD2"/>
        </w:tc>
      </w:tr>
      <w:tr w:rsidR="00533CD2" w14:paraId="49933CD8"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3772CAEA"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9DF3A7D"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3D3B231"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B67C10A"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665822A"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F3F3D74"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8256DD2" w14:textId="77777777" w:rsidR="00533CD2" w:rsidRDefault="00533CD2"/>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F2F398"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77F40C"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DA446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80022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DF9C6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8046D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2B09D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244AA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4FC2B4"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ED406B"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CD1838"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2703E4"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5CCD4314" w14:textId="77777777" w:rsidR="00533CD2" w:rsidRDefault="00533CD2"/>
        </w:tc>
      </w:tr>
      <w:tr w:rsidR="00533CD2" w14:paraId="76733854"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3091F77F"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AD0927C"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E908699"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988769E"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33B7FD7"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CA418ED"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E5CE9F5" w14:textId="77777777" w:rsidR="00533CD2" w:rsidRDefault="00533CD2"/>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D8815C7"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08B8287F"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BF6424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158F20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C4A1A1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1D8920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0C66883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485250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2EAAFCD"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06703AB"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B0499CE"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A8D2FC8"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356ECB1F" w14:textId="77777777" w:rsidR="00533CD2" w:rsidRDefault="00533CD2"/>
        </w:tc>
      </w:tr>
      <w:tr w:rsidR="00533CD2" w14:paraId="7B51DFCF" w14:textId="77777777">
        <w:tc>
          <w:tcPr>
            <w:tcW w:w="466" w:type="dxa"/>
            <w:vMerge w:val="restart"/>
            <w:tcBorders>
              <w:top w:val="single" w:sz="12" w:space="0" w:color="000000"/>
              <w:left w:val="single" w:sz="12" w:space="0" w:color="000000"/>
              <w:bottom w:val="single" w:sz="12" w:space="0" w:color="000000"/>
              <w:right w:val="single" w:sz="4" w:space="0" w:color="000000"/>
            </w:tcBorders>
            <w:shd w:val="clear" w:color="auto" w:fill="FFFFFF"/>
            <w:vAlign w:val="center"/>
          </w:tcPr>
          <w:p w14:paraId="3D44E713"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06.2</w:t>
            </w:r>
          </w:p>
        </w:tc>
        <w:tc>
          <w:tcPr>
            <w:tcW w:w="8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1761A7C9"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Indikátor výstupu</w:t>
            </w:r>
          </w:p>
        </w:tc>
        <w:tc>
          <w:tcPr>
            <w:tcW w:w="425"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186E825E"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55301</w:t>
            </w:r>
          </w:p>
        </w:tc>
        <w:tc>
          <w:tcPr>
            <w:tcW w:w="1276"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628C1A67"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podpořených bytů pro sociální bydlení</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33DDBB7C"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Bytové jednotky</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5C6E4442"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EFRR</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0D3D8B5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0D186480" w14:textId="77777777" w:rsidR="00533CD2" w:rsidRDefault="00533CD2">
            <w:pPr>
              <w:ind w:left="57" w:right="57"/>
              <w:jc w:val="both"/>
            </w:pP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7BD443AF" w14:textId="77777777" w:rsidR="00533CD2" w:rsidRDefault="00533CD2">
            <w:pPr>
              <w:ind w:left="57" w:right="57"/>
              <w:jc w:val="both"/>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193591D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728323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1C1BCE7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1CC5437"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48,000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46C7A98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422,000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4BFA17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246,000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6A1607D"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27FF7FBE"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0FD457E5"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603CA4B0"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val="restart"/>
            <w:tcBorders>
              <w:top w:val="single" w:sz="12" w:space="0" w:color="000000"/>
              <w:left w:val="single" w:sz="4" w:space="0" w:color="000000"/>
              <w:bottom w:val="single" w:sz="12" w:space="0" w:color="000000"/>
              <w:right w:val="single" w:sz="12" w:space="0" w:color="000000"/>
            </w:tcBorders>
            <w:shd w:val="clear" w:color="auto" w:fill="FFFFFF"/>
            <w:vAlign w:val="center"/>
          </w:tcPr>
          <w:p w14:paraId="1186CC22" w14:textId="77777777" w:rsidR="00533CD2" w:rsidRDefault="00533CD2">
            <w:pPr>
              <w:keepLines/>
              <w:tabs>
                <w:tab w:val="left" w:pos="828"/>
              </w:tabs>
              <w:ind w:left="57" w:right="57"/>
              <w:rPr>
                <w:rFonts w:ascii="Arial" w:eastAsia="Arial" w:hAnsi="Arial" w:cs="Arial"/>
                <w:color w:val="000000"/>
                <w:sz w:val="14"/>
              </w:rPr>
            </w:pPr>
          </w:p>
        </w:tc>
      </w:tr>
      <w:tr w:rsidR="00533CD2" w14:paraId="0A3CC9FE"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0F03EF87"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508D41A"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EBDBCEA"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005442F"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5159D7C"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94772CB"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50B99EF"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291D248A"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5E0F9D3E"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104EE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B0E08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A222E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22214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62A7E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D1564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E72B78"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7B8059"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F7A36F"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45AFA5"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69700A01" w14:textId="77777777" w:rsidR="00533CD2" w:rsidRDefault="00533CD2"/>
        </w:tc>
      </w:tr>
      <w:tr w:rsidR="00533CD2" w14:paraId="331F8301"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591DDD5A"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9C1BBDB"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850AB8E"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9D24F1C"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431CDEB"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5B5AE07"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5E20D8D"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1C2E86E2"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3FF94978"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84515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3255A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0C744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D4CF3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1F00A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69921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163A66"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CB1DD2"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43AEB2"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91BF59"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3966AD9F" w14:textId="77777777" w:rsidR="00533CD2" w:rsidRDefault="00533CD2"/>
        </w:tc>
      </w:tr>
      <w:tr w:rsidR="00533CD2" w14:paraId="25E261F2"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5AF199D3"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1A7130A"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19222E1"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E50C6B6"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BE42990"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B1B6B0D"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5E6C796" w14:textId="77777777" w:rsidR="00533CD2" w:rsidRDefault="00533CD2"/>
        </w:tc>
        <w:tc>
          <w:tcPr>
            <w:tcW w:w="709" w:type="dxa"/>
            <w:tcBorders>
              <w:left w:val="single" w:sz="4" w:space="0" w:color="000000"/>
              <w:bottom w:val="single" w:sz="4" w:space="0" w:color="000000"/>
              <w:right w:val="single" w:sz="4" w:space="0" w:color="000000"/>
            </w:tcBorders>
            <w:shd w:val="clear" w:color="auto" w:fill="E7E6E6"/>
            <w:vAlign w:val="bottom"/>
          </w:tcPr>
          <w:p w14:paraId="4183949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500,000</w:t>
            </w:r>
          </w:p>
        </w:tc>
        <w:tc>
          <w:tcPr>
            <w:tcW w:w="709" w:type="dxa"/>
            <w:tcBorders>
              <w:left w:val="single" w:sz="4" w:space="0" w:color="000000"/>
              <w:bottom w:val="single" w:sz="4" w:space="0" w:color="000000"/>
              <w:right w:val="single" w:sz="4" w:space="0" w:color="000000"/>
            </w:tcBorders>
            <w:shd w:val="clear" w:color="auto" w:fill="E7E6E6"/>
            <w:vAlign w:val="bottom"/>
          </w:tcPr>
          <w:p w14:paraId="6FE9440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5 000,000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2E4413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9A7F36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B32081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796C56D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48,000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C4CF1F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470,000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3EEA710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716,000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300235E"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77599B98"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3B31D3D"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975934A"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3EA04776" w14:textId="77777777" w:rsidR="00533CD2" w:rsidRDefault="00533CD2"/>
        </w:tc>
      </w:tr>
      <w:tr w:rsidR="00533CD2" w14:paraId="5842957A"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78D43FDA"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1A27E38"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1D0CCBC"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24B3073"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98E7D27"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A63FEAF"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92E5E49" w14:textId="77777777" w:rsidR="00533CD2" w:rsidRDefault="00533CD2"/>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E3E0C7"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32E5FE"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AE27D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3BA33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F1910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56ADA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50211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12C8F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B3D857"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7F2EB7"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2FE34C"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2F92A8"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4E1A0BC6" w14:textId="77777777" w:rsidR="00533CD2" w:rsidRDefault="00533CD2"/>
        </w:tc>
      </w:tr>
      <w:tr w:rsidR="00533CD2" w14:paraId="6A0569B8"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0D6D4E67"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5657A2B"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10C98AB"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B4991D1"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06BD385"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39E71EF"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0857E6A" w14:textId="77777777" w:rsidR="00533CD2" w:rsidRDefault="00533CD2"/>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4C4FA93C"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71C3F09"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01AB06C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92EBC5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0FCC947"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CC2679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90CA13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491659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08F41F84"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869B896"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ADB1DB9"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31003C5"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086D73F0" w14:textId="77777777" w:rsidR="00533CD2" w:rsidRDefault="00533CD2"/>
        </w:tc>
      </w:tr>
      <w:tr w:rsidR="00533CD2" w14:paraId="1E3B2F7D" w14:textId="77777777">
        <w:tc>
          <w:tcPr>
            <w:tcW w:w="466" w:type="dxa"/>
            <w:vMerge w:val="restart"/>
            <w:tcBorders>
              <w:top w:val="single" w:sz="12" w:space="0" w:color="000000"/>
              <w:left w:val="single" w:sz="12" w:space="0" w:color="000000"/>
              <w:bottom w:val="single" w:sz="12" w:space="0" w:color="000000"/>
              <w:right w:val="single" w:sz="4" w:space="0" w:color="000000"/>
            </w:tcBorders>
            <w:shd w:val="clear" w:color="auto" w:fill="FFFFFF"/>
            <w:vAlign w:val="center"/>
          </w:tcPr>
          <w:p w14:paraId="6CB5A623"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06.2</w:t>
            </w:r>
          </w:p>
        </w:tc>
        <w:tc>
          <w:tcPr>
            <w:tcW w:w="8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0FB374F2"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Indikátor výstupu</w:t>
            </w:r>
          </w:p>
        </w:tc>
        <w:tc>
          <w:tcPr>
            <w:tcW w:w="425"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729A0E80"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57805</w:t>
            </w:r>
          </w:p>
        </w:tc>
        <w:tc>
          <w:tcPr>
            <w:tcW w:w="1276"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1B2B333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Podpořená pracoviště zdravotní péče</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6359BD58"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Pracoviště</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04C1C16C"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EFRR</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182607A8"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06006D16" w14:textId="77777777" w:rsidR="00533CD2" w:rsidRDefault="00533CD2">
            <w:pPr>
              <w:ind w:left="57" w:right="57"/>
              <w:jc w:val="both"/>
            </w:pP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5965892E" w14:textId="77777777" w:rsidR="00533CD2" w:rsidRDefault="00533CD2">
            <w:pPr>
              <w:ind w:left="57" w:right="57"/>
              <w:jc w:val="both"/>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274C9FA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4195796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1E5F0C9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F72716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2474EB3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46F4C7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35,000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2CD4EAF0"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F45C922"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3421649"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095DCEF5"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val="restart"/>
            <w:tcBorders>
              <w:top w:val="single" w:sz="12" w:space="0" w:color="000000"/>
              <w:left w:val="single" w:sz="4" w:space="0" w:color="000000"/>
              <w:bottom w:val="single" w:sz="12" w:space="0" w:color="000000"/>
              <w:right w:val="single" w:sz="12" w:space="0" w:color="000000"/>
            </w:tcBorders>
            <w:shd w:val="clear" w:color="auto" w:fill="FFFFFF"/>
            <w:vAlign w:val="center"/>
          </w:tcPr>
          <w:p w14:paraId="6ED937B6" w14:textId="77777777" w:rsidR="00533CD2" w:rsidRDefault="00533CD2">
            <w:pPr>
              <w:keepLines/>
              <w:tabs>
                <w:tab w:val="left" w:pos="828"/>
              </w:tabs>
              <w:ind w:left="57" w:right="57"/>
              <w:rPr>
                <w:rFonts w:ascii="Arial" w:eastAsia="Arial" w:hAnsi="Arial" w:cs="Arial"/>
                <w:color w:val="000000"/>
                <w:sz w:val="14"/>
              </w:rPr>
            </w:pPr>
          </w:p>
        </w:tc>
      </w:tr>
      <w:tr w:rsidR="00533CD2" w14:paraId="2AA20C83"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5F999750"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24ECE27"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4476BD6"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300B707"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D7A498E"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764A766"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B76EA98"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3C128A55"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2E51B2CD"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4526B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EBBFF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30D72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BBAED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2F51B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5D8FD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645989"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CBD793"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1A1785"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04F932"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3AD8CFA0" w14:textId="77777777" w:rsidR="00533CD2" w:rsidRDefault="00533CD2"/>
        </w:tc>
      </w:tr>
      <w:tr w:rsidR="00533CD2" w14:paraId="4C825011"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25C6B9D6"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3D3FBB7"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66C856F"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C47A0A9"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2EB22C0"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1A0F1CD"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668F4FB"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538AFACE"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15C489F7"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ED91B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FBC9C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79EA1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16FAD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A17BD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19E03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BBA5C1"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D295AF"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C539BB"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44AF00"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06FA5457" w14:textId="77777777" w:rsidR="00533CD2" w:rsidRDefault="00533CD2"/>
        </w:tc>
      </w:tr>
      <w:tr w:rsidR="00533CD2" w14:paraId="6EDE1665"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3E467A70"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0D3E17F"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B7E9190"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1A325A4"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AE7E6BB"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D8B9230"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E7417D3" w14:textId="77777777" w:rsidR="00533CD2" w:rsidRDefault="00533CD2"/>
        </w:tc>
        <w:tc>
          <w:tcPr>
            <w:tcW w:w="709" w:type="dxa"/>
            <w:tcBorders>
              <w:left w:val="single" w:sz="4" w:space="0" w:color="000000"/>
              <w:bottom w:val="single" w:sz="4" w:space="0" w:color="000000"/>
              <w:right w:val="single" w:sz="4" w:space="0" w:color="000000"/>
            </w:tcBorders>
            <w:shd w:val="clear" w:color="auto" w:fill="E7E6E6"/>
            <w:vAlign w:val="bottom"/>
          </w:tcPr>
          <w:p w14:paraId="26C2D21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24,000</w:t>
            </w:r>
          </w:p>
        </w:tc>
        <w:tc>
          <w:tcPr>
            <w:tcW w:w="709" w:type="dxa"/>
            <w:tcBorders>
              <w:left w:val="single" w:sz="4" w:space="0" w:color="000000"/>
              <w:bottom w:val="single" w:sz="4" w:space="0" w:color="000000"/>
              <w:right w:val="single" w:sz="4" w:space="0" w:color="000000"/>
            </w:tcBorders>
            <w:shd w:val="clear" w:color="auto" w:fill="E7E6E6"/>
            <w:vAlign w:val="bottom"/>
          </w:tcPr>
          <w:p w14:paraId="1B01BCE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128,000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2CB8C4E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765D93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294AAE8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3117516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69BCC9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205933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78,000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2AED0882"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26C3C2B"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D4D1F66"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2BA8DD5"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09DFEEF0" w14:textId="77777777" w:rsidR="00533CD2" w:rsidRDefault="00533CD2"/>
        </w:tc>
      </w:tr>
      <w:tr w:rsidR="00533CD2" w14:paraId="18B1243B"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590E1D25"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D810968"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A52A304"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F4487D3"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31B8C68"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2E65B0F"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A4009CB" w14:textId="77777777" w:rsidR="00533CD2" w:rsidRDefault="00533CD2"/>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C48530"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36777B"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9252A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7A51A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9C0E6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E0390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F8148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37B90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C35BA0"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9EE79C"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282762"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7BC108"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48A90EFF" w14:textId="77777777" w:rsidR="00533CD2" w:rsidRDefault="00533CD2"/>
        </w:tc>
      </w:tr>
      <w:tr w:rsidR="00533CD2" w14:paraId="1C34C793"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5EC7ABDF"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D196BF2"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34EE5E6"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4D6913B"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68E54C1"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D566587"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681B7CD" w14:textId="77777777" w:rsidR="00533CD2" w:rsidRDefault="00533CD2"/>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974D916"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2B901E0"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E89C2E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606A0D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754FCD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4273DE47"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223296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49F8259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4FC5FAB9"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9307D3F"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441C542"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A395A0D"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0540A634" w14:textId="77777777" w:rsidR="00533CD2" w:rsidRDefault="00533CD2"/>
        </w:tc>
      </w:tr>
      <w:tr w:rsidR="00533CD2" w14:paraId="4D268608" w14:textId="77777777">
        <w:tc>
          <w:tcPr>
            <w:tcW w:w="466" w:type="dxa"/>
            <w:vMerge w:val="restart"/>
            <w:tcBorders>
              <w:top w:val="single" w:sz="12" w:space="0" w:color="000000"/>
              <w:left w:val="single" w:sz="12" w:space="0" w:color="000000"/>
              <w:bottom w:val="single" w:sz="12" w:space="0" w:color="000000"/>
              <w:right w:val="single" w:sz="4" w:space="0" w:color="000000"/>
            </w:tcBorders>
            <w:shd w:val="clear" w:color="auto" w:fill="FFFFFF"/>
            <w:vAlign w:val="center"/>
          </w:tcPr>
          <w:p w14:paraId="2FD90C19"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06.2</w:t>
            </w:r>
          </w:p>
        </w:tc>
        <w:tc>
          <w:tcPr>
            <w:tcW w:w="8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34B1EFA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Finanční ukazatel</w:t>
            </w:r>
          </w:p>
        </w:tc>
        <w:tc>
          <w:tcPr>
            <w:tcW w:w="425"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29449C76"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FINMT</w:t>
            </w:r>
          </w:p>
        </w:tc>
        <w:tc>
          <w:tcPr>
            <w:tcW w:w="1276"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483321D3"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 xml:space="preserve">Celkové certifikované způsobilé výdaje </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6CA57603"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Euro</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22AD538B"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EFRR</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6E6AB81C"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0F26085B" w14:textId="77777777" w:rsidR="00533CD2" w:rsidRDefault="00533CD2">
            <w:pPr>
              <w:ind w:left="57" w:right="57"/>
              <w:jc w:val="both"/>
            </w:pP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411B3A0A" w14:textId="77777777" w:rsidR="00533CD2" w:rsidRDefault="00533CD2">
            <w:pPr>
              <w:ind w:left="57" w:right="57"/>
              <w:jc w:val="both"/>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4C8E673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0E19FA0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1598B01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1DA9016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31 367 192,320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7A7C77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339 280 858,160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A9B6A5B" w14:textId="6B037846" w:rsidR="00533CD2" w:rsidRDefault="0078789E">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571</w:t>
            </w:r>
            <w:r w:rsidR="0046046C">
              <w:rPr>
                <w:rFonts w:ascii="Arial" w:eastAsia="Arial" w:hAnsi="Arial" w:cs="Arial"/>
                <w:color w:val="000000"/>
                <w:sz w:val="14"/>
              </w:rPr>
              <w:t> 2</w:t>
            </w:r>
            <w:r>
              <w:rPr>
                <w:rFonts w:ascii="Arial" w:eastAsia="Arial" w:hAnsi="Arial" w:cs="Arial"/>
                <w:color w:val="000000"/>
                <w:sz w:val="14"/>
              </w:rPr>
              <w:t>50</w:t>
            </w:r>
            <w:r w:rsidR="0046046C">
              <w:rPr>
                <w:rFonts w:ascii="Arial" w:eastAsia="Arial" w:hAnsi="Arial" w:cs="Arial"/>
                <w:color w:val="000000"/>
                <w:sz w:val="14"/>
              </w:rPr>
              <w:t> </w:t>
            </w:r>
            <w:r>
              <w:rPr>
                <w:rFonts w:ascii="Arial" w:eastAsia="Arial" w:hAnsi="Arial" w:cs="Arial"/>
                <w:color w:val="000000"/>
                <w:sz w:val="14"/>
              </w:rPr>
              <w:t>055</w:t>
            </w:r>
            <w:r w:rsidR="0046046C">
              <w:rPr>
                <w:rFonts w:ascii="Arial" w:eastAsia="Arial" w:hAnsi="Arial" w:cs="Arial"/>
                <w:color w:val="000000"/>
                <w:sz w:val="14"/>
              </w:rPr>
              <w:t>,</w:t>
            </w:r>
            <w:r>
              <w:rPr>
                <w:rFonts w:ascii="Arial" w:eastAsia="Arial" w:hAnsi="Arial" w:cs="Arial"/>
                <w:color w:val="000000"/>
                <w:sz w:val="14"/>
              </w:rPr>
              <w:t>66</w:t>
            </w:r>
            <w:r w:rsidR="0046046C">
              <w:rPr>
                <w:rFonts w:ascii="Arial" w:eastAsia="Arial" w:hAnsi="Arial" w:cs="Arial"/>
                <w:color w:val="000000"/>
                <w:sz w:val="14"/>
              </w:rPr>
              <w:t>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74C0E55"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BCEB4A8"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43F592CF"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F0DD9C1"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val="restart"/>
            <w:tcBorders>
              <w:top w:val="single" w:sz="12" w:space="0" w:color="000000"/>
              <w:left w:val="single" w:sz="4" w:space="0" w:color="000000"/>
              <w:bottom w:val="single" w:sz="12" w:space="0" w:color="000000"/>
              <w:right w:val="single" w:sz="12" w:space="0" w:color="000000"/>
            </w:tcBorders>
            <w:shd w:val="clear" w:color="auto" w:fill="FFFFFF"/>
            <w:vAlign w:val="center"/>
          </w:tcPr>
          <w:p w14:paraId="116790B1" w14:textId="77777777" w:rsidR="00533CD2" w:rsidRDefault="00533CD2">
            <w:pPr>
              <w:keepLines/>
              <w:tabs>
                <w:tab w:val="left" w:pos="828"/>
              </w:tabs>
              <w:ind w:left="57" w:right="57"/>
              <w:rPr>
                <w:rFonts w:ascii="Arial" w:eastAsia="Arial" w:hAnsi="Arial" w:cs="Arial"/>
                <w:color w:val="000000"/>
                <w:sz w:val="14"/>
              </w:rPr>
            </w:pPr>
          </w:p>
        </w:tc>
      </w:tr>
      <w:tr w:rsidR="00533CD2" w14:paraId="056FDEDE"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59F0AF6E"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186F697"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1AEBA5A"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72FCAB8"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F80A06B"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496E11B"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B469BCB"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6ED387CF"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440DF640"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ACDE5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DBDCA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AC82A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1C286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4740C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8BE237"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721101"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030F9C"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7A88A6"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D90BE4"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25A9FD87" w14:textId="77777777" w:rsidR="00533CD2" w:rsidRDefault="00533CD2"/>
        </w:tc>
      </w:tr>
      <w:tr w:rsidR="00533CD2" w14:paraId="06111D51"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2FC58E51"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8F17E96"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3920D11"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50C3771"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0B7C40B"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4E8933E"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96582AD"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1652DAF7"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03A6E2BB"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54C31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CE00F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07181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34408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9D2BA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A0F10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4B4BF9"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AE4C60"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B4CC34"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0AABC0"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7E6BBBD0" w14:textId="77777777" w:rsidR="00533CD2" w:rsidRDefault="00533CD2"/>
        </w:tc>
      </w:tr>
      <w:tr w:rsidR="00533CD2" w14:paraId="7BAEEB7B"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599E5E8D"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B9E34EB"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F60F236"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538EF76"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44766CC"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23F6D5C"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65346AD" w14:textId="77777777" w:rsidR="00533CD2" w:rsidRDefault="00533CD2"/>
        </w:tc>
        <w:tc>
          <w:tcPr>
            <w:tcW w:w="709" w:type="dxa"/>
            <w:tcBorders>
              <w:left w:val="single" w:sz="4" w:space="0" w:color="000000"/>
              <w:bottom w:val="single" w:sz="4" w:space="0" w:color="000000"/>
              <w:right w:val="single" w:sz="4" w:space="0" w:color="000000"/>
            </w:tcBorders>
            <w:shd w:val="clear" w:color="auto" w:fill="E7E6E6"/>
            <w:vAlign w:val="bottom"/>
          </w:tcPr>
          <w:p w14:paraId="33CB360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387 957 272,000</w:t>
            </w:r>
          </w:p>
        </w:tc>
        <w:tc>
          <w:tcPr>
            <w:tcW w:w="709" w:type="dxa"/>
            <w:tcBorders>
              <w:left w:val="single" w:sz="4" w:space="0" w:color="000000"/>
              <w:bottom w:val="single" w:sz="4" w:space="0" w:color="000000"/>
              <w:right w:val="single" w:sz="4" w:space="0" w:color="000000"/>
            </w:tcBorders>
            <w:shd w:val="clear" w:color="auto" w:fill="E7E6E6"/>
            <w:vAlign w:val="bottom"/>
          </w:tcPr>
          <w:p w14:paraId="15E4D34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2 079 935 571,000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68A4D1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2BC66B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0BC470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21FDB04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31 367 192,320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C5FC73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370 648 050,480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216A70C2" w14:textId="68CDD763" w:rsidR="00533CD2" w:rsidRDefault="0078789E">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941</w:t>
            </w:r>
            <w:r w:rsidR="0046046C">
              <w:rPr>
                <w:rFonts w:ascii="Arial" w:eastAsia="Arial" w:hAnsi="Arial" w:cs="Arial"/>
                <w:color w:val="000000"/>
                <w:sz w:val="14"/>
              </w:rPr>
              <w:t> </w:t>
            </w:r>
            <w:r>
              <w:rPr>
                <w:rFonts w:ascii="Arial" w:eastAsia="Arial" w:hAnsi="Arial" w:cs="Arial"/>
                <w:color w:val="000000"/>
                <w:sz w:val="14"/>
              </w:rPr>
              <w:t>898</w:t>
            </w:r>
            <w:r w:rsidR="0046046C">
              <w:rPr>
                <w:rFonts w:ascii="Arial" w:eastAsia="Arial" w:hAnsi="Arial" w:cs="Arial"/>
                <w:color w:val="000000"/>
                <w:sz w:val="14"/>
              </w:rPr>
              <w:t> </w:t>
            </w:r>
            <w:r>
              <w:rPr>
                <w:rFonts w:ascii="Arial" w:eastAsia="Arial" w:hAnsi="Arial" w:cs="Arial"/>
                <w:color w:val="000000"/>
                <w:sz w:val="14"/>
              </w:rPr>
              <w:t>106</w:t>
            </w:r>
            <w:r w:rsidR="0046046C">
              <w:rPr>
                <w:rFonts w:ascii="Arial" w:eastAsia="Arial" w:hAnsi="Arial" w:cs="Arial"/>
                <w:color w:val="000000"/>
                <w:sz w:val="14"/>
              </w:rPr>
              <w:t>,</w:t>
            </w:r>
            <w:r>
              <w:rPr>
                <w:rFonts w:ascii="Arial" w:eastAsia="Arial" w:hAnsi="Arial" w:cs="Arial"/>
                <w:color w:val="000000"/>
                <w:sz w:val="14"/>
              </w:rPr>
              <w:t>14</w:t>
            </w:r>
            <w:r w:rsidR="0046046C">
              <w:rPr>
                <w:rFonts w:ascii="Arial" w:eastAsia="Arial" w:hAnsi="Arial" w:cs="Arial"/>
                <w:color w:val="000000"/>
                <w:sz w:val="14"/>
              </w:rPr>
              <w:t>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B748BE9"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1281D6C"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AFD7F6A"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7A0DF4C6"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04744605" w14:textId="77777777" w:rsidR="00533CD2" w:rsidRDefault="00533CD2"/>
        </w:tc>
      </w:tr>
      <w:tr w:rsidR="00533CD2" w14:paraId="04A576CD"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008CBA55"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1D5110B"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5FB9562"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F9EB365"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655034D"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66CAA78"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1D47D10" w14:textId="77777777" w:rsidR="00533CD2" w:rsidRDefault="00533CD2"/>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CE7C85"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8BCC84"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31B86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7BEFB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A8A847"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4CB9B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7D2FC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9F4CE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55D857"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5951B4"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A046E6"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CCBD98"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37925A78" w14:textId="77777777" w:rsidR="00533CD2" w:rsidRDefault="00533CD2"/>
        </w:tc>
      </w:tr>
      <w:tr w:rsidR="00533CD2" w14:paraId="6CFF7727"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5ACB5BB5"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68A024D"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7870BC1"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2DAC567"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DD3D58A"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2B3CFCC"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7379595" w14:textId="77777777" w:rsidR="00533CD2" w:rsidRDefault="00533CD2"/>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A72521D"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EC50C56"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877050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907AEF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6CFE4A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0842AB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4968A4D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4E87F86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151B21B"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462A871B"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88DF3B8"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8CBBCAD"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2B1202BB" w14:textId="77777777" w:rsidR="00533CD2" w:rsidRDefault="00533CD2"/>
        </w:tc>
      </w:tr>
      <w:tr w:rsidR="00533CD2" w14:paraId="40F89BAF" w14:textId="77777777">
        <w:tc>
          <w:tcPr>
            <w:tcW w:w="466" w:type="dxa"/>
            <w:vMerge w:val="restart"/>
            <w:tcBorders>
              <w:top w:val="single" w:sz="12" w:space="0" w:color="000000"/>
              <w:left w:val="single" w:sz="12" w:space="0" w:color="000000"/>
              <w:bottom w:val="single" w:sz="12" w:space="0" w:color="000000"/>
              <w:right w:val="single" w:sz="4" w:space="0" w:color="000000"/>
            </w:tcBorders>
            <w:shd w:val="clear" w:color="auto" w:fill="FFFFFF"/>
            <w:vAlign w:val="center"/>
          </w:tcPr>
          <w:p w14:paraId="1F8B0E5A"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06.3</w:t>
            </w:r>
          </w:p>
        </w:tc>
        <w:tc>
          <w:tcPr>
            <w:tcW w:w="8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34B25DD9"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Indikátor výstupu</w:t>
            </w:r>
          </w:p>
        </w:tc>
        <w:tc>
          <w:tcPr>
            <w:tcW w:w="425"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39C72ECA"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30500</w:t>
            </w:r>
          </w:p>
        </w:tc>
        <w:tc>
          <w:tcPr>
            <w:tcW w:w="1276"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295AD6D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pořízených informačních systémů</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1CF1FA89"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IS</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0A25253A"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EFRR</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4E11D22C"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1CB8D35A" w14:textId="77777777" w:rsidR="00533CD2" w:rsidRDefault="00533CD2">
            <w:pPr>
              <w:ind w:left="57" w:right="57"/>
              <w:jc w:val="both"/>
            </w:pP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7990F6B6" w14:textId="77777777" w:rsidR="00533CD2" w:rsidRDefault="00533CD2">
            <w:pPr>
              <w:ind w:left="57" w:right="57"/>
              <w:jc w:val="both"/>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4955AE3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7091E7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3E294B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166F460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0,882</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45DD904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173,173</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5FF577B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121,291</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66FEABF4"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53178EE0"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49D0FC0B"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1621593"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val="restart"/>
            <w:tcBorders>
              <w:top w:val="single" w:sz="12" w:space="0" w:color="000000"/>
              <w:left w:val="single" w:sz="4" w:space="0" w:color="000000"/>
              <w:bottom w:val="single" w:sz="12" w:space="0" w:color="000000"/>
              <w:right w:val="single" w:sz="12" w:space="0" w:color="000000"/>
            </w:tcBorders>
            <w:shd w:val="clear" w:color="auto" w:fill="FFFFFF"/>
            <w:vAlign w:val="center"/>
          </w:tcPr>
          <w:p w14:paraId="5AE2919A" w14:textId="77777777" w:rsidR="00533CD2" w:rsidRDefault="00533CD2">
            <w:pPr>
              <w:keepLines/>
              <w:tabs>
                <w:tab w:val="left" w:pos="828"/>
              </w:tabs>
              <w:ind w:left="57" w:right="57"/>
              <w:rPr>
                <w:rFonts w:ascii="Arial" w:eastAsia="Arial" w:hAnsi="Arial" w:cs="Arial"/>
                <w:color w:val="000000"/>
                <w:sz w:val="14"/>
              </w:rPr>
            </w:pPr>
          </w:p>
        </w:tc>
      </w:tr>
      <w:tr w:rsidR="00533CD2" w14:paraId="64610B94"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1C796124"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7907060"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B340BF5"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6BBA43A"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798000A"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D465799"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E9B6BDC"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5B85CA9C"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36BAADE5"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AE014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31D5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3A513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49F84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C5B09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13E50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45E70E"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BDCFB1"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D57758"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502DBC"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56F732B4" w14:textId="77777777" w:rsidR="00533CD2" w:rsidRDefault="00533CD2"/>
        </w:tc>
      </w:tr>
      <w:tr w:rsidR="00533CD2" w14:paraId="188BB8BA"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7A060960"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4A29532"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C427999"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D3FEC01"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84D9AEF"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43DA1FC"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B7C0E40"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013B6E97"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600E5951"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8556B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5B703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EC8C07"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C4BC2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73660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1D30E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E996D5"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4C5AD3"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450448"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C1F766"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223CFB91" w14:textId="77777777" w:rsidR="00533CD2" w:rsidRDefault="00533CD2"/>
        </w:tc>
      </w:tr>
      <w:tr w:rsidR="00533CD2" w14:paraId="26046026"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433A833F"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6C9F343"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C860FFA"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E1FE454"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88743C1"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83F29C4"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A321833" w14:textId="77777777" w:rsidR="00533CD2" w:rsidRDefault="00533CD2"/>
        </w:tc>
        <w:tc>
          <w:tcPr>
            <w:tcW w:w="709" w:type="dxa"/>
            <w:tcBorders>
              <w:left w:val="single" w:sz="4" w:space="0" w:color="000000"/>
              <w:bottom w:val="single" w:sz="4" w:space="0" w:color="000000"/>
              <w:right w:val="single" w:sz="4" w:space="0" w:color="000000"/>
            </w:tcBorders>
            <w:shd w:val="clear" w:color="auto" w:fill="E7E6E6"/>
            <w:vAlign w:val="bottom"/>
          </w:tcPr>
          <w:p w14:paraId="0ED727C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39,764</w:t>
            </w:r>
          </w:p>
        </w:tc>
        <w:tc>
          <w:tcPr>
            <w:tcW w:w="709" w:type="dxa"/>
            <w:tcBorders>
              <w:left w:val="single" w:sz="4" w:space="0" w:color="000000"/>
              <w:bottom w:val="single" w:sz="4" w:space="0" w:color="000000"/>
              <w:right w:val="single" w:sz="4" w:space="0" w:color="000000"/>
            </w:tcBorders>
            <w:shd w:val="clear" w:color="auto" w:fill="E7E6E6"/>
            <w:vAlign w:val="bottom"/>
          </w:tcPr>
          <w:p w14:paraId="6F1CFF0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96,910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670FA0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7733A40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329363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2F122F3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0,882</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7A9B97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174,054</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753C6FA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295,345</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2A93612F"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73041EEA"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022E4DB"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55B2641F"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37B7ECCE" w14:textId="77777777" w:rsidR="00533CD2" w:rsidRDefault="00533CD2"/>
        </w:tc>
      </w:tr>
      <w:tr w:rsidR="00533CD2" w14:paraId="676D1B83"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10E945F5"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02D8BAA"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E53D36C"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0E2A7D6"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24D68CE"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EBA52D2"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D08192C" w14:textId="77777777" w:rsidR="00533CD2" w:rsidRDefault="00533CD2"/>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BA64BC"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B7392B"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18FB4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6D297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DC7D1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B6CFE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531C9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7C01B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5A291D"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E80564"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23AE97"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ED817C"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788D7FCF" w14:textId="77777777" w:rsidR="00533CD2" w:rsidRDefault="00533CD2"/>
        </w:tc>
      </w:tr>
      <w:tr w:rsidR="00533CD2" w14:paraId="6D0955E7"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5FC55F68"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1EA0B6C"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AC504A0"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34F5885"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603E3D2"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E47D2B9"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46BB81B" w14:textId="77777777" w:rsidR="00533CD2" w:rsidRDefault="00533CD2"/>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382C6C9"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B110B32"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7E778D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614D8A7"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48C8701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4C81BC2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81C508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149360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0A9E010"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005B0E3"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55FBD99"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4F954DA"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3C38E080" w14:textId="77777777" w:rsidR="00533CD2" w:rsidRDefault="00533CD2"/>
        </w:tc>
      </w:tr>
      <w:tr w:rsidR="00533CD2" w14:paraId="63479C38" w14:textId="77777777">
        <w:tc>
          <w:tcPr>
            <w:tcW w:w="466" w:type="dxa"/>
            <w:vMerge w:val="restart"/>
            <w:tcBorders>
              <w:top w:val="single" w:sz="12" w:space="0" w:color="000000"/>
              <w:left w:val="single" w:sz="12" w:space="0" w:color="000000"/>
              <w:bottom w:val="single" w:sz="12" w:space="0" w:color="000000"/>
              <w:right w:val="single" w:sz="4" w:space="0" w:color="000000"/>
            </w:tcBorders>
            <w:shd w:val="clear" w:color="auto" w:fill="FFFFFF"/>
            <w:vAlign w:val="center"/>
          </w:tcPr>
          <w:p w14:paraId="1A318318"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06.3</w:t>
            </w:r>
          </w:p>
        </w:tc>
        <w:tc>
          <w:tcPr>
            <w:tcW w:w="8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787EF313"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Indikátor výstupu</w:t>
            </w:r>
          </w:p>
        </w:tc>
        <w:tc>
          <w:tcPr>
            <w:tcW w:w="425"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39402B6B"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30500</w:t>
            </w:r>
          </w:p>
        </w:tc>
        <w:tc>
          <w:tcPr>
            <w:tcW w:w="1276"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6DCE8A1A"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pořízených informačních systémů</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2794E64E"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IS</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165416AE"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EFRR</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32F6CA9B"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Více rozvinuté regiony</w:t>
            </w: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40C77B65" w14:textId="77777777" w:rsidR="00533CD2" w:rsidRDefault="00533CD2">
            <w:pPr>
              <w:ind w:left="57" w:right="57"/>
              <w:jc w:val="both"/>
            </w:pP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3FD5986D" w14:textId="77777777" w:rsidR="00533CD2" w:rsidRDefault="00533CD2">
            <w:pPr>
              <w:ind w:left="57" w:right="57"/>
              <w:jc w:val="both"/>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0045530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E90288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B6FF18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1092981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0,118</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62E1C3E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0,827</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0A2495E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0,709</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897D932"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4742CEE"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67EC712A"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4BE35C4"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val="restart"/>
            <w:tcBorders>
              <w:top w:val="single" w:sz="12" w:space="0" w:color="000000"/>
              <w:left w:val="single" w:sz="4" w:space="0" w:color="000000"/>
              <w:bottom w:val="single" w:sz="12" w:space="0" w:color="000000"/>
              <w:right w:val="single" w:sz="12" w:space="0" w:color="000000"/>
            </w:tcBorders>
            <w:shd w:val="clear" w:color="auto" w:fill="FFFFFF"/>
            <w:vAlign w:val="center"/>
          </w:tcPr>
          <w:p w14:paraId="4021946B" w14:textId="77777777" w:rsidR="00533CD2" w:rsidRDefault="00533CD2">
            <w:pPr>
              <w:keepLines/>
              <w:tabs>
                <w:tab w:val="left" w:pos="828"/>
              </w:tabs>
              <w:ind w:left="57" w:right="57"/>
              <w:rPr>
                <w:rFonts w:ascii="Arial" w:eastAsia="Arial" w:hAnsi="Arial" w:cs="Arial"/>
                <w:color w:val="000000"/>
                <w:sz w:val="14"/>
              </w:rPr>
            </w:pPr>
          </w:p>
        </w:tc>
      </w:tr>
      <w:tr w:rsidR="00533CD2" w14:paraId="7BFA5340"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4D40F7E5"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072E714"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317D0C4"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3B0DBA0"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2E65C98"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A7B1A65"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FB0731B"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7F3C8130"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4F34F8FC"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40C0C7"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3054F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38EDF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0EBD5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83199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7A4F6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464665"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0747EB"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5EB0D4"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B2802C"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12EBD295" w14:textId="77777777" w:rsidR="00533CD2" w:rsidRDefault="00533CD2"/>
        </w:tc>
      </w:tr>
      <w:tr w:rsidR="00533CD2" w14:paraId="131BD831"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4D58B623"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F50282B"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121D017"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938CD5C"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32B1572"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6E273C8"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880906E"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5731B575"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290B401E"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A786F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F21AF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01FA2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E79F3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D4A98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79372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459E1A"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CF0824"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780580"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77E7BA"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77019772" w14:textId="77777777" w:rsidR="00533CD2" w:rsidRDefault="00533CD2"/>
        </w:tc>
      </w:tr>
      <w:tr w:rsidR="00533CD2" w14:paraId="2E3DAB7F"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2E41994F"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5A32672"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F06A679"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D2D5F9A"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0B9634D"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32337F9"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9270B5E" w14:textId="77777777" w:rsidR="00533CD2" w:rsidRDefault="00533CD2"/>
        </w:tc>
        <w:tc>
          <w:tcPr>
            <w:tcW w:w="709" w:type="dxa"/>
            <w:tcBorders>
              <w:left w:val="single" w:sz="4" w:space="0" w:color="000000"/>
              <w:bottom w:val="single" w:sz="4" w:space="0" w:color="000000"/>
              <w:right w:val="single" w:sz="4" w:space="0" w:color="000000"/>
            </w:tcBorders>
            <w:shd w:val="clear" w:color="auto" w:fill="E7E6E6"/>
            <w:vAlign w:val="bottom"/>
          </w:tcPr>
          <w:p w14:paraId="19EC130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0,236</w:t>
            </w:r>
          </w:p>
        </w:tc>
        <w:tc>
          <w:tcPr>
            <w:tcW w:w="709" w:type="dxa"/>
            <w:tcBorders>
              <w:left w:val="single" w:sz="4" w:space="0" w:color="000000"/>
              <w:bottom w:val="single" w:sz="4" w:space="0" w:color="000000"/>
              <w:right w:val="single" w:sz="4" w:space="0" w:color="000000"/>
            </w:tcBorders>
            <w:shd w:val="clear" w:color="auto" w:fill="E7E6E6"/>
            <w:vAlign w:val="bottom"/>
          </w:tcPr>
          <w:p w14:paraId="10A2D36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7,090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5193EFE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3368401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16EDEB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5563B73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0,118</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D78F93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0,946</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54FEC32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1,655</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C924E5E"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23D54EC2"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93B1D73"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7BE5AEB9"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356CE944" w14:textId="77777777" w:rsidR="00533CD2" w:rsidRDefault="00533CD2"/>
        </w:tc>
      </w:tr>
      <w:tr w:rsidR="00533CD2" w14:paraId="78BDA3E2"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0EE90028"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BB7A9EB"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FFE565D"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B441E42"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F496FD1"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F537459"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FA368DA" w14:textId="77777777" w:rsidR="00533CD2" w:rsidRDefault="00533CD2"/>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FA49F6"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F4493D"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AAB86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71EC77"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8953F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680B0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7C81D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8DA43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E2AC87"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016DE5"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E19C2C"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30FD61"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5D755152" w14:textId="77777777" w:rsidR="00533CD2" w:rsidRDefault="00533CD2"/>
        </w:tc>
      </w:tr>
      <w:tr w:rsidR="00533CD2" w14:paraId="6F6F8C1A"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1E4500ED"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8414642"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B313ABA"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AA6C8DE"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B749137"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1F3B709"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DC195C1" w14:textId="77777777" w:rsidR="00533CD2" w:rsidRDefault="00533CD2"/>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069B03E1"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03F09566"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FA0288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E40491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033FF29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474A1D1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0149CDF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076FAE2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2793987"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FA0E531"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A857599"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CFD3E88"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0A54B9FB" w14:textId="77777777" w:rsidR="00533CD2" w:rsidRDefault="00533CD2"/>
        </w:tc>
      </w:tr>
      <w:tr w:rsidR="00533CD2" w14:paraId="71203389" w14:textId="77777777">
        <w:tc>
          <w:tcPr>
            <w:tcW w:w="466" w:type="dxa"/>
            <w:vMerge w:val="restart"/>
            <w:tcBorders>
              <w:top w:val="single" w:sz="12" w:space="0" w:color="000000"/>
              <w:left w:val="single" w:sz="12" w:space="0" w:color="000000"/>
              <w:bottom w:val="single" w:sz="12" w:space="0" w:color="000000"/>
              <w:right w:val="single" w:sz="4" w:space="0" w:color="000000"/>
            </w:tcBorders>
            <w:shd w:val="clear" w:color="auto" w:fill="FFFFFF"/>
            <w:vAlign w:val="center"/>
          </w:tcPr>
          <w:p w14:paraId="255EAAF2"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06.3</w:t>
            </w:r>
          </w:p>
        </w:tc>
        <w:tc>
          <w:tcPr>
            <w:tcW w:w="8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3BD0D62A"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Indikátor výstupu</w:t>
            </w:r>
          </w:p>
        </w:tc>
        <w:tc>
          <w:tcPr>
            <w:tcW w:w="425"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55B4D156"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90200</w:t>
            </w:r>
          </w:p>
        </w:tc>
        <w:tc>
          <w:tcPr>
            <w:tcW w:w="1276"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14CFC668"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územních plánů, regulačních plánů a územních studií</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01FB486B"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Dokumenty</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2015F309"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EFRR</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051962AA"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39EAB554" w14:textId="77777777" w:rsidR="00533CD2" w:rsidRDefault="00533CD2">
            <w:pPr>
              <w:ind w:left="57" w:right="57"/>
              <w:jc w:val="both"/>
            </w:pP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7C3B1960" w14:textId="77777777" w:rsidR="00533CD2" w:rsidRDefault="00533CD2">
            <w:pPr>
              <w:ind w:left="57" w:right="57"/>
              <w:jc w:val="both"/>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02496B1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559F1F7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5486C93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51E2EBB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50,000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0978F0E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135,000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FBE43E0" w14:textId="50992D40" w:rsidR="00533CD2" w:rsidRDefault="00DD6E4A">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100</w:t>
            </w:r>
            <w:r w:rsidR="0046046C">
              <w:rPr>
                <w:rFonts w:ascii="Arial" w:eastAsia="Arial" w:hAnsi="Arial" w:cs="Arial"/>
                <w:color w:val="000000"/>
                <w:sz w:val="14"/>
              </w:rPr>
              <w:t>,000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413EDB8A"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23791E04"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88153F8"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147F4D1A"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val="restart"/>
            <w:tcBorders>
              <w:top w:val="single" w:sz="12" w:space="0" w:color="000000"/>
              <w:left w:val="single" w:sz="4" w:space="0" w:color="000000"/>
              <w:bottom w:val="single" w:sz="12" w:space="0" w:color="000000"/>
              <w:right w:val="single" w:sz="12" w:space="0" w:color="000000"/>
            </w:tcBorders>
            <w:shd w:val="clear" w:color="auto" w:fill="FFFFFF"/>
            <w:vAlign w:val="center"/>
          </w:tcPr>
          <w:p w14:paraId="72BDA998" w14:textId="77777777" w:rsidR="00533CD2" w:rsidRDefault="00533CD2">
            <w:pPr>
              <w:keepLines/>
              <w:tabs>
                <w:tab w:val="left" w:pos="828"/>
              </w:tabs>
              <w:ind w:left="57" w:right="57"/>
              <w:rPr>
                <w:rFonts w:ascii="Arial" w:eastAsia="Arial" w:hAnsi="Arial" w:cs="Arial"/>
                <w:color w:val="000000"/>
                <w:sz w:val="14"/>
              </w:rPr>
            </w:pPr>
          </w:p>
        </w:tc>
      </w:tr>
      <w:tr w:rsidR="00533CD2" w14:paraId="1545B539"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7B6610C4"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59E351A"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167F0B2"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B89DD17"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2F3A215"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79DDA97"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DD7C054"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28FA1874"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1D88EDFD"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1EC03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C054B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7E074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EA2E1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F73FD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59BF67"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109C26"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432D75"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339834"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62CD4C"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006A9E40" w14:textId="77777777" w:rsidR="00533CD2" w:rsidRDefault="00533CD2"/>
        </w:tc>
      </w:tr>
      <w:tr w:rsidR="00533CD2" w14:paraId="1A2D184B"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2E46197C"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24C7DDA"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B85078C"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97F64DF"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74D7EC7"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30561E0"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0889017"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120C814D"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04C92144"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0DDA3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78677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253DB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BD129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7DCE9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6A699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629D2E"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34ABD3"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B0ADC0"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06566C"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502E4580" w14:textId="77777777" w:rsidR="00533CD2" w:rsidRDefault="00533CD2"/>
        </w:tc>
      </w:tr>
      <w:tr w:rsidR="00533CD2" w14:paraId="45B130EC"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4F09B216"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201E2B7"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D634F76"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5EC388F"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242A5DC"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1E1AF95"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A19A59E" w14:textId="77777777" w:rsidR="00533CD2" w:rsidRDefault="00533CD2"/>
        </w:tc>
        <w:tc>
          <w:tcPr>
            <w:tcW w:w="709" w:type="dxa"/>
            <w:tcBorders>
              <w:left w:val="single" w:sz="4" w:space="0" w:color="000000"/>
              <w:bottom w:val="single" w:sz="4" w:space="0" w:color="000000"/>
              <w:right w:val="single" w:sz="4" w:space="0" w:color="000000"/>
            </w:tcBorders>
            <w:shd w:val="clear" w:color="auto" w:fill="E7E6E6"/>
            <w:vAlign w:val="bottom"/>
          </w:tcPr>
          <w:p w14:paraId="74F38AF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45,000</w:t>
            </w:r>
          </w:p>
        </w:tc>
        <w:tc>
          <w:tcPr>
            <w:tcW w:w="709" w:type="dxa"/>
            <w:tcBorders>
              <w:left w:val="single" w:sz="4" w:space="0" w:color="000000"/>
              <w:bottom w:val="single" w:sz="4" w:space="0" w:color="000000"/>
              <w:right w:val="single" w:sz="4" w:space="0" w:color="000000"/>
            </w:tcBorders>
            <w:shd w:val="clear" w:color="auto" w:fill="E7E6E6"/>
            <w:vAlign w:val="bottom"/>
          </w:tcPr>
          <w:p w14:paraId="3E272D8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255,000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009667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3AB8F7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7AC55B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596275B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50,000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314BDD3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185,000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672E6CB" w14:textId="1F69DB40" w:rsidR="00533CD2" w:rsidRDefault="00DD6E4A">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285</w:t>
            </w:r>
            <w:r w:rsidR="0046046C">
              <w:rPr>
                <w:rFonts w:ascii="Arial" w:eastAsia="Arial" w:hAnsi="Arial" w:cs="Arial"/>
                <w:color w:val="000000"/>
                <w:sz w:val="14"/>
              </w:rPr>
              <w:t>,000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10CC2BA"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21973044"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0235A40"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274A0FE9"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5F511C22" w14:textId="77777777" w:rsidR="00533CD2" w:rsidRDefault="00533CD2"/>
        </w:tc>
      </w:tr>
      <w:tr w:rsidR="00533CD2" w14:paraId="0B4D9FBA"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39AEAF24"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D81D702"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9226D3F"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8C5FE1A"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EB1FACC"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CEF254C"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D76AF7F" w14:textId="77777777" w:rsidR="00533CD2" w:rsidRDefault="00533CD2"/>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3781A3"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7536A3"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BDDEC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17A69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5FFC0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5553E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81260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9BC0B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3D09D6"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AF6362"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847E31"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EA049B"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35BF69E1" w14:textId="77777777" w:rsidR="00533CD2" w:rsidRDefault="00533CD2"/>
        </w:tc>
      </w:tr>
      <w:tr w:rsidR="00533CD2" w14:paraId="3BF1D865"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3BF564E2"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02C026D"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365DEA6"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61B51FC"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124F58E"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1ED2D98"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2FACE00" w14:textId="77777777" w:rsidR="00533CD2" w:rsidRDefault="00533CD2"/>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ABDAF29"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9F5BDF1"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43849EB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1CAB0D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7EF35C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EEF9917"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8D0FA3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41C21A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6436E9C"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3F75561"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29323B6"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1CDBCCF"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3CD113D0" w14:textId="77777777" w:rsidR="00533CD2" w:rsidRDefault="00533CD2"/>
        </w:tc>
      </w:tr>
      <w:tr w:rsidR="00533CD2" w14:paraId="1A5BE778" w14:textId="77777777">
        <w:tc>
          <w:tcPr>
            <w:tcW w:w="466" w:type="dxa"/>
            <w:vMerge w:val="restart"/>
            <w:tcBorders>
              <w:top w:val="single" w:sz="12" w:space="0" w:color="000000"/>
              <w:left w:val="single" w:sz="12" w:space="0" w:color="000000"/>
              <w:bottom w:val="single" w:sz="12" w:space="0" w:color="000000"/>
              <w:right w:val="single" w:sz="4" w:space="0" w:color="000000"/>
            </w:tcBorders>
            <w:shd w:val="clear" w:color="auto" w:fill="FFFFFF"/>
            <w:vAlign w:val="center"/>
          </w:tcPr>
          <w:p w14:paraId="48077F9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06.3</w:t>
            </w:r>
          </w:p>
        </w:tc>
        <w:tc>
          <w:tcPr>
            <w:tcW w:w="8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62B7C3F0"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Indikátor výstupu</w:t>
            </w:r>
          </w:p>
        </w:tc>
        <w:tc>
          <w:tcPr>
            <w:tcW w:w="425"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3EE4AB79"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90501</w:t>
            </w:r>
          </w:p>
        </w:tc>
        <w:tc>
          <w:tcPr>
            <w:tcW w:w="1276"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65932044"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revitalizovaných památkových objektů</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5849AC57"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Objekty</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1D656511"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EFRR</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55E30063"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0092AD30" w14:textId="77777777" w:rsidR="00533CD2" w:rsidRDefault="00533CD2">
            <w:pPr>
              <w:ind w:left="57" w:right="57"/>
              <w:jc w:val="both"/>
            </w:pP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160AA809" w14:textId="77777777" w:rsidR="00533CD2" w:rsidRDefault="00533CD2">
            <w:pPr>
              <w:ind w:left="57" w:right="57"/>
              <w:jc w:val="both"/>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1DD317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0DBEAF0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674D821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2385573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4D6F651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45871A1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6B000D23"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C04E76E"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632F6091"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2B989363"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val="restart"/>
            <w:tcBorders>
              <w:top w:val="single" w:sz="12" w:space="0" w:color="000000"/>
              <w:left w:val="single" w:sz="4" w:space="0" w:color="000000"/>
              <w:bottom w:val="single" w:sz="12" w:space="0" w:color="000000"/>
              <w:right w:val="single" w:sz="12" w:space="0" w:color="000000"/>
            </w:tcBorders>
            <w:shd w:val="clear" w:color="auto" w:fill="FFFFFF"/>
            <w:vAlign w:val="center"/>
          </w:tcPr>
          <w:p w14:paraId="175B0858" w14:textId="77777777" w:rsidR="00533CD2" w:rsidRDefault="00533CD2">
            <w:pPr>
              <w:keepLines/>
              <w:tabs>
                <w:tab w:val="left" w:pos="828"/>
              </w:tabs>
              <w:ind w:left="57" w:right="57"/>
              <w:rPr>
                <w:rFonts w:ascii="Arial" w:eastAsia="Arial" w:hAnsi="Arial" w:cs="Arial"/>
                <w:color w:val="000000"/>
                <w:sz w:val="14"/>
              </w:rPr>
            </w:pPr>
          </w:p>
        </w:tc>
      </w:tr>
      <w:tr w:rsidR="00533CD2" w14:paraId="1078A3C2"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52CBB5B8"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C07267D"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95C70A9"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A5AE8ED"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CA6844C"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B2E13EE"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1BF4D68"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23094E3F"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370B9AF6"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44923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A9AFA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C38C0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E0C36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B47FC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962AA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EF98E6"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C9718E"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164684"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9C03CF"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354AC51C" w14:textId="77777777" w:rsidR="00533CD2" w:rsidRDefault="00533CD2"/>
        </w:tc>
      </w:tr>
      <w:tr w:rsidR="00533CD2" w14:paraId="33D18303"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7F2F021E"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9714564"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97FD6FC"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8674A3A"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D977441"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653ABA5"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2EC9E19"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5A7A1805"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18F86A16"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0A818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188A2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7835F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BBD32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A0210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20340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77ED1E"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D0812C"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F856B1"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2298BF"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7D4AA60F" w14:textId="77777777" w:rsidR="00533CD2" w:rsidRDefault="00533CD2"/>
        </w:tc>
      </w:tr>
      <w:tr w:rsidR="00533CD2" w14:paraId="2ED5BFC2"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079BE3C8"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27E3365"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E8664F6"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4DBFED8"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6CC8E44"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07AB2D3"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E2B269C" w14:textId="77777777" w:rsidR="00533CD2" w:rsidRDefault="00533CD2"/>
        </w:tc>
        <w:tc>
          <w:tcPr>
            <w:tcW w:w="709" w:type="dxa"/>
            <w:tcBorders>
              <w:left w:val="single" w:sz="4" w:space="0" w:color="000000"/>
              <w:bottom w:val="single" w:sz="4" w:space="0" w:color="000000"/>
              <w:right w:val="single" w:sz="4" w:space="0" w:color="000000"/>
            </w:tcBorders>
            <w:shd w:val="clear" w:color="auto" w:fill="E7E6E6"/>
            <w:vAlign w:val="bottom"/>
          </w:tcPr>
          <w:p w14:paraId="0875265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8,000</w:t>
            </w:r>
          </w:p>
        </w:tc>
        <w:tc>
          <w:tcPr>
            <w:tcW w:w="709" w:type="dxa"/>
            <w:tcBorders>
              <w:left w:val="single" w:sz="4" w:space="0" w:color="000000"/>
              <w:bottom w:val="single" w:sz="4" w:space="0" w:color="000000"/>
              <w:right w:val="single" w:sz="4" w:space="0" w:color="000000"/>
            </w:tcBorders>
            <w:shd w:val="clear" w:color="auto" w:fill="E7E6E6"/>
            <w:vAlign w:val="bottom"/>
          </w:tcPr>
          <w:p w14:paraId="114C67D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90,000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3B39731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2600D8C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9881BB7"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59BE66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8E34D6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31DE4B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7CDB9744"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F470FA8"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34304E90"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3C42BC6F"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6743CB29" w14:textId="77777777" w:rsidR="00533CD2" w:rsidRDefault="00533CD2"/>
        </w:tc>
      </w:tr>
      <w:tr w:rsidR="00533CD2" w14:paraId="6C4461B7"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592A437A"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56B7C88"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79545BF"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4A19025"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523BA88"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6B793C6"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BACFEC1" w14:textId="77777777" w:rsidR="00533CD2" w:rsidRDefault="00533CD2"/>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B5F434"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662A50"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71F41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AEC71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188CE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E35C8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62822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2933A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B004DB"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B72850"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926E56"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9FBB05"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69D6B0AA" w14:textId="77777777" w:rsidR="00533CD2" w:rsidRDefault="00533CD2"/>
        </w:tc>
      </w:tr>
      <w:tr w:rsidR="00533CD2" w14:paraId="7860DECE"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1665A245"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40EDD0C"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9430719"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B743FF1"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5C5F60A"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67CB048"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8837B0B" w14:textId="77777777" w:rsidR="00533CD2" w:rsidRDefault="00533CD2"/>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7143A5F"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0E104593"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149E3E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AB9FEE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C74847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D09901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2E955D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C8ED54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E98B2CC"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3102A2D"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4E2EFA1B"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B3DBE17"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0AB261DC" w14:textId="77777777" w:rsidR="00533CD2" w:rsidRDefault="00533CD2"/>
        </w:tc>
      </w:tr>
      <w:tr w:rsidR="00EB759C" w14:paraId="3F4D92E9" w14:textId="77777777">
        <w:tc>
          <w:tcPr>
            <w:tcW w:w="466" w:type="dxa"/>
            <w:vMerge w:val="restart"/>
            <w:tcBorders>
              <w:top w:val="single" w:sz="12" w:space="0" w:color="000000"/>
              <w:left w:val="single" w:sz="12" w:space="0" w:color="000000"/>
              <w:bottom w:val="single" w:sz="12" w:space="0" w:color="000000"/>
              <w:right w:val="single" w:sz="4" w:space="0" w:color="000000"/>
            </w:tcBorders>
            <w:shd w:val="clear" w:color="auto" w:fill="FFFFFF"/>
            <w:vAlign w:val="center"/>
          </w:tcPr>
          <w:p w14:paraId="37507348" w14:textId="77777777" w:rsidR="00EB759C" w:rsidRDefault="00EB759C" w:rsidP="00EB759C">
            <w:pPr>
              <w:tabs>
                <w:tab w:val="left" w:pos="828"/>
              </w:tabs>
              <w:ind w:left="57" w:right="57"/>
              <w:rPr>
                <w:rFonts w:ascii="Arial" w:eastAsia="Arial" w:hAnsi="Arial" w:cs="Arial"/>
                <w:color w:val="000000"/>
                <w:sz w:val="14"/>
              </w:rPr>
            </w:pPr>
            <w:r>
              <w:rPr>
                <w:rFonts w:ascii="Arial" w:eastAsia="Arial" w:hAnsi="Arial" w:cs="Arial"/>
                <w:color w:val="000000"/>
                <w:sz w:val="14"/>
              </w:rPr>
              <w:t>06.3</w:t>
            </w:r>
          </w:p>
        </w:tc>
        <w:tc>
          <w:tcPr>
            <w:tcW w:w="8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2463611B" w14:textId="77777777" w:rsidR="00EB759C" w:rsidRDefault="00EB759C" w:rsidP="00EB759C">
            <w:pPr>
              <w:tabs>
                <w:tab w:val="left" w:pos="828"/>
              </w:tabs>
              <w:ind w:left="57" w:right="57"/>
              <w:rPr>
                <w:rFonts w:ascii="Arial" w:eastAsia="Arial" w:hAnsi="Arial" w:cs="Arial"/>
                <w:color w:val="000000"/>
                <w:sz w:val="14"/>
              </w:rPr>
            </w:pPr>
            <w:r>
              <w:rPr>
                <w:rFonts w:ascii="Arial" w:eastAsia="Arial" w:hAnsi="Arial" w:cs="Arial"/>
                <w:color w:val="000000"/>
                <w:sz w:val="14"/>
              </w:rPr>
              <w:t>Finanční ukazatel</w:t>
            </w:r>
          </w:p>
        </w:tc>
        <w:tc>
          <w:tcPr>
            <w:tcW w:w="425"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13911B62" w14:textId="77777777" w:rsidR="00EB759C" w:rsidRDefault="00EB759C" w:rsidP="00EB759C">
            <w:pPr>
              <w:tabs>
                <w:tab w:val="left" w:pos="828"/>
              </w:tabs>
              <w:ind w:left="57" w:right="57"/>
              <w:rPr>
                <w:rFonts w:ascii="Arial" w:eastAsia="Arial" w:hAnsi="Arial" w:cs="Arial"/>
                <w:color w:val="000000"/>
                <w:sz w:val="14"/>
              </w:rPr>
            </w:pPr>
            <w:r>
              <w:rPr>
                <w:rFonts w:ascii="Arial" w:eastAsia="Arial" w:hAnsi="Arial" w:cs="Arial"/>
                <w:color w:val="000000"/>
                <w:sz w:val="14"/>
              </w:rPr>
              <w:t>FINMT</w:t>
            </w:r>
          </w:p>
        </w:tc>
        <w:tc>
          <w:tcPr>
            <w:tcW w:w="1276"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40D43885" w14:textId="77777777" w:rsidR="00EB759C" w:rsidRDefault="00EB759C" w:rsidP="00EB759C">
            <w:pPr>
              <w:tabs>
                <w:tab w:val="left" w:pos="828"/>
              </w:tabs>
              <w:ind w:left="57" w:right="57"/>
              <w:rPr>
                <w:rFonts w:ascii="Arial" w:eastAsia="Arial" w:hAnsi="Arial" w:cs="Arial"/>
                <w:color w:val="000000"/>
                <w:sz w:val="14"/>
              </w:rPr>
            </w:pPr>
            <w:r>
              <w:rPr>
                <w:rFonts w:ascii="Arial" w:eastAsia="Arial" w:hAnsi="Arial" w:cs="Arial"/>
                <w:color w:val="000000"/>
                <w:sz w:val="14"/>
              </w:rPr>
              <w:t>Celkové certifikované způsobilé výdaje - MRR</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28892FD1" w14:textId="77777777" w:rsidR="00EB759C" w:rsidRDefault="00EB759C" w:rsidP="00EB759C">
            <w:pPr>
              <w:tabs>
                <w:tab w:val="left" w:pos="828"/>
              </w:tabs>
              <w:ind w:left="57" w:right="57"/>
              <w:rPr>
                <w:rFonts w:ascii="Arial" w:eastAsia="Arial" w:hAnsi="Arial" w:cs="Arial"/>
                <w:color w:val="000000"/>
                <w:sz w:val="14"/>
              </w:rPr>
            </w:pPr>
            <w:r>
              <w:rPr>
                <w:rFonts w:ascii="Arial" w:eastAsia="Arial" w:hAnsi="Arial" w:cs="Arial"/>
                <w:color w:val="000000"/>
                <w:sz w:val="14"/>
              </w:rPr>
              <w:t>Euro</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31FC352D" w14:textId="77777777" w:rsidR="00EB759C" w:rsidRDefault="00EB759C" w:rsidP="00EB759C">
            <w:pPr>
              <w:tabs>
                <w:tab w:val="left" w:pos="828"/>
              </w:tabs>
              <w:ind w:left="57" w:right="57"/>
              <w:rPr>
                <w:rFonts w:ascii="Arial" w:eastAsia="Arial" w:hAnsi="Arial" w:cs="Arial"/>
                <w:color w:val="000000"/>
                <w:sz w:val="14"/>
              </w:rPr>
            </w:pPr>
            <w:r>
              <w:rPr>
                <w:rFonts w:ascii="Arial" w:eastAsia="Arial" w:hAnsi="Arial" w:cs="Arial"/>
                <w:color w:val="000000"/>
                <w:sz w:val="14"/>
              </w:rPr>
              <w:t>EFRR</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3390C76E" w14:textId="77777777" w:rsidR="00EB759C" w:rsidRDefault="00EB759C" w:rsidP="00EB759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543F96C2" w14:textId="77777777" w:rsidR="00EB759C" w:rsidRDefault="00EB759C" w:rsidP="00EB759C">
            <w:pPr>
              <w:ind w:left="57" w:right="57"/>
              <w:jc w:val="both"/>
            </w:pP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26877B7A" w14:textId="77777777" w:rsidR="00EB759C" w:rsidRDefault="00EB759C" w:rsidP="00EB759C">
            <w:pPr>
              <w:ind w:left="57" w:right="57"/>
              <w:jc w:val="both"/>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698B97C"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1C108C70"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41E8559E"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09295955"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2 987 578,370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1254B792" w14:textId="3A42340D"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67 071 748,520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57131D86" w14:textId="21F22766"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70 234 293,490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13609472"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B2B8911"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50363F18"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4C1F678A"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0" w:type="dxa"/>
            <w:vMerge w:val="restart"/>
            <w:tcBorders>
              <w:top w:val="single" w:sz="12" w:space="0" w:color="000000"/>
              <w:left w:val="single" w:sz="4" w:space="0" w:color="000000"/>
              <w:bottom w:val="single" w:sz="12" w:space="0" w:color="000000"/>
              <w:right w:val="single" w:sz="12" w:space="0" w:color="000000"/>
            </w:tcBorders>
            <w:shd w:val="clear" w:color="auto" w:fill="FFFFFF"/>
            <w:vAlign w:val="center"/>
          </w:tcPr>
          <w:p w14:paraId="6BD40195" w14:textId="4372C80E" w:rsidR="00EB759C" w:rsidRDefault="00EB759C" w:rsidP="00EB759C">
            <w:pPr>
              <w:keepLines/>
              <w:tabs>
                <w:tab w:val="left" w:pos="828"/>
              </w:tabs>
              <w:ind w:left="57" w:right="57"/>
              <w:rPr>
                <w:rFonts w:ascii="Arial" w:eastAsia="Arial" w:hAnsi="Arial" w:cs="Arial"/>
                <w:color w:val="000000"/>
                <w:sz w:val="14"/>
              </w:rPr>
            </w:pPr>
            <w:r>
              <w:rPr>
                <w:rFonts w:ascii="Arial" w:eastAsia="Arial" w:hAnsi="Arial" w:cs="Arial"/>
                <w:color w:val="000000"/>
                <w:sz w:val="14"/>
              </w:rPr>
              <w:t>Na základě provedeného auditu systému,</w:t>
            </w:r>
            <w:r w:rsidRPr="00192346">
              <w:rPr>
                <w:rFonts w:ascii="Arial" w:eastAsia="Arial" w:hAnsi="Arial" w:cs="Arial"/>
                <w:color w:val="000000"/>
                <w:sz w:val="14"/>
              </w:rPr>
              <w:t xml:space="preserve"> který shledal chybné započítání částek u několika žádostí o </w:t>
            </w:r>
            <w:proofErr w:type="gramStart"/>
            <w:r w:rsidRPr="00192346">
              <w:rPr>
                <w:rFonts w:ascii="Arial" w:eastAsia="Arial" w:hAnsi="Arial" w:cs="Arial"/>
                <w:color w:val="000000"/>
                <w:sz w:val="14"/>
              </w:rPr>
              <w:t>platbu</w:t>
            </w:r>
            <w:r>
              <w:rPr>
                <w:rFonts w:ascii="Arial" w:eastAsia="Arial" w:hAnsi="Arial" w:cs="Arial"/>
                <w:color w:val="000000"/>
                <w:sz w:val="14"/>
              </w:rPr>
              <w:t xml:space="preserve"> ,došlo</w:t>
            </w:r>
            <w:proofErr w:type="gramEnd"/>
            <w:r>
              <w:rPr>
                <w:rFonts w:ascii="Arial" w:eastAsia="Arial" w:hAnsi="Arial" w:cs="Arial"/>
                <w:color w:val="000000"/>
                <w:sz w:val="14"/>
              </w:rPr>
              <w:t xml:space="preserve"> k dodatečné úpravě hodnoty certifikovaných výdajů v roce 2018, tak i k úpravě kumulativní hodnoty  do konce roku 2018.  Certifikované výdaje v roce 2018 byly nahrazeny z původní hodnoty 67 075 302</w:t>
            </w:r>
            <w:proofErr w:type="gramStart"/>
            <w:r>
              <w:rPr>
                <w:rFonts w:ascii="Arial" w:eastAsia="Arial" w:hAnsi="Arial" w:cs="Arial"/>
                <w:color w:val="000000"/>
                <w:sz w:val="14"/>
              </w:rPr>
              <w:t>,55</w:t>
            </w:r>
            <w:proofErr w:type="gramEnd"/>
            <w:r>
              <w:rPr>
                <w:rFonts w:ascii="Arial" w:eastAsia="Arial" w:hAnsi="Arial" w:cs="Arial"/>
                <w:color w:val="000000"/>
                <w:sz w:val="14"/>
              </w:rPr>
              <w:t xml:space="preserve"> na 67 071 748,520. Kumulativní hodnota do konce roku 2018 byla upravena z hodnoty 70 062 880,920 na 70 059 326,890. Dále v květnu 2019 proběhla mimořádná certfikace, která zahrnovala výdaje proplacené příjemcům do konce roku 2018. Z tohoto důvodu nelze výdaje srovnávat s údaji z IS VIOLA, kde jsou hodnoty za celý rok. Na základě tohoto byly certifikované výdaje v roce 2019 monitoraované IS VIOLA poníženy o tuto mimořádnou certifikaci. </w:t>
            </w:r>
          </w:p>
        </w:tc>
      </w:tr>
      <w:tr w:rsidR="00EB759C" w14:paraId="7BFE3D0A"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1E09D022" w14:textId="77777777" w:rsidR="00EB759C" w:rsidRDefault="00EB759C" w:rsidP="00EB759C"/>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98279DF" w14:textId="77777777" w:rsidR="00EB759C" w:rsidRDefault="00EB759C" w:rsidP="00EB759C"/>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D8A51D5" w14:textId="77777777" w:rsidR="00EB759C" w:rsidRDefault="00EB759C" w:rsidP="00EB759C"/>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E72088E"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7BF27EB"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B6B57A2"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00DC5F5" w14:textId="77777777" w:rsidR="00EB759C" w:rsidRDefault="00EB759C" w:rsidP="00EB759C"/>
        </w:tc>
        <w:tc>
          <w:tcPr>
            <w:tcW w:w="709" w:type="dxa"/>
            <w:vMerge/>
            <w:tcBorders>
              <w:top w:val="single" w:sz="12" w:space="0" w:color="000000"/>
              <w:left w:val="single" w:sz="4" w:space="0" w:color="000000"/>
              <w:right w:val="single" w:sz="4" w:space="0" w:color="000000"/>
            </w:tcBorders>
            <w:shd w:val="clear" w:color="auto" w:fill="E7E6E6"/>
            <w:vAlign w:val="bottom"/>
          </w:tcPr>
          <w:p w14:paraId="6B701541" w14:textId="77777777" w:rsidR="00EB759C" w:rsidRDefault="00EB759C" w:rsidP="00EB759C"/>
        </w:tc>
        <w:tc>
          <w:tcPr>
            <w:tcW w:w="709" w:type="dxa"/>
            <w:vMerge/>
            <w:tcBorders>
              <w:top w:val="single" w:sz="12" w:space="0" w:color="000000"/>
              <w:left w:val="single" w:sz="4" w:space="0" w:color="000000"/>
              <w:right w:val="single" w:sz="4" w:space="0" w:color="000000"/>
            </w:tcBorders>
            <w:shd w:val="clear" w:color="auto" w:fill="E7E6E6"/>
            <w:vAlign w:val="bottom"/>
          </w:tcPr>
          <w:p w14:paraId="45EC42DE" w14:textId="77777777" w:rsidR="00EB759C" w:rsidRDefault="00EB759C" w:rsidP="00EB759C"/>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CE19FD"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C7C27E"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7D55D5"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52A21A"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216B21"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17A6DC"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68FF8C"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20451F"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0896FF"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9586B8"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145E2D58" w14:textId="77777777" w:rsidR="00EB759C" w:rsidRDefault="00EB759C" w:rsidP="00EB759C"/>
        </w:tc>
      </w:tr>
      <w:tr w:rsidR="00EB759C" w14:paraId="7AABDC1E"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6378B20D" w14:textId="77777777" w:rsidR="00EB759C" w:rsidRDefault="00EB759C" w:rsidP="00EB759C"/>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8537BA9" w14:textId="77777777" w:rsidR="00EB759C" w:rsidRDefault="00EB759C" w:rsidP="00EB759C"/>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5BBBB31" w14:textId="77777777" w:rsidR="00EB759C" w:rsidRDefault="00EB759C" w:rsidP="00EB759C"/>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E091481"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D645A34"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DE53F59"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EBC3DF4" w14:textId="77777777" w:rsidR="00EB759C" w:rsidRDefault="00EB759C" w:rsidP="00EB759C"/>
        </w:tc>
        <w:tc>
          <w:tcPr>
            <w:tcW w:w="709" w:type="dxa"/>
            <w:vMerge/>
            <w:tcBorders>
              <w:top w:val="single" w:sz="12" w:space="0" w:color="000000"/>
              <w:left w:val="single" w:sz="4" w:space="0" w:color="000000"/>
              <w:right w:val="single" w:sz="4" w:space="0" w:color="000000"/>
            </w:tcBorders>
            <w:shd w:val="clear" w:color="auto" w:fill="E7E6E6"/>
            <w:vAlign w:val="bottom"/>
          </w:tcPr>
          <w:p w14:paraId="76A1A6F5" w14:textId="77777777" w:rsidR="00EB759C" w:rsidRDefault="00EB759C" w:rsidP="00EB759C"/>
        </w:tc>
        <w:tc>
          <w:tcPr>
            <w:tcW w:w="709" w:type="dxa"/>
            <w:vMerge/>
            <w:tcBorders>
              <w:top w:val="single" w:sz="12" w:space="0" w:color="000000"/>
              <w:left w:val="single" w:sz="4" w:space="0" w:color="000000"/>
              <w:right w:val="single" w:sz="4" w:space="0" w:color="000000"/>
            </w:tcBorders>
            <w:shd w:val="clear" w:color="auto" w:fill="E7E6E6"/>
            <w:vAlign w:val="bottom"/>
          </w:tcPr>
          <w:p w14:paraId="328F05BB" w14:textId="77777777" w:rsidR="00EB759C" w:rsidRDefault="00EB759C" w:rsidP="00EB759C"/>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DBB32C"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756977"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5BC2D6"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4E65F4"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AA3628"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EC6151"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5E3086"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786530"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CEBA7A"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D4C492"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1085DE3F" w14:textId="77777777" w:rsidR="00EB759C" w:rsidRDefault="00EB759C" w:rsidP="00EB759C"/>
        </w:tc>
      </w:tr>
      <w:tr w:rsidR="00EB759C" w14:paraId="7107CCBA"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2E2864CF" w14:textId="77777777" w:rsidR="00EB759C" w:rsidRDefault="00EB759C" w:rsidP="00EB759C"/>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EB0210E" w14:textId="77777777" w:rsidR="00EB759C" w:rsidRDefault="00EB759C" w:rsidP="00EB759C"/>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5F0F758" w14:textId="77777777" w:rsidR="00EB759C" w:rsidRDefault="00EB759C" w:rsidP="00EB759C"/>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84DBBF8"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930DA22"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22D174D"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6E3D3B7" w14:textId="77777777" w:rsidR="00EB759C" w:rsidRDefault="00EB759C" w:rsidP="00EB759C"/>
        </w:tc>
        <w:tc>
          <w:tcPr>
            <w:tcW w:w="709" w:type="dxa"/>
            <w:tcBorders>
              <w:left w:val="single" w:sz="4" w:space="0" w:color="000000"/>
              <w:bottom w:val="single" w:sz="4" w:space="0" w:color="000000"/>
              <w:right w:val="single" w:sz="4" w:space="0" w:color="000000"/>
            </w:tcBorders>
            <w:shd w:val="clear" w:color="auto" w:fill="E7E6E6"/>
            <w:vAlign w:val="bottom"/>
          </w:tcPr>
          <w:p w14:paraId="2D3DFF4E" w14:textId="77777777" w:rsidR="00EB759C" w:rsidRDefault="00EB759C" w:rsidP="00EB759C">
            <w:pPr>
              <w:tabs>
                <w:tab w:val="left" w:pos="828"/>
              </w:tabs>
              <w:ind w:left="57" w:right="57"/>
              <w:jc w:val="right"/>
              <w:rPr>
                <w:rFonts w:ascii="Arial" w:eastAsia="Arial" w:hAnsi="Arial" w:cs="Arial"/>
                <w:color w:val="000000"/>
                <w:sz w:val="14"/>
              </w:rPr>
            </w:pPr>
            <w:r>
              <w:rPr>
                <w:rFonts w:ascii="Arial" w:eastAsia="Arial" w:hAnsi="Arial" w:cs="Arial"/>
                <w:color w:val="000000"/>
                <w:sz w:val="14"/>
              </w:rPr>
              <w:t>70 983 171,150</w:t>
            </w:r>
          </w:p>
        </w:tc>
        <w:tc>
          <w:tcPr>
            <w:tcW w:w="709" w:type="dxa"/>
            <w:tcBorders>
              <w:left w:val="single" w:sz="4" w:space="0" w:color="000000"/>
              <w:bottom w:val="single" w:sz="4" w:space="0" w:color="000000"/>
              <w:right w:val="single" w:sz="4" w:space="0" w:color="000000"/>
            </w:tcBorders>
            <w:shd w:val="clear" w:color="auto" w:fill="E7E6E6"/>
            <w:vAlign w:val="bottom"/>
          </w:tcPr>
          <w:p w14:paraId="3E78156C"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868 786 690,000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FDAB205"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23EC1EDE"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3468F534"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39939B77"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2 987 578,370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EBFFA52" w14:textId="75CCD9E2"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70 059 326,890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55F310AD" w14:textId="5FCB930A"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140 293 620,380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8D3A479"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A5997D1"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7A21E8F1"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1F2525A"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484DF048" w14:textId="77777777" w:rsidR="00EB759C" w:rsidRDefault="00EB759C" w:rsidP="00EB759C"/>
        </w:tc>
      </w:tr>
      <w:tr w:rsidR="00EB759C" w14:paraId="397F4531"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5345F2DB" w14:textId="77777777" w:rsidR="00EB759C" w:rsidRDefault="00EB759C" w:rsidP="00EB759C"/>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D829BFE" w14:textId="77777777" w:rsidR="00EB759C" w:rsidRDefault="00EB759C" w:rsidP="00EB759C"/>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6A73058" w14:textId="77777777" w:rsidR="00EB759C" w:rsidRDefault="00EB759C" w:rsidP="00EB759C"/>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6F68E56"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BBF6870"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9165972"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9722C34" w14:textId="77777777" w:rsidR="00EB759C" w:rsidRDefault="00EB759C" w:rsidP="00EB759C"/>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168CCC"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245A03"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9DC7C7"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062151"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38FC5D"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3650C1"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C4D534"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34049B"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A18A8B"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4CE757"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53BD37"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8E9AD6"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0FD6AB88" w14:textId="77777777" w:rsidR="00EB759C" w:rsidRDefault="00EB759C" w:rsidP="00EB759C"/>
        </w:tc>
      </w:tr>
      <w:tr w:rsidR="00EB759C" w14:paraId="7244148B"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628E38E6" w14:textId="77777777" w:rsidR="00EB759C" w:rsidRDefault="00EB759C" w:rsidP="00EB759C"/>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529B011" w14:textId="77777777" w:rsidR="00EB759C" w:rsidRDefault="00EB759C" w:rsidP="00EB759C"/>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B542DDB" w14:textId="77777777" w:rsidR="00EB759C" w:rsidRDefault="00EB759C" w:rsidP="00EB759C"/>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76FEE71"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C1B549E"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F8A1CFF"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087362F" w14:textId="77777777" w:rsidR="00EB759C" w:rsidRDefault="00EB759C" w:rsidP="00EB759C"/>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4E3670DB"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9945BDA"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B9468F3"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78B194E"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E5695E2"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0AC0E30F"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4D375EA"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F5F6613"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9DBDF76"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31895AC"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132BF3A"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2DEE273"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5BA2091A" w14:textId="77777777" w:rsidR="00EB759C" w:rsidRDefault="00EB759C" w:rsidP="00EB759C"/>
        </w:tc>
      </w:tr>
      <w:tr w:rsidR="00EB759C" w14:paraId="41A9830C" w14:textId="77777777">
        <w:tc>
          <w:tcPr>
            <w:tcW w:w="466" w:type="dxa"/>
            <w:vMerge w:val="restart"/>
            <w:tcBorders>
              <w:top w:val="single" w:sz="12" w:space="0" w:color="000000"/>
              <w:left w:val="single" w:sz="12" w:space="0" w:color="000000"/>
              <w:bottom w:val="single" w:sz="12" w:space="0" w:color="000000"/>
              <w:right w:val="single" w:sz="4" w:space="0" w:color="000000"/>
            </w:tcBorders>
            <w:shd w:val="clear" w:color="auto" w:fill="FFFFFF"/>
            <w:vAlign w:val="center"/>
          </w:tcPr>
          <w:p w14:paraId="38D4FA21" w14:textId="77777777" w:rsidR="00EB759C" w:rsidRDefault="00EB759C" w:rsidP="00EB759C">
            <w:pPr>
              <w:tabs>
                <w:tab w:val="left" w:pos="828"/>
              </w:tabs>
              <w:ind w:left="57" w:right="57"/>
              <w:rPr>
                <w:rFonts w:ascii="Arial" w:eastAsia="Arial" w:hAnsi="Arial" w:cs="Arial"/>
                <w:color w:val="000000"/>
                <w:sz w:val="14"/>
              </w:rPr>
            </w:pPr>
            <w:r>
              <w:rPr>
                <w:rFonts w:ascii="Arial" w:eastAsia="Arial" w:hAnsi="Arial" w:cs="Arial"/>
                <w:color w:val="000000"/>
                <w:sz w:val="14"/>
              </w:rPr>
              <w:t>06.3</w:t>
            </w:r>
          </w:p>
        </w:tc>
        <w:tc>
          <w:tcPr>
            <w:tcW w:w="8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5D8C918A" w14:textId="77777777" w:rsidR="00EB759C" w:rsidRDefault="00EB759C" w:rsidP="00EB759C">
            <w:pPr>
              <w:tabs>
                <w:tab w:val="left" w:pos="828"/>
              </w:tabs>
              <w:ind w:left="57" w:right="57"/>
              <w:rPr>
                <w:rFonts w:ascii="Arial" w:eastAsia="Arial" w:hAnsi="Arial" w:cs="Arial"/>
                <w:color w:val="000000"/>
                <w:sz w:val="14"/>
              </w:rPr>
            </w:pPr>
            <w:r>
              <w:rPr>
                <w:rFonts w:ascii="Arial" w:eastAsia="Arial" w:hAnsi="Arial" w:cs="Arial"/>
                <w:color w:val="000000"/>
                <w:sz w:val="14"/>
              </w:rPr>
              <w:t>Finanční ukazatel</w:t>
            </w:r>
          </w:p>
        </w:tc>
        <w:tc>
          <w:tcPr>
            <w:tcW w:w="425"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74B834E5" w14:textId="77777777" w:rsidR="00EB759C" w:rsidRDefault="00EB759C" w:rsidP="00EB759C">
            <w:pPr>
              <w:tabs>
                <w:tab w:val="left" w:pos="828"/>
              </w:tabs>
              <w:ind w:left="57" w:right="57"/>
              <w:rPr>
                <w:rFonts w:ascii="Arial" w:eastAsia="Arial" w:hAnsi="Arial" w:cs="Arial"/>
                <w:color w:val="000000"/>
                <w:sz w:val="14"/>
              </w:rPr>
            </w:pPr>
            <w:r>
              <w:rPr>
                <w:rFonts w:ascii="Arial" w:eastAsia="Arial" w:hAnsi="Arial" w:cs="Arial"/>
                <w:color w:val="000000"/>
                <w:sz w:val="14"/>
              </w:rPr>
              <w:t>FINMT</w:t>
            </w:r>
          </w:p>
        </w:tc>
        <w:tc>
          <w:tcPr>
            <w:tcW w:w="1276"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59D22642" w14:textId="77777777" w:rsidR="00EB759C" w:rsidRDefault="00EB759C" w:rsidP="00EB759C">
            <w:pPr>
              <w:tabs>
                <w:tab w:val="left" w:pos="828"/>
              </w:tabs>
              <w:ind w:left="57" w:right="57"/>
              <w:rPr>
                <w:rFonts w:ascii="Arial" w:eastAsia="Arial" w:hAnsi="Arial" w:cs="Arial"/>
                <w:color w:val="000000"/>
                <w:sz w:val="14"/>
              </w:rPr>
            </w:pPr>
            <w:r>
              <w:rPr>
                <w:rFonts w:ascii="Arial" w:eastAsia="Arial" w:hAnsi="Arial" w:cs="Arial"/>
                <w:color w:val="000000"/>
                <w:sz w:val="14"/>
              </w:rPr>
              <w:t>Celkové certifikované způsobilé výdaje - VRR</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6E128F8F" w14:textId="77777777" w:rsidR="00EB759C" w:rsidRDefault="00EB759C" w:rsidP="00EB759C">
            <w:pPr>
              <w:tabs>
                <w:tab w:val="left" w:pos="828"/>
              </w:tabs>
              <w:ind w:left="57" w:right="57"/>
              <w:rPr>
                <w:rFonts w:ascii="Arial" w:eastAsia="Arial" w:hAnsi="Arial" w:cs="Arial"/>
                <w:color w:val="000000"/>
                <w:sz w:val="14"/>
              </w:rPr>
            </w:pP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591A5C21" w14:textId="77777777" w:rsidR="00EB759C" w:rsidRDefault="00EB759C" w:rsidP="00EB759C">
            <w:pPr>
              <w:tabs>
                <w:tab w:val="left" w:pos="828"/>
              </w:tabs>
              <w:ind w:left="57" w:right="57"/>
              <w:rPr>
                <w:rFonts w:ascii="Arial" w:eastAsia="Arial" w:hAnsi="Arial" w:cs="Arial"/>
                <w:color w:val="000000"/>
                <w:sz w:val="14"/>
              </w:rPr>
            </w:pPr>
            <w:r>
              <w:rPr>
                <w:rFonts w:ascii="Arial" w:eastAsia="Arial" w:hAnsi="Arial" w:cs="Arial"/>
                <w:color w:val="000000"/>
                <w:sz w:val="14"/>
              </w:rPr>
              <w:t>EFRR</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634D4F81" w14:textId="77777777" w:rsidR="00EB759C" w:rsidRDefault="00EB759C" w:rsidP="00EB759C">
            <w:pPr>
              <w:tabs>
                <w:tab w:val="left" w:pos="828"/>
              </w:tabs>
              <w:ind w:left="57" w:right="57"/>
              <w:rPr>
                <w:rFonts w:ascii="Arial" w:eastAsia="Arial" w:hAnsi="Arial" w:cs="Arial"/>
                <w:color w:val="000000"/>
                <w:sz w:val="14"/>
              </w:rPr>
            </w:pPr>
            <w:r>
              <w:rPr>
                <w:rFonts w:ascii="Arial" w:eastAsia="Arial" w:hAnsi="Arial" w:cs="Arial"/>
                <w:color w:val="000000"/>
                <w:sz w:val="14"/>
              </w:rPr>
              <w:t>Více rozvinuté regiony</w:t>
            </w: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27EFE8D3" w14:textId="77777777" w:rsidR="00EB759C" w:rsidRDefault="00EB759C" w:rsidP="00EB759C">
            <w:pPr>
              <w:ind w:left="57" w:right="57"/>
              <w:jc w:val="both"/>
            </w:pP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39C39BC7" w14:textId="77777777" w:rsidR="00EB759C" w:rsidRDefault="00EB759C" w:rsidP="00EB759C">
            <w:pPr>
              <w:ind w:left="57" w:right="57"/>
              <w:jc w:val="both"/>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203BF2D1"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6DF0761"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252AEAB5"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A7AECC1"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58D9A17F" w14:textId="6383F16B"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1 157 326,570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01568DE" w14:textId="3A59DA79"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1 551 311,</w:t>
            </w:r>
            <w:r>
              <w:rPr>
                <w:rFonts w:ascii="Arial" w:eastAsia="Arial" w:hAnsi="Arial" w:cs="Arial"/>
                <w:color w:val="000000"/>
                <w:sz w:val="14"/>
              </w:rPr>
              <w:br/>
              <w:t>650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4064DD6C"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88F4ABA"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2C32C140"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22C7B82"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0" w:type="dxa"/>
            <w:vMerge w:val="restart"/>
            <w:tcBorders>
              <w:top w:val="single" w:sz="12" w:space="0" w:color="000000"/>
              <w:left w:val="single" w:sz="4" w:space="0" w:color="000000"/>
              <w:bottom w:val="single" w:sz="12" w:space="0" w:color="000000"/>
              <w:right w:val="single" w:sz="12" w:space="0" w:color="000000"/>
            </w:tcBorders>
            <w:shd w:val="clear" w:color="auto" w:fill="FFFFFF"/>
            <w:vAlign w:val="center"/>
          </w:tcPr>
          <w:p w14:paraId="62AB9CFD" w14:textId="77777777" w:rsidR="00EB759C" w:rsidRDefault="00EB759C" w:rsidP="00EB759C">
            <w:pPr>
              <w:keepLines/>
              <w:tabs>
                <w:tab w:val="left" w:pos="828"/>
              </w:tabs>
              <w:ind w:left="57" w:right="57"/>
              <w:rPr>
                <w:rFonts w:ascii="Arial" w:eastAsia="Arial" w:hAnsi="Arial" w:cs="Arial"/>
                <w:color w:val="000000"/>
                <w:sz w:val="14"/>
              </w:rPr>
            </w:pPr>
            <w:r>
              <w:rPr>
                <w:rFonts w:ascii="Arial" w:eastAsia="Arial" w:hAnsi="Arial" w:cs="Arial"/>
                <w:color w:val="000000"/>
                <w:sz w:val="14"/>
              </w:rPr>
              <w:t>Na základě provedeného auditu systému,</w:t>
            </w:r>
            <w:r w:rsidRPr="006E0944">
              <w:rPr>
                <w:rFonts w:ascii="Arial" w:eastAsia="Arial" w:hAnsi="Arial" w:cs="Arial"/>
                <w:color w:val="000000"/>
                <w:sz w:val="14"/>
              </w:rPr>
              <w:t xml:space="preserve"> který shledal chybné započítání částek u několika žádostí o </w:t>
            </w:r>
            <w:proofErr w:type="gramStart"/>
            <w:r w:rsidRPr="006E0944">
              <w:rPr>
                <w:rFonts w:ascii="Arial" w:eastAsia="Arial" w:hAnsi="Arial" w:cs="Arial"/>
                <w:color w:val="000000"/>
                <w:sz w:val="14"/>
              </w:rPr>
              <w:t>platbu</w:t>
            </w:r>
            <w:r>
              <w:rPr>
                <w:rFonts w:ascii="Arial" w:eastAsia="Arial" w:hAnsi="Arial" w:cs="Arial"/>
                <w:color w:val="000000"/>
                <w:sz w:val="14"/>
              </w:rPr>
              <w:t xml:space="preserve"> ,došlo</w:t>
            </w:r>
            <w:proofErr w:type="gramEnd"/>
            <w:r>
              <w:rPr>
                <w:rFonts w:ascii="Arial" w:eastAsia="Arial" w:hAnsi="Arial" w:cs="Arial"/>
                <w:color w:val="000000"/>
                <w:sz w:val="14"/>
              </w:rPr>
              <w:t xml:space="preserve"> k dodatečné úpravě hodnoty certifikovaných výdajů v roce 2018, tak i k úpravě kumulativní hodnoty  do konce roku 2018.  Certifikované výdaje v roce 2018 byly nahrazeny z původní hodnoty 1 157 293,360 na 1 157 326,570. </w:t>
            </w:r>
          </w:p>
          <w:p w14:paraId="6F8AFA19" w14:textId="6CB27A9D" w:rsidR="00EB759C" w:rsidRDefault="00EB759C" w:rsidP="00EB759C">
            <w:pPr>
              <w:keepLines/>
              <w:tabs>
                <w:tab w:val="left" w:pos="828"/>
              </w:tabs>
              <w:ind w:left="57" w:right="57"/>
              <w:rPr>
                <w:rFonts w:ascii="Arial" w:eastAsia="Arial" w:hAnsi="Arial" w:cs="Arial"/>
                <w:color w:val="000000"/>
                <w:sz w:val="14"/>
              </w:rPr>
            </w:pPr>
            <w:r>
              <w:rPr>
                <w:rFonts w:ascii="Arial" w:eastAsia="Arial" w:hAnsi="Arial" w:cs="Arial"/>
                <w:color w:val="000000"/>
                <w:sz w:val="14"/>
              </w:rPr>
              <w:t xml:space="preserve">Kumulativní hodnota do konce roku 2018 byla upravena stejně jako hodnota za rok 2018. . Dále v květnu 2019 proběhla mimořádná certfikace, která zahrnovala výdaje proplacené příjemcům do konce roku </w:t>
            </w:r>
            <w:proofErr w:type="gramStart"/>
            <w:r>
              <w:rPr>
                <w:rFonts w:ascii="Arial" w:eastAsia="Arial" w:hAnsi="Arial" w:cs="Arial"/>
                <w:color w:val="000000"/>
                <w:sz w:val="14"/>
              </w:rPr>
              <w:t>2018 .</w:t>
            </w:r>
            <w:proofErr w:type="gramEnd"/>
            <w:r>
              <w:rPr>
                <w:rFonts w:ascii="Arial" w:eastAsia="Arial" w:hAnsi="Arial" w:cs="Arial"/>
                <w:color w:val="000000"/>
                <w:sz w:val="14"/>
              </w:rPr>
              <w:t xml:space="preserve"> Z tohoto důvodu nelze výdaje srovnávat s údaji z IS VIOLA, kde jsou hodnoty za celý rok. Na základě tohoto byly certifikované výdaje v roce 2019 monitoraované IS VIOLA poníženy o tuto mimořádnou certifikaci. </w:t>
            </w:r>
          </w:p>
        </w:tc>
      </w:tr>
      <w:tr w:rsidR="00EB759C" w14:paraId="1118C794"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1F1547D7" w14:textId="77777777" w:rsidR="00EB759C" w:rsidRDefault="00EB759C" w:rsidP="00EB759C"/>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E71CCD7" w14:textId="77777777" w:rsidR="00EB759C" w:rsidRDefault="00EB759C" w:rsidP="00EB759C"/>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ECBFD64" w14:textId="77777777" w:rsidR="00EB759C" w:rsidRDefault="00EB759C" w:rsidP="00EB759C"/>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2C4C264"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16240BB"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15A2DEE"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BA10829" w14:textId="77777777" w:rsidR="00EB759C" w:rsidRDefault="00EB759C" w:rsidP="00EB759C"/>
        </w:tc>
        <w:tc>
          <w:tcPr>
            <w:tcW w:w="709" w:type="dxa"/>
            <w:vMerge/>
            <w:tcBorders>
              <w:top w:val="single" w:sz="12" w:space="0" w:color="000000"/>
              <w:left w:val="single" w:sz="4" w:space="0" w:color="000000"/>
              <w:right w:val="single" w:sz="4" w:space="0" w:color="000000"/>
            </w:tcBorders>
            <w:shd w:val="clear" w:color="auto" w:fill="E7E6E6"/>
            <w:vAlign w:val="bottom"/>
          </w:tcPr>
          <w:p w14:paraId="5BC2DABE" w14:textId="77777777" w:rsidR="00EB759C" w:rsidRDefault="00EB759C" w:rsidP="00EB759C"/>
        </w:tc>
        <w:tc>
          <w:tcPr>
            <w:tcW w:w="709" w:type="dxa"/>
            <w:vMerge/>
            <w:tcBorders>
              <w:top w:val="single" w:sz="12" w:space="0" w:color="000000"/>
              <w:left w:val="single" w:sz="4" w:space="0" w:color="000000"/>
              <w:right w:val="single" w:sz="4" w:space="0" w:color="000000"/>
            </w:tcBorders>
            <w:shd w:val="clear" w:color="auto" w:fill="E7E6E6"/>
            <w:vAlign w:val="bottom"/>
          </w:tcPr>
          <w:p w14:paraId="5D4EA0A9" w14:textId="77777777" w:rsidR="00EB759C" w:rsidRDefault="00EB759C" w:rsidP="00EB759C"/>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7653FB"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807CD4"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41B725"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1BD005"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0837E4"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550B22"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98E101"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FCD269"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20C0F6"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978DC2"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6C2636FF" w14:textId="77777777" w:rsidR="00EB759C" w:rsidRDefault="00EB759C" w:rsidP="00EB759C"/>
        </w:tc>
      </w:tr>
      <w:tr w:rsidR="00EB759C" w14:paraId="3C8ABFE4"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7EAD44D0" w14:textId="77777777" w:rsidR="00EB759C" w:rsidRDefault="00EB759C" w:rsidP="00EB759C"/>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835EDC6" w14:textId="77777777" w:rsidR="00EB759C" w:rsidRDefault="00EB759C" w:rsidP="00EB759C"/>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7EFBBD8" w14:textId="77777777" w:rsidR="00EB759C" w:rsidRDefault="00EB759C" w:rsidP="00EB759C"/>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3060B10"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9E32421"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9EDCC1E"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2BC9BB3" w14:textId="77777777" w:rsidR="00EB759C" w:rsidRDefault="00EB759C" w:rsidP="00EB759C"/>
        </w:tc>
        <w:tc>
          <w:tcPr>
            <w:tcW w:w="709" w:type="dxa"/>
            <w:vMerge/>
            <w:tcBorders>
              <w:top w:val="single" w:sz="12" w:space="0" w:color="000000"/>
              <w:left w:val="single" w:sz="4" w:space="0" w:color="000000"/>
              <w:right w:val="single" w:sz="4" w:space="0" w:color="000000"/>
            </w:tcBorders>
            <w:shd w:val="clear" w:color="auto" w:fill="E7E6E6"/>
            <w:vAlign w:val="bottom"/>
          </w:tcPr>
          <w:p w14:paraId="78AE0514" w14:textId="77777777" w:rsidR="00EB759C" w:rsidRDefault="00EB759C" w:rsidP="00EB759C"/>
        </w:tc>
        <w:tc>
          <w:tcPr>
            <w:tcW w:w="709" w:type="dxa"/>
            <w:vMerge/>
            <w:tcBorders>
              <w:top w:val="single" w:sz="12" w:space="0" w:color="000000"/>
              <w:left w:val="single" w:sz="4" w:space="0" w:color="000000"/>
              <w:right w:val="single" w:sz="4" w:space="0" w:color="000000"/>
            </w:tcBorders>
            <w:shd w:val="clear" w:color="auto" w:fill="E7E6E6"/>
            <w:vAlign w:val="bottom"/>
          </w:tcPr>
          <w:p w14:paraId="4705D56A" w14:textId="77777777" w:rsidR="00EB759C" w:rsidRDefault="00EB759C" w:rsidP="00EB759C"/>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D914CE"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FFFFC0"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032537"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B79F39"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642B71"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E370CE"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6B781D"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EBABE2"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2DAB2F"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0CF8BF"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26AFACF3" w14:textId="77777777" w:rsidR="00EB759C" w:rsidRDefault="00EB759C" w:rsidP="00EB759C"/>
        </w:tc>
      </w:tr>
      <w:tr w:rsidR="00EB759C" w14:paraId="2AC833A1"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31F070F6" w14:textId="77777777" w:rsidR="00EB759C" w:rsidRDefault="00EB759C" w:rsidP="00EB759C"/>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02A4CC1" w14:textId="77777777" w:rsidR="00EB759C" w:rsidRDefault="00EB759C" w:rsidP="00EB759C"/>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1CF7B94" w14:textId="77777777" w:rsidR="00EB759C" w:rsidRDefault="00EB759C" w:rsidP="00EB759C"/>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FC4B329"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819EFEE"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616549B"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1B87B4D" w14:textId="77777777" w:rsidR="00EB759C" w:rsidRDefault="00EB759C" w:rsidP="00EB759C"/>
        </w:tc>
        <w:tc>
          <w:tcPr>
            <w:tcW w:w="709" w:type="dxa"/>
            <w:tcBorders>
              <w:left w:val="single" w:sz="4" w:space="0" w:color="000000"/>
              <w:bottom w:val="single" w:sz="4" w:space="0" w:color="000000"/>
              <w:right w:val="single" w:sz="4" w:space="0" w:color="000000"/>
            </w:tcBorders>
            <w:shd w:val="clear" w:color="auto" w:fill="E7E6E6"/>
            <w:vAlign w:val="bottom"/>
          </w:tcPr>
          <w:p w14:paraId="3D5F0D44" w14:textId="77777777" w:rsidR="00EB759C" w:rsidRDefault="00EB759C" w:rsidP="00EB759C">
            <w:pPr>
              <w:tabs>
                <w:tab w:val="left" w:pos="828"/>
              </w:tabs>
              <w:ind w:left="57" w:right="57"/>
              <w:jc w:val="right"/>
              <w:rPr>
                <w:rFonts w:ascii="Arial" w:eastAsia="Arial" w:hAnsi="Arial" w:cs="Arial"/>
                <w:color w:val="000000"/>
                <w:sz w:val="14"/>
              </w:rPr>
            </w:pPr>
            <w:r>
              <w:rPr>
                <w:rFonts w:ascii="Arial" w:eastAsia="Arial" w:hAnsi="Arial" w:cs="Arial"/>
                <w:color w:val="000000"/>
                <w:sz w:val="14"/>
              </w:rPr>
              <w:t>1 344 371,200</w:t>
            </w:r>
          </w:p>
        </w:tc>
        <w:tc>
          <w:tcPr>
            <w:tcW w:w="709" w:type="dxa"/>
            <w:tcBorders>
              <w:left w:val="single" w:sz="4" w:space="0" w:color="000000"/>
              <w:bottom w:val="single" w:sz="4" w:space="0" w:color="000000"/>
              <w:right w:val="single" w:sz="4" w:space="0" w:color="000000"/>
            </w:tcBorders>
            <w:shd w:val="clear" w:color="auto" w:fill="E7E6E6"/>
            <w:vAlign w:val="bottom"/>
          </w:tcPr>
          <w:p w14:paraId="028CD0CF"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48 299 224,000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F334646"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D1BEAAA"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53063048"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2F7720A9"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82CB975" w14:textId="480BC474"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1 157 326,570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36D36A9D" w14:textId="095D9AE0"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2 708 638,220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7ADC9D9"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125683F"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31CE744"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6E10640"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61B9AA54" w14:textId="77777777" w:rsidR="00EB759C" w:rsidRDefault="00EB759C" w:rsidP="00EB759C"/>
        </w:tc>
      </w:tr>
      <w:tr w:rsidR="00EB759C" w14:paraId="17ECD80B"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5D717C88" w14:textId="77777777" w:rsidR="00EB759C" w:rsidRDefault="00EB759C" w:rsidP="00EB759C"/>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5C34D76" w14:textId="77777777" w:rsidR="00EB759C" w:rsidRDefault="00EB759C" w:rsidP="00EB759C"/>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07FA2D4" w14:textId="77777777" w:rsidR="00EB759C" w:rsidRDefault="00EB759C" w:rsidP="00EB759C"/>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B965544"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151D8AA"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BF1A5C2"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070DF90" w14:textId="77777777" w:rsidR="00EB759C" w:rsidRDefault="00EB759C" w:rsidP="00EB759C"/>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3D7A37"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868732"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FD3C43"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FDD1E5"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6A4331"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A07229"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48740D"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98E971"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408244"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D27254"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78AB4D"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5077F2"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151669FD" w14:textId="77777777" w:rsidR="00EB759C" w:rsidRDefault="00EB759C" w:rsidP="00EB759C"/>
        </w:tc>
      </w:tr>
      <w:tr w:rsidR="00EB759C" w14:paraId="6C896B52"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7428DC42" w14:textId="77777777" w:rsidR="00EB759C" w:rsidRDefault="00EB759C" w:rsidP="00EB759C"/>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E96CE01" w14:textId="77777777" w:rsidR="00EB759C" w:rsidRDefault="00EB759C" w:rsidP="00EB759C"/>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A69EA48" w14:textId="77777777" w:rsidR="00EB759C" w:rsidRDefault="00EB759C" w:rsidP="00EB759C"/>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C4DB7E8"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C94FA66"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A5700F5"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6CC920B" w14:textId="77777777" w:rsidR="00EB759C" w:rsidRDefault="00EB759C" w:rsidP="00EB759C"/>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10B7E12"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0F05CB9"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021D30F"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CAAECF2"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450DB8E"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4D038FAE"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CABEFCA"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0B1AC93D"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DA6ED1F"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7E38E70"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FDC1FCC"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ABCCF65"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586D19F3" w14:textId="77777777" w:rsidR="00EB759C" w:rsidRDefault="00EB759C" w:rsidP="00EB759C"/>
        </w:tc>
      </w:tr>
      <w:tr w:rsidR="00EB759C" w14:paraId="717D04BA" w14:textId="77777777">
        <w:tc>
          <w:tcPr>
            <w:tcW w:w="466" w:type="dxa"/>
            <w:vMerge w:val="restart"/>
            <w:tcBorders>
              <w:top w:val="single" w:sz="12" w:space="0" w:color="000000"/>
              <w:left w:val="single" w:sz="12" w:space="0" w:color="000000"/>
              <w:bottom w:val="single" w:sz="12" w:space="0" w:color="000000"/>
              <w:right w:val="single" w:sz="4" w:space="0" w:color="000000"/>
            </w:tcBorders>
            <w:shd w:val="clear" w:color="auto" w:fill="FFFFFF"/>
            <w:vAlign w:val="center"/>
          </w:tcPr>
          <w:p w14:paraId="6EE72624" w14:textId="77777777" w:rsidR="00EB759C" w:rsidRDefault="00EB759C" w:rsidP="00EB759C">
            <w:pPr>
              <w:tabs>
                <w:tab w:val="left" w:pos="828"/>
              </w:tabs>
              <w:ind w:left="57" w:right="57"/>
              <w:rPr>
                <w:rFonts w:ascii="Arial" w:eastAsia="Arial" w:hAnsi="Arial" w:cs="Arial"/>
                <w:color w:val="000000"/>
                <w:sz w:val="14"/>
              </w:rPr>
            </w:pPr>
            <w:r>
              <w:rPr>
                <w:rFonts w:ascii="Arial" w:eastAsia="Arial" w:hAnsi="Arial" w:cs="Arial"/>
                <w:color w:val="000000"/>
                <w:sz w:val="14"/>
              </w:rPr>
              <w:t>06.4</w:t>
            </w:r>
          </w:p>
        </w:tc>
        <w:tc>
          <w:tcPr>
            <w:tcW w:w="8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34AF2EF0" w14:textId="77777777" w:rsidR="00EB759C" w:rsidRDefault="00EB759C" w:rsidP="00EB759C">
            <w:pPr>
              <w:tabs>
                <w:tab w:val="left" w:pos="828"/>
              </w:tabs>
              <w:ind w:left="57" w:right="57"/>
              <w:rPr>
                <w:rFonts w:ascii="Arial" w:eastAsia="Arial" w:hAnsi="Arial" w:cs="Arial"/>
                <w:color w:val="000000"/>
                <w:sz w:val="14"/>
              </w:rPr>
            </w:pPr>
            <w:r>
              <w:rPr>
                <w:rFonts w:ascii="Arial" w:eastAsia="Arial" w:hAnsi="Arial" w:cs="Arial"/>
                <w:color w:val="000000"/>
                <w:sz w:val="14"/>
              </w:rPr>
              <w:t>Indikátor výstupu</w:t>
            </w:r>
          </w:p>
        </w:tc>
        <w:tc>
          <w:tcPr>
            <w:tcW w:w="425"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3FA86A67" w14:textId="77777777" w:rsidR="00EB759C" w:rsidRDefault="00EB759C" w:rsidP="00EB759C">
            <w:pPr>
              <w:tabs>
                <w:tab w:val="left" w:pos="828"/>
              </w:tabs>
              <w:ind w:left="57" w:right="57"/>
              <w:rPr>
                <w:rFonts w:ascii="Arial" w:eastAsia="Arial" w:hAnsi="Arial" w:cs="Arial"/>
                <w:color w:val="000000"/>
                <w:sz w:val="14"/>
              </w:rPr>
            </w:pPr>
            <w:r>
              <w:rPr>
                <w:rFonts w:ascii="Arial" w:eastAsia="Arial" w:hAnsi="Arial" w:cs="Arial"/>
                <w:color w:val="000000"/>
                <w:sz w:val="14"/>
              </w:rPr>
              <w:t>90001</w:t>
            </w:r>
          </w:p>
        </w:tc>
        <w:tc>
          <w:tcPr>
            <w:tcW w:w="1276"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3B06DA9E" w14:textId="77777777" w:rsidR="00EB759C" w:rsidRDefault="00EB759C" w:rsidP="00EB759C">
            <w:pPr>
              <w:tabs>
                <w:tab w:val="left" w:pos="828"/>
              </w:tabs>
              <w:ind w:left="57" w:right="57"/>
              <w:rPr>
                <w:rFonts w:ascii="Arial" w:eastAsia="Arial" w:hAnsi="Arial" w:cs="Arial"/>
                <w:color w:val="000000"/>
                <w:sz w:val="14"/>
              </w:rPr>
            </w:pPr>
            <w:r>
              <w:rPr>
                <w:rFonts w:ascii="Arial" w:eastAsia="Arial" w:hAnsi="Arial" w:cs="Arial"/>
                <w:color w:val="000000"/>
                <w:sz w:val="14"/>
              </w:rPr>
              <w:t>Počet podpořených strategií CLLD</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10FDBA24" w14:textId="77777777" w:rsidR="00EB759C" w:rsidRDefault="00EB759C" w:rsidP="00EB759C">
            <w:pPr>
              <w:tabs>
                <w:tab w:val="left" w:pos="828"/>
              </w:tabs>
              <w:ind w:left="57" w:right="57"/>
              <w:rPr>
                <w:rFonts w:ascii="Arial" w:eastAsia="Arial" w:hAnsi="Arial" w:cs="Arial"/>
                <w:color w:val="000000"/>
                <w:sz w:val="14"/>
              </w:rPr>
            </w:pPr>
            <w:r>
              <w:rPr>
                <w:rFonts w:ascii="Arial" w:eastAsia="Arial" w:hAnsi="Arial" w:cs="Arial"/>
                <w:color w:val="000000"/>
                <w:sz w:val="14"/>
              </w:rPr>
              <w:t>Strategie</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70DAA947" w14:textId="77777777" w:rsidR="00EB759C" w:rsidRDefault="00EB759C" w:rsidP="00EB759C">
            <w:pPr>
              <w:tabs>
                <w:tab w:val="left" w:pos="828"/>
              </w:tabs>
              <w:ind w:left="57" w:right="57"/>
              <w:rPr>
                <w:rFonts w:ascii="Arial" w:eastAsia="Arial" w:hAnsi="Arial" w:cs="Arial"/>
                <w:color w:val="000000"/>
                <w:sz w:val="14"/>
              </w:rPr>
            </w:pPr>
            <w:r>
              <w:rPr>
                <w:rFonts w:ascii="Arial" w:eastAsia="Arial" w:hAnsi="Arial" w:cs="Arial"/>
                <w:color w:val="000000"/>
                <w:sz w:val="14"/>
              </w:rPr>
              <w:t>EFRR</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0F9CFD76" w14:textId="77777777" w:rsidR="00EB759C" w:rsidRDefault="00EB759C" w:rsidP="00EB759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14B4444D" w14:textId="77777777" w:rsidR="00EB759C" w:rsidRDefault="00EB759C" w:rsidP="00EB759C">
            <w:pPr>
              <w:ind w:left="57" w:right="57"/>
              <w:jc w:val="both"/>
            </w:pP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62AD0CCC" w14:textId="77777777" w:rsidR="00EB759C" w:rsidRDefault="00EB759C" w:rsidP="00EB759C">
            <w:pPr>
              <w:ind w:left="57" w:right="57"/>
              <w:jc w:val="both"/>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23D0CB3F"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1C120143"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9C724DA"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67DDC444"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159,000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41BF5552"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643904DA"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A7C05C5"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02F649F6"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D800B5A"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440633F"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0" w:type="dxa"/>
            <w:vMerge w:val="restart"/>
            <w:tcBorders>
              <w:top w:val="single" w:sz="12" w:space="0" w:color="000000"/>
              <w:left w:val="single" w:sz="4" w:space="0" w:color="000000"/>
              <w:bottom w:val="single" w:sz="12" w:space="0" w:color="000000"/>
              <w:right w:val="single" w:sz="12" w:space="0" w:color="000000"/>
            </w:tcBorders>
            <w:shd w:val="clear" w:color="auto" w:fill="FFFFFF"/>
            <w:vAlign w:val="center"/>
          </w:tcPr>
          <w:p w14:paraId="652C59C7" w14:textId="77777777" w:rsidR="00EB759C" w:rsidRDefault="00EB759C" w:rsidP="00EB759C">
            <w:pPr>
              <w:keepLines/>
              <w:tabs>
                <w:tab w:val="left" w:pos="828"/>
              </w:tabs>
              <w:ind w:left="57" w:right="57"/>
              <w:rPr>
                <w:rFonts w:ascii="Arial" w:eastAsia="Arial" w:hAnsi="Arial" w:cs="Arial"/>
                <w:color w:val="000000"/>
                <w:sz w:val="14"/>
              </w:rPr>
            </w:pPr>
          </w:p>
        </w:tc>
      </w:tr>
      <w:tr w:rsidR="00EB759C" w14:paraId="6BE10BC9"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642B40D0" w14:textId="77777777" w:rsidR="00EB759C" w:rsidRDefault="00EB759C" w:rsidP="00EB759C"/>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A626578" w14:textId="77777777" w:rsidR="00EB759C" w:rsidRDefault="00EB759C" w:rsidP="00EB759C"/>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BDB9ABD" w14:textId="77777777" w:rsidR="00EB759C" w:rsidRDefault="00EB759C" w:rsidP="00EB759C"/>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2CC1EF4"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BCC2565"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1C37AB8"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347B551" w14:textId="77777777" w:rsidR="00EB759C" w:rsidRDefault="00EB759C" w:rsidP="00EB759C"/>
        </w:tc>
        <w:tc>
          <w:tcPr>
            <w:tcW w:w="709" w:type="dxa"/>
            <w:vMerge/>
            <w:tcBorders>
              <w:top w:val="single" w:sz="12" w:space="0" w:color="000000"/>
              <w:left w:val="single" w:sz="4" w:space="0" w:color="000000"/>
              <w:right w:val="single" w:sz="4" w:space="0" w:color="000000"/>
            </w:tcBorders>
            <w:shd w:val="clear" w:color="auto" w:fill="E7E6E6"/>
            <w:vAlign w:val="bottom"/>
          </w:tcPr>
          <w:p w14:paraId="5103C169" w14:textId="77777777" w:rsidR="00EB759C" w:rsidRDefault="00EB759C" w:rsidP="00EB759C"/>
        </w:tc>
        <w:tc>
          <w:tcPr>
            <w:tcW w:w="709" w:type="dxa"/>
            <w:vMerge/>
            <w:tcBorders>
              <w:top w:val="single" w:sz="12" w:space="0" w:color="000000"/>
              <w:left w:val="single" w:sz="4" w:space="0" w:color="000000"/>
              <w:right w:val="single" w:sz="4" w:space="0" w:color="000000"/>
            </w:tcBorders>
            <w:shd w:val="clear" w:color="auto" w:fill="E7E6E6"/>
            <w:vAlign w:val="bottom"/>
          </w:tcPr>
          <w:p w14:paraId="181FC2F2" w14:textId="77777777" w:rsidR="00EB759C" w:rsidRDefault="00EB759C" w:rsidP="00EB759C"/>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8683AD"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763B71"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D355B7"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8C0408"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83635F"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8823C0"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D080B2"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E627EB"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965AEF"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2B4044"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6C4D4871" w14:textId="77777777" w:rsidR="00EB759C" w:rsidRDefault="00EB759C" w:rsidP="00EB759C"/>
        </w:tc>
      </w:tr>
      <w:tr w:rsidR="00EB759C" w14:paraId="25178CD4"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338E1E39" w14:textId="77777777" w:rsidR="00EB759C" w:rsidRDefault="00EB759C" w:rsidP="00EB759C"/>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E2A4274" w14:textId="77777777" w:rsidR="00EB759C" w:rsidRDefault="00EB759C" w:rsidP="00EB759C"/>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6443C7F" w14:textId="77777777" w:rsidR="00EB759C" w:rsidRDefault="00EB759C" w:rsidP="00EB759C"/>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2D1C4C1"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475FA2E"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D0B76EC"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BDE2F20" w14:textId="77777777" w:rsidR="00EB759C" w:rsidRDefault="00EB759C" w:rsidP="00EB759C"/>
        </w:tc>
        <w:tc>
          <w:tcPr>
            <w:tcW w:w="709" w:type="dxa"/>
            <w:vMerge/>
            <w:tcBorders>
              <w:top w:val="single" w:sz="12" w:space="0" w:color="000000"/>
              <w:left w:val="single" w:sz="4" w:space="0" w:color="000000"/>
              <w:right w:val="single" w:sz="4" w:space="0" w:color="000000"/>
            </w:tcBorders>
            <w:shd w:val="clear" w:color="auto" w:fill="E7E6E6"/>
            <w:vAlign w:val="bottom"/>
          </w:tcPr>
          <w:p w14:paraId="35C2ADFA" w14:textId="77777777" w:rsidR="00EB759C" w:rsidRDefault="00EB759C" w:rsidP="00EB759C"/>
        </w:tc>
        <w:tc>
          <w:tcPr>
            <w:tcW w:w="709" w:type="dxa"/>
            <w:vMerge/>
            <w:tcBorders>
              <w:top w:val="single" w:sz="12" w:space="0" w:color="000000"/>
              <w:left w:val="single" w:sz="4" w:space="0" w:color="000000"/>
              <w:right w:val="single" w:sz="4" w:space="0" w:color="000000"/>
            </w:tcBorders>
            <w:shd w:val="clear" w:color="auto" w:fill="E7E6E6"/>
            <w:vAlign w:val="bottom"/>
          </w:tcPr>
          <w:p w14:paraId="08991103" w14:textId="77777777" w:rsidR="00EB759C" w:rsidRDefault="00EB759C" w:rsidP="00EB759C"/>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2E549D"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70F189"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EF0131"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0D8846"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31A63D"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C376F0"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B68392"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E23C3A"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2D3BC9"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5B6921"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7DDD1264" w14:textId="77777777" w:rsidR="00EB759C" w:rsidRDefault="00EB759C" w:rsidP="00EB759C"/>
        </w:tc>
      </w:tr>
      <w:tr w:rsidR="00EB759C" w14:paraId="54E1AA87"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1382564B" w14:textId="77777777" w:rsidR="00EB759C" w:rsidRDefault="00EB759C" w:rsidP="00EB759C"/>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A353458" w14:textId="77777777" w:rsidR="00EB759C" w:rsidRDefault="00EB759C" w:rsidP="00EB759C"/>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625D72E" w14:textId="77777777" w:rsidR="00EB759C" w:rsidRDefault="00EB759C" w:rsidP="00EB759C"/>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4BCD6ED"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B8E2C6C"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84AFB68"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F9BAC42" w14:textId="77777777" w:rsidR="00EB759C" w:rsidRDefault="00EB759C" w:rsidP="00EB759C"/>
        </w:tc>
        <w:tc>
          <w:tcPr>
            <w:tcW w:w="709" w:type="dxa"/>
            <w:tcBorders>
              <w:left w:val="single" w:sz="4" w:space="0" w:color="000000"/>
              <w:bottom w:val="single" w:sz="4" w:space="0" w:color="000000"/>
              <w:right w:val="single" w:sz="4" w:space="0" w:color="000000"/>
            </w:tcBorders>
            <w:shd w:val="clear" w:color="auto" w:fill="E7E6E6"/>
            <w:vAlign w:val="bottom"/>
          </w:tcPr>
          <w:p w14:paraId="222C33E6" w14:textId="77777777" w:rsidR="00EB759C" w:rsidRDefault="00EB759C" w:rsidP="00EB759C">
            <w:pPr>
              <w:tabs>
                <w:tab w:val="left" w:pos="828"/>
              </w:tabs>
              <w:ind w:left="57" w:right="57"/>
              <w:jc w:val="right"/>
              <w:rPr>
                <w:rFonts w:ascii="Arial" w:eastAsia="Arial" w:hAnsi="Arial" w:cs="Arial"/>
                <w:color w:val="000000"/>
                <w:sz w:val="14"/>
              </w:rPr>
            </w:pPr>
            <w:r>
              <w:rPr>
                <w:rFonts w:ascii="Arial" w:eastAsia="Arial" w:hAnsi="Arial" w:cs="Arial"/>
                <w:color w:val="000000"/>
                <w:sz w:val="14"/>
              </w:rPr>
              <w:t>160,000</w:t>
            </w:r>
          </w:p>
        </w:tc>
        <w:tc>
          <w:tcPr>
            <w:tcW w:w="709" w:type="dxa"/>
            <w:tcBorders>
              <w:left w:val="single" w:sz="4" w:space="0" w:color="000000"/>
              <w:bottom w:val="single" w:sz="4" w:space="0" w:color="000000"/>
              <w:right w:val="single" w:sz="4" w:space="0" w:color="000000"/>
            </w:tcBorders>
            <w:shd w:val="clear" w:color="auto" w:fill="E7E6E6"/>
            <w:vAlign w:val="bottom"/>
          </w:tcPr>
          <w:p w14:paraId="14CFC2D1"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160,000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171919D"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7CEBE4A9"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0B0232E"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0425D6D"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178,000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D06DD8B"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178,000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5B6DCC49"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178,000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E42F619"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9E7CDF0"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CD43426"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3E165FB"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49120F4C" w14:textId="77777777" w:rsidR="00EB759C" w:rsidRDefault="00EB759C" w:rsidP="00EB759C"/>
        </w:tc>
      </w:tr>
      <w:tr w:rsidR="00EB759C" w14:paraId="0FD5280A"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7057E7AA" w14:textId="77777777" w:rsidR="00EB759C" w:rsidRDefault="00EB759C" w:rsidP="00EB759C"/>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75F50CD" w14:textId="77777777" w:rsidR="00EB759C" w:rsidRDefault="00EB759C" w:rsidP="00EB759C"/>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EABC5FB" w14:textId="77777777" w:rsidR="00EB759C" w:rsidRDefault="00EB759C" w:rsidP="00EB759C"/>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ED6EB40"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60BD183"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E717193"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11EC5DC" w14:textId="77777777" w:rsidR="00EB759C" w:rsidRDefault="00EB759C" w:rsidP="00EB759C"/>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9937E8"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026E7C"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558105"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43899D"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031BFB"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55651E"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151055"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205DF4"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C121A6"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34A622"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D65578"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99C4D3"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0320792B" w14:textId="77777777" w:rsidR="00EB759C" w:rsidRDefault="00EB759C" w:rsidP="00EB759C"/>
        </w:tc>
      </w:tr>
      <w:tr w:rsidR="00EB759C" w14:paraId="1F95EC32"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7F6DB632" w14:textId="77777777" w:rsidR="00EB759C" w:rsidRDefault="00EB759C" w:rsidP="00EB759C"/>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EF39450" w14:textId="77777777" w:rsidR="00EB759C" w:rsidRDefault="00EB759C" w:rsidP="00EB759C"/>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18D91C2" w14:textId="77777777" w:rsidR="00EB759C" w:rsidRDefault="00EB759C" w:rsidP="00EB759C"/>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F1DB15E"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12A4095"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CFC815F"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DFC136B" w14:textId="77777777" w:rsidR="00EB759C" w:rsidRDefault="00EB759C" w:rsidP="00EB759C"/>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4A81DE17"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331F9AF"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F44ACE7"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8A9FD58"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C691A98"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472E1C33"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4EFCA858"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4DD30D50"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4B28BA2"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40A389F6"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CF0807A"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17DA78F"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1C91C742" w14:textId="77777777" w:rsidR="00EB759C" w:rsidRDefault="00EB759C" w:rsidP="00EB759C"/>
        </w:tc>
      </w:tr>
      <w:tr w:rsidR="00EB759C" w14:paraId="6E343D46" w14:textId="77777777">
        <w:tc>
          <w:tcPr>
            <w:tcW w:w="466" w:type="dxa"/>
            <w:vMerge w:val="restart"/>
            <w:tcBorders>
              <w:top w:val="single" w:sz="12" w:space="0" w:color="000000"/>
              <w:left w:val="single" w:sz="12" w:space="0" w:color="000000"/>
              <w:bottom w:val="single" w:sz="12" w:space="0" w:color="000000"/>
              <w:right w:val="single" w:sz="4" w:space="0" w:color="000000"/>
            </w:tcBorders>
            <w:shd w:val="clear" w:color="auto" w:fill="FFFFFF"/>
            <w:vAlign w:val="center"/>
          </w:tcPr>
          <w:p w14:paraId="5592FD00" w14:textId="77777777" w:rsidR="00EB759C" w:rsidRDefault="00EB759C" w:rsidP="00EB759C">
            <w:pPr>
              <w:tabs>
                <w:tab w:val="left" w:pos="828"/>
              </w:tabs>
              <w:ind w:left="57" w:right="57"/>
              <w:rPr>
                <w:rFonts w:ascii="Arial" w:eastAsia="Arial" w:hAnsi="Arial" w:cs="Arial"/>
                <w:color w:val="000000"/>
                <w:sz w:val="14"/>
              </w:rPr>
            </w:pPr>
            <w:r>
              <w:rPr>
                <w:rFonts w:ascii="Arial" w:eastAsia="Arial" w:hAnsi="Arial" w:cs="Arial"/>
                <w:color w:val="000000"/>
                <w:sz w:val="14"/>
              </w:rPr>
              <w:t>06.4</w:t>
            </w:r>
          </w:p>
        </w:tc>
        <w:tc>
          <w:tcPr>
            <w:tcW w:w="8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0300C3BE" w14:textId="77777777" w:rsidR="00EB759C" w:rsidRDefault="00EB759C" w:rsidP="00EB759C">
            <w:pPr>
              <w:tabs>
                <w:tab w:val="left" w:pos="828"/>
              </w:tabs>
              <w:ind w:left="57" w:right="57"/>
              <w:rPr>
                <w:rFonts w:ascii="Arial" w:eastAsia="Arial" w:hAnsi="Arial" w:cs="Arial"/>
                <w:color w:val="000000"/>
                <w:sz w:val="14"/>
              </w:rPr>
            </w:pPr>
            <w:r>
              <w:rPr>
                <w:rFonts w:ascii="Arial" w:eastAsia="Arial" w:hAnsi="Arial" w:cs="Arial"/>
                <w:color w:val="000000"/>
                <w:sz w:val="14"/>
              </w:rPr>
              <w:t>Finanční ukazatel</w:t>
            </w:r>
          </w:p>
        </w:tc>
        <w:tc>
          <w:tcPr>
            <w:tcW w:w="425"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4F62023A" w14:textId="77777777" w:rsidR="00EB759C" w:rsidRDefault="00EB759C" w:rsidP="00EB759C">
            <w:pPr>
              <w:tabs>
                <w:tab w:val="left" w:pos="828"/>
              </w:tabs>
              <w:ind w:left="57" w:right="57"/>
              <w:rPr>
                <w:rFonts w:ascii="Arial" w:eastAsia="Arial" w:hAnsi="Arial" w:cs="Arial"/>
                <w:color w:val="000000"/>
                <w:sz w:val="14"/>
              </w:rPr>
            </w:pPr>
            <w:r>
              <w:rPr>
                <w:rFonts w:ascii="Arial" w:eastAsia="Arial" w:hAnsi="Arial" w:cs="Arial"/>
                <w:color w:val="000000"/>
                <w:sz w:val="14"/>
              </w:rPr>
              <w:t>FINMT</w:t>
            </w:r>
          </w:p>
        </w:tc>
        <w:tc>
          <w:tcPr>
            <w:tcW w:w="1276"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7DFC395F" w14:textId="77777777" w:rsidR="00EB759C" w:rsidRDefault="00EB759C" w:rsidP="00EB759C">
            <w:pPr>
              <w:tabs>
                <w:tab w:val="left" w:pos="828"/>
              </w:tabs>
              <w:ind w:left="57" w:right="57"/>
              <w:rPr>
                <w:rFonts w:ascii="Arial" w:eastAsia="Arial" w:hAnsi="Arial" w:cs="Arial"/>
                <w:color w:val="000000"/>
                <w:sz w:val="14"/>
              </w:rPr>
            </w:pPr>
            <w:r>
              <w:rPr>
                <w:rFonts w:ascii="Arial" w:eastAsia="Arial" w:hAnsi="Arial" w:cs="Arial"/>
                <w:color w:val="000000"/>
                <w:sz w:val="14"/>
              </w:rPr>
              <w:t>Celkové certifikované způsobilé výdaje</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5031DB3C" w14:textId="77777777" w:rsidR="00EB759C" w:rsidRDefault="00EB759C" w:rsidP="00EB759C">
            <w:pPr>
              <w:tabs>
                <w:tab w:val="left" w:pos="828"/>
              </w:tabs>
              <w:ind w:left="57" w:right="57"/>
              <w:rPr>
                <w:rFonts w:ascii="Arial" w:eastAsia="Arial" w:hAnsi="Arial" w:cs="Arial"/>
                <w:color w:val="000000"/>
                <w:sz w:val="14"/>
              </w:rPr>
            </w:pPr>
            <w:r>
              <w:rPr>
                <w:rFonts w:ascii="Arial" w:eastAsia="Arial" w:hAnsi="Arial" w:cs="Arial"/>
                <w:color w:val="000000"/>
                <w:sz w:val="14"/>
              </w:rPr>
              <w:t>Euro</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23B47207" w14:textId="77777777" w:rsidR="00EB759C" w:rsidRDefault="00EB759C" w:rsidP="00EB759C">
            <w:pPr>
              <w:tabs>
                <w:tab w:val="left" w:pos="828"/>
              </w:tabs>
              <w:ind w:left="57" w:right="57"/>
              <w:rPr>
                <w:rFonts w:ascii="Arial" w:eastAsia="Arial" w:hAnsi="Arial" w:cs="Arial"/>
                <w:color w:val="000000"/>
                <w:sz w:val="14"/>
              </w:rPr>
            </w:pPr>
            <w:r>
              <w:rPr>
                <w:rFonts w:ascii="Arial" w:eastAsia="Arial" w:hAnsi="Arial" w:cs="Arial"/>
                <w:color w:val="000000"/>
                <w:sz w:val="14"/>
              </w:rPr>
              <w:t>EFRR</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5C87393A" w14:textId="77777777" w:rsidR="00EB759C" w:rsidRDefault="00EB759C" w:rsidP="00EB759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4AAB593C" w14:textId="77777777" w:rsidR="00EB759C" w:rsidRDefault="00EB759C" w:rsidP="00EB759C">
            <w:pPr>
              <w:ind w:left="57" w:right="57"/>
              <w:jc w:val="both"/>
            </w:pP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2A8B339B" w14:textId="77777777" w:rsidR="00EB759C" w:rsidRDefault="00EB759C" w:rsidP="00EB759C">
            <w:pPr>
              <w:ind w:left="57" w:right="57"/>
              <w:jc w:val="both"/>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9478EDC"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094067B1"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06D695A5"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1379216"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5 008 230,530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BEC4A34"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21 606 095,160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2E7A29B" w14:textId="3AF151A8"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57 427 355,200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B55D591"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26EF23E6"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F40EAB9"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8798F94"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0" w:type="dxa"/>
            <w:vMerge w:val="restart"/>
            <w:tcBorders>
              <w:top w:val="single" w:sz="12" w:space="0" w:color="000000"/>
              <w:left w:val="single" w:sz="4" w:space="0" w:color="000000"/>
              <w:bottom w:val="single" w:sz="12" w:space="0" w:color="000000"/>
              <w:right w:val="single" w:sz="12" w:space="0" w:color="000000"/>
            </w:tcBorders>
            <w:shd w:val="clear" w:color="auto" w:fill="FFFFFF"/>
            <w:vAlign w:val="center"/>
          </w:tcPr>
          <w:p w14:paraId="2A85E879" w14:textId="77777777" w:rsidR="00EB759C" w:rsidRDefault="00EB759C" w:rsidP="00EB759C">
            <w:pPr>
              <w:keepLines/>
              <w:tabs>
                <w:tab w:val="left" w:pos="828"/>
              </w:tabs>
              <w:ind w:left="57" w:right="57"/>
              <w:rPr>
                <w:rFonts w:ascii="Arial" w:eastAsia="Arial" w:hAnsi="Arial" w:cs="Arial"/>
                <w:color w:val="000000"/>
                <w:sz w:val="14"/>
              </w:rPr>
            </w:pPr>
          </w:p>
        </w:tc>
      </w:tr>
      <w:tr w:rsidR="00EB759C" w14:paraId="5723287F"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651FA608" w14:textId="77777777" w:rsidR="00EB759C" w:rsidRDefault="00EB759C" w:rsidP="00EB759C"/>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A3167A3" w14:textId="77777777" w:rsidR="00EB759C" w:rsidRDefault="00EB759C" w:rsidP="00EB759C"/>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4618CD1" w14:textId="77777777" w:rsidR="00EB759C" w:rsidRDefault="00EB759C" w:rsidP="00EB759C"/>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D63F508"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EBC1C36"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192F119"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D382FBC" w14:textId="77777777" w:rsidR="00EB759C" w:rsidRDefault="00EB759C" w:rsidP="00EB759C"/>
        </w:tc>
        <w:tc>
          <w:tcPr>
            <w:tcW w:w="709" w:type="dxa"/>
            <w:vMerge/>
            <w:tcBorders>
              <w:top w:val="single" w:sz="12" w:space="0" w:color="000000"/>
              <w:left w:val="single" w:sz="4" w:space="0" w:color="000000"/>
              <w:right w:val="single" w:sz="4" w:space="0" w:color="000000"/>
            </w:tcBorders>
            <w:shd w:val="clear" w:color="auto" w:fill="E7E6E6"/>
            <w:vAlign w:val="bottom"/>
          </w:tcPr>
          <w:p w14:paraId="4F8C2F77" w14:textId="77777777" w:rsidR="00EB759C" w:rsidRDefault="00EB759C" w:rsidP="00EB759C"/>
        </w:tc>
        <w:tc>
          <w:tcPr>
            <w:tcW w:w="709" w:type="dxa"/>
            <w:vMerge/>
            <w:tcBorders>
              <w:top w:val="single" w:sz="12" w:space="0" w:color="000000"/>
              <w:left w:val="single" w:sz="4" w:space="0" w:color="000000"/>
              <w:right w:val="single" w:sz="4" w:space="0" w:color="000000"/>
            </w:tcBorders>
            <w:shd w:val="clear" w:color="auto" w:fill="E7E6E6"/>
            <w:vAlign w:val="bottom"/>
          </w:tcPr>
          <w:p w14:paraId="5005BED9" w14:textId="77777777" w:rsidR="00EB759C" w:rsidRDefault="00EB759C" w:rsidP="00EB759C"/>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7763C7"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3B6DB6"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EC9D3C"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58D087"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449AB0"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EF555D"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AA9B58"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16282E"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1042CD"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DFB2DD"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33DD9829" w14:textId="77777777" w:rsidR="00EB759C" w:rsidRDefault="00EB759C" w:rsidP="00EB759C"/>
        </w:tc>
      </w:tr>
      <w:tr w:rsidR="00EB759C" w14:paraId="7643E2AB"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7AD5748A" w14:textId="77777777" w:rsidR="00EB759C" w:rsidRDefault="00EB759C" w:rsidP="00EB759C"/>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9E4BB41" w14:textId="77777777" w:rsidR="00EB759C" w:rsidRDefault="00EB759C" w:rsidP="00EB759C"/>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6F0A6D3" w14:textId="77777777" w:rsidR="00EB759C" w:rsidRDefault="00EB759C" w:rsidP="00EB759C"/>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93CA9F1"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75072B9"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44DD376"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8B62ECF" w14:textId="77777777" w:rsidR="00EB759C" w:rsidRDefault="00EB759C" w:rsidP="00EB759C"/>
        </w:tc>
        <w:tc>
          <w:tcPr>
            <w:tcW w:w="709" w:type="dxa"/>
            <w:vMerge/>
            <w:tcBorders>
              <w:top w:val="single" w:sz="12" w:space="0" w:color="000000"/>
              <w:left w:val="single" w:sz="4" w:space="0" w:color="000000"/>
              <w:right w:val="single" w:sz="4" w:space="0" w:color="000000"/>
            </w:tcBorders>
            <w:shd w:val="clear" w:color="auto" w:fill="E7E6E6"/>
            <w:vAlign w:val="bottom"/>
          </w:tcPr>
          <w:p w14:paraId="702E85FA" w14:textId="77777777" w:rsidR="00EB759C" w:rsidRDefault="00EB759C" w:rsidP="00EB759C"/>
        </w:tc>
        <w:tc>
          <w:tcPr>
            <w:tcW w:w="709" w:type="dxa"/>
            <w:vMerge/>
            <w:tcBorders>
              <w:top w:val="single" w:sz="12" w:space="0" w:color="000000"/>
              <w:left w:val="single" w:sz="4" w:space="0" w:color="000000"/>
              <w:right w:val="single" w:sz="4" w:space="0" w:color="000000"/>
            </w:tcBorders>
            <w:shd w:val="clear" w:color="auto" w:fill="E7E6E6"/>
            <w:vAlign w:val="bottom"/>
          </w:tcPr>
          <w:p w14:paraId="43D6AC4D" w14:textId="77777777" w:rsidR="00EB759C" w:rsidRDefault="00EB759C" w:rsidP="00EB759C"/>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9CCFC8"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DBDBEA"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905296"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BD0F45"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FFAE8C"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D7FAA9"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B82260"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0B95D1"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7F3DB5"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6F06DF"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016762BF" w14:textId="77777777" w:rsidR="00EB759C" w:rsidRDefault="00EB759C" w:rsidP="00EB759C"/>
        </w:tc>
      </w:tr>
      <w:tr w:rsidR="00EB759C" w14:paraId="63886FB3"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255BBD8C" w14:textId="77777777" w:rsidR="00EB759C" w:rsidRDefault="00EB759C" w:rsidP="00EB759C"/>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B8379CD" w14:textId="77777777" w:rsidR="00EB759C" w:rsidRDefault="00EB759C" w:rsidP="00EB759C"/>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DE4946D" w14:textId="77777777" w:rsidR="00EB759C" w:rsidRDefault="00EB759C" w:rsidP="00EB759C"/>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51EE31B"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CFB3D8D"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D7533A6"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44B3097" w14:textId="77777777" w:rsidR="00EB759C" w:rsidRDefault="00EB759C" w:rsidP="00EB759C"/>
        </w:tc>
        <w:tc>
          <w:tcPr>
            <w:tcW w:w="709" w:type="dxa"/>
            <w:tcBorders>
              <w:left w:val="single" w:sz="4" w:space="0" w:color="000000"/>
              <w:bottom w:val="single" w:sz="4" w:space="0" w:color="000000"/>
              <w:right w:val="single" w:sz="4" w:space="0" w:color="000000"/>
            </w:tcBorders>
            <w:shd w:val="clear" w:color="auto" w:fill="E7E6E6"/>
            <w:vAlign w:val="bottom"/>
          </w:tcPr>
          <w:p w14:paraId="5393B6B2" w14:textId="77777777" w:rsidR="00EB759C" w:rsidRDefault="00EB759C" w:rsidP="00EB759C">
            <w:pPr>
              <w:tabs>
                <w:tab w:val="left" w:pos="828"/>
              </w:tabs>
              <w:ind w:left="57" w:right="57"/>
              <w:jc w:val="right"/>
              <w:rPr>
                <w:rFonts w:ascii="Arial" w:eastAsia="Arial" w:hAnsi="Arial" w:cs="Arial"/>
                <w:color w:val="000000"/>
                <w:sz w:val="14"/>
              </w:rPr>
            </w:pPr>
            <w:r>
              <w:rPr>
                <w:rFonts w:ascii="Arial" w:eastAsia="Arial" w:hAnsi="Arial" w:cs="Arial"/>
                <w:color w:val="000000"/>
                <w:sz w:val="14"/>
              </w:rPr>
              <w:t>13 676 909,200</w:t>
            </w:r>
          </w:p>
        </w:tc>
        <w:tc>
          <w:tcPr>
            <w:tcW w:w="709" w:type="dxa"/>
            <w:tcBorders>
              <w:left w:val="single" w:sz="4" w:space="0" w:color="000000"/>
              <w:bottom w:val="single" w:sz="4" w:space="0" w:color="000000"/>
              <w:right w:val="single" w:sz="4" w:space="0" w:color="000000"/>
            </w:tcBorders>
            <w:shd w:val="clear" w:color="auto" w:fill="E7E6E6"/>
            <w:vAlign w:val="bottom"/>
          </w:tcPr>
          <w:p w14:paraId="64D49A16"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410 066 992,000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B282C83"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5F40745B"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6BCADEF"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F6992B9"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5 008 230,530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202EA870"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26 614 325,690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39009360" w14:textId="2F6FB221"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84 041 680,890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62296AD"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57FB4BA7"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5E923995"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2AB7E2E5"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6B8835E5" w14:textId="77777777" w:rsidR="00EB759C" w:rsidRDefault="00EB759C" w:rsidP="00EB759C"/>
        </w:tc>
      </w:tr>
      <w:tr w:rsidR="00EB759C" w14:paraId="6CD8131F"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04321A3F" w14:textId="77777777" w:rsidR="00EB759C" w:rsidRDefault="00EB759C" w:rsidP="00EB759C"/>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1258BCD" w14:textId="77777777" w:rsidR="00EB759C" w:rsidRDefault="00EB759C" w:rsidP="00EB759C"/>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870F1B1" w14:textId="77777777" w:rsidR="00EB759C" w:rsidRDefault="00EB759C" w:rsidP="00EB759C"/>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FF4F24F"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300A6D5"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B0CDC98"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7779B4C" w14:textId="77777777" w:rsidR="00EB759C" w:rsidRDefault="00EB759C" w:rsidP="00EB759C"/>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8D888D"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BC702D"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2837DA"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F3874E"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A7E66"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EFD856"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4B2771"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350FD7"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AD7344"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2BA81C"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DCFAB0"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89F47A"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4E74AB2F" w14:textId="77777777" w:rsidR="00EB759C" w:rsidRDefault="00EB759C" w:rsidP="00EB759C"/>
        </w:tc>
      </w:tr>
      <w:tr w:rsidR="00EB759C" w14:paraId="55EA9463"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38627F6D" w14:textId="77777777" w:rsidR="00EB759C" w:rsidRDefault="00EB759C" w:rsidP="00EB759C"/>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5BF597B" w14:textId="77777777" w:rsidR="00EB759C" w:rsidRDefault="00EB759C" w:rsidP="00EB759C"/>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8D89835" w14:textId="77777777" w:rsidR="00EB759C" w:rsidRDefault="00EB759C" w:rsidP="00EB759C"/>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853D888"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3A6CAD9"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0C0C0F8" w14:textId="77777777" w:rsidR="00EB759C" w:rsidRDefault="00EB759C" w:rsidP="00EB759C"/>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DB7D7A4" w14:textId="77777777" w:rsidR="00EB759C" w:rsidRDefault="00EB759C" w:rsidP="00EB759C"/>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00D877A3"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0B725F84"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DC70061"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6665BC6"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FDB8482"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377574D"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45D0A5A"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062EF52" w14:textId="77777777" w:rsidR="00EB759C" w:rsidRDefault="00EB759C" w:rsidP="00EB759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0E83E15A"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468F4E3"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9879555"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178DB3B" w14:textId="77777777" w:rsidR="00EB759C" w:rsidRDefault="00EB759C" w:rsidP="00EB759C">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747F624A" w14:textId="77777777" w:rsidR="00EB759C" w:rsidRDefault="00EB759C" w:rsidP="00EB759C"/>
        </w:tc>
      </w:tr>
    </w:tbl>
    <w:p w14:paraId="234B7C33" w14:textId="77777777" w:rsidR="007429C8" w:rsidRDefault="0046046C">
      <w:pPr>
        <w:ind w:left="115" w:right="812"/>
        <w:rPr>
          <w:rFonts w:ascii="Arial" w:eastAsia="Arial" w:hAnsi="Arial" w:cs="Arial"/>
          <w:color w:val="000000"/>
          <w:sz w:val="16"/>
        </w:rPr>
      </w:pPr>
      <w:r>
        <w:rPr>
          <w:rFonts w:ascii="Arial" w:eastAsia="Arial" w:hAnsi="Arial" w:cs="Arial"/>
          <w:color w:val="000000"/>
          <w:sz w:val="16"/>
        </w:rPr>
        <w:t>*</w:t>
      </w:r>
      <w:r>
        <w:rPr>
          <w:rFonts w:ascii="Arial" w:eastAsia="Arial" w:hAnsi="Arial" w:cs="Arial"/>
          <w:color w:val="000000"/>
          <w:sz w:val="16"/>
        </w:rPr>
        <w:tab/>
        <w:t xml:space="preserve">Pro EFRR nebo Fond soudržnosti předloží členské státy pro ukazatele výstupů kumulativní hodnoty. Pro ESF jsou kumulativní hodnoty systémem SFC2014 vypočítány automaticky </w:t>
      </w:r>
      <w:proofErr w:type="gramStart"/>
      <w:r>
        <w:rPr>
          <w:rFonts w:ascii="Arial" w:eastAsia="Arial" w:hAnsi="Arial" w:cs="Arial"/>
          <w:color w:val="000000"/>
          <w:sz w:val="16"/>
        </w:rPr>
        <w:t>na</w:t>
      </w:r>
      <w:proofErr w:type="gramEnd"/>
      <w:r>
        <w:rPr>
          <w:rFonts w:ascii="Arial" w:eastAsia="Arial" w:hAnsi="Arial" w:cs="Arial"/>
          <w:color w:val="000000"/>
          <w:sz w:val="16"/>
        </w:rPr>
        <w:t xml:space="preserve"> základě ročních hodnot poskytnutých členskými státy. Hodnoty pro finanční ukazatele jsou kumulativní pro všechny fondy. Hodnoty pro klíčové prováděcí kroky jsou kumulativní pro všechny fondy, pokud jsou klíčové prováděcí kroky vyjádřeny pomocí čísla nebo procentního podílu. Je-li výsledek vymezen kvalitativně, je nutno v tabulce uvést, zda jej bylo dosaženo, či nikoli.</w:t>
      </w:r>
    </w:p>
    <w:p w14:paraId="21E86907" w14:textId="77777777" w:rsidR="007429C8" w:rsidRDefault="007429C8" w:rsidP="007429C8">
      <w:r>
        <w:br w:type="page"/>
      </w:r>
    </w:p>
    <w:p w14:paraId="6C11E35E" w14:textId="77777777" w:rsidR="00533CD2" w:rsidRDefault="00533CD2">
      <w:pPr>
        <w:ind w:left="115" w:right="812"/>
        <w:rPr>
          <w:rFonts w:ascii="Arial" w:eastAsia="Arial" w:hAnsi="Arial" w:cs="Arial"/>
          <w:color w:val="000000"/>
          <w:sz w:val="16"/>
        </w:rPr>
      </w:pPr>
    </w:p>
    <w:p w14:paraId="054C8556" w14:textId="77777777" w:rsidR="00533CD2" w:rsidRPr="007429C8" w:rsidRDefault="0046046C" w:rsidP="007429C8">
      <w:pPr>
        <w:pStyle w:val="Nadpis2"/>
      </w:pPr>
      <w:bookmarkStart w:id="9" w:name="_Toc40877817"/>
      <w:r w:rsidRPr="007429C8">
        <w:t>Finanční údaje (čl. 50 odst. 2 nařízení (EU) č. 1303/2013)</w:t>
      </w:r>
      <w:bookmarkEnd w:id="9"/>
    </w:p>
    <w:p w14:paraId="63A3F534" w14:textId="77777777" w:rsidR="00533CD2" w:rsidRDefault="00533CD2">
      <w:pPr>
        <w:tabs>
          <w:tab w:val="left" w:pos="1675"/>
        </w:tabs>
        <w:ind w:left="115" w:right="106"/>
        <w:rPr>
          <w:rFonts w:ascii="Arial" w:eastAsia="Arial" w:hAnsi="Arial" w:cs="Arial"/>
          <w:color w:val="000000"/>
          <w:sz w:val="20"/>
        </w:rPr>
      </w:pPr>
    </w:p>
    <w:p w14:paraId="2402B83D" w14:textId="77777777" w:rsidR="00533CD2" w:rsidRDefault="0046046C">
      <w:pPr>
        <w:keepNext/>
        <w:tabs>
          <w:tab w:val="left" w:pos="1675"/>
        </w:tabs>
        <w:ind w:left="115" w:right="106"/>
        <w:rPr>
          <w:rFonts w:ascii="Arial" w:eastAsia="Arial" w:hAnsi="Arial" w:cs="Arial"/>
          <w:b/>
          <w:bCs/>
          <w:i/>
          <w:iCs/>
          <w:color w:val="000000"/>
          <w:sz w:val="16"/>
        </w:rPr>
      </w:pPr>
      <w:r>
        <w:rPr>
          <w:rFonts w:ascii="Arial" w:eastAsia="Arial" w:hAnsi="Arial" w:cs="Arial"/>
          <w:b/>
          <w:bCs/>
          <w:i/>
          <w:iCs/>
          <w:color w:val="000000"/>
          <w:sz w:val="20"/>
        </w:rPr>
        <w:t xml:space="preserve">Tabulka 6: Finanční údaje </w:t>
      </w:r>
      <w:proofErr w:type="gramStart"/>
      <w:r>
        <w:rPr>
          <w:rFonts w:ascii="Arial" w:eastAsia="Arial" w:hAnsi="Arial" w:cs="Arial"/>
          <w:b/>
          <w:bCs/>
          <w:i/>
          <w:iCs/>
          <w:color w:val="000000"/>
          <w:sz w:val="20"/>
        </w:rPr>
        <w:t>na</w:t>
      </w:r>
      <w:proofErr w:type="gramEnd"/>
      <w:r>
        <w:rPr>
          <w:rFonts w:ascii="Arial" w:eastAsia="Arial" w:hAnsi="Arial" w:cs="Arial"/>
          <w:b/>
          <w:bCs/>
          <w:i/>
          <w:iCs/>
          <w:color w:val="000000"/>
          <w:sz w:val="20"/>
        </w:rPr>
        <w:t xml:space="preserve"> úrovni prioritních os a programů stanovené v tabulce 1 přílohy II prováděcího nařízení Komise (EU) č. 1011/2014</w:t>
      </w:r>
      <w:r>
        <w:rPr>
          <w:rFonts w:ascii="Arial" w:eastAsia="Arial" w:hAnsi="Arial" w:cs="Arial"/>
          <w:b/>
          <w:bCs/>
          <w:i/>
          <w:iCs/>
          <w:color w:val="000000"/>
          <w:sz w:val="16"/>
        </w:rPr>
        <w:t xml:space="preserve"> (11)</w:t>
      </w:r>
    </w:p>
    <w:p w14:paraId="1762C8AA" w14:textId="77777777" w:rsidR="00533CD2" w:rsidRDefault="00533CD2">
      <w:pPr>
        <w:keepNext/>
        <w:tabs>
          <w:tab w:val="left" w:pos="1675"/>
        </w:tabs>
        <w:ind w:left="115" w:right="106"/>
        <w:rPr>
          <w:rFonts w:ascii="Arial" w:eastAsia="Arial" w:hAnsi="Arial" w:cs="Arial"/>
          <w:color w:val="000000"/>
          <w:sz w:val="20"/>
        </w:rPr>
      </w:pPr>
    </w:p>
    <w:tbl>
      <w:tblPr>
        <w:tblW w:w="0" w:type="auto"/>
        <w:tblInd w:w="128" w:type="dxa"/>
        <w:tblLayout w:type="fixed"/>
        <w:tblCellMar>
          <w:left w:w="0" w:type="dxa"/>
          <w:right w:w="0" w:type="dxa"/>
        </w:tblCellMar>
        <w:tblLook w:val="04A0" w:firstRow="1" w:lastRow="0" w:firstColumn="1" w:lastColumn="0" w:noHBand="0" w:noVBand="1"/>
      </w:tblPr>
      <w:tblGrid>
        <w:gridCol w:w="1022"/>
        <w:gridCol w:w="892"/>
        <w:gridCol w:w="1347"/>
        <w:gridCol w:w="708"/>
        <w:gridCol w:w="1701"/>
        <w:gridCol w:w="851"/>
        <w:gridCol w:w="1984"/>
        <w:gridCol w:w="838"/>
        <w:gridCol w:w="1997"/>
        <w:gridCol w:w="1843"/>
        <w:gridCol w:w="851"/>
        <w:gridCol w:w="986"/>
      </w:tblGrid>
      <w:tr w:rsidR="001A4750" w14:paraId="6E1E4FC2" w14:textId="77777777" w:rsidTr="001A4750">
        <w:trPr>
          <w:cantSplit/>
          <w:tblHeader/>
        </w:trPr>
        <w:tc>
          <w:tcPr>
            <w:tcW w:w="102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8D4430B"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Prioritní osa</w:t>
            </w:r>
          </w:p>
        </w:tc>
        <w:tc>
          <w:tcPr>
            <w:tcW w:w="89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21CC48E"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Fond</w:t>
            </w:r>
          </w:p>
        </w:tc>
        <w:tc>
          <w:tcPr>
            <w:tcW w:w="134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4AD40F8"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Kategorie regionu</w:t>
            </w:r>
          </w:p>
        </w:tc>
        <w:tc>
          <w:tcPr>
            <w:tcW w:w="70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5A24B93"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Základ pro výpočet</w:t>
            </w:r>
          </w:p>
        </w:tc>
        <w:tc>
          <w:tcPr>
            <w:tcW w:w="170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3A2C4D"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Financování celkem [EUR]</w:t>
            </w: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8C28760"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Míra spolufinancování [%]</w:t>
            </w:r>
          </w:p>
        </w:tc>
        <w:tc>
          <w:tcPr>
            <w:tcW w:w="198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9D03C06"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Celkové způsobilé náklady operací vybraných pro poskytnutí podpory [EUR]</w:t>
            </w:r>
          </w:p>
        </w:tc>
        <w:tc>
          <w:tcPr>
            <w:tcW w:w="83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49B9D54"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Podíl celkového přídělu, na nějž se vztahují vybrané operace [%]</w:t>
            </w:r>
          </w:p>
        </w:tc>
        <w:tc>
          <w:tcPr>
            <w:tcW w:w="199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0EF6FC4"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Veřejné způsobilé náklady operací vybraných pro poskytnutí podpory [EUR]</w:t>
            </w:r>
          </w:p>
        </w:tc>
        <w:tc>
          <w:tcPr>
            <w:tcW w:w="1843"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9F7A49"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Celková výše způsobilých výdajů, jež příjemci vykázali řídícímu orgánu [EUR]</w:t>
            </w: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D231252"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Podíl celkového přídělu, na nějž se vztahují způsobilé výdaje vykázané příjemci [%]</w:t>
            </w:r>
          </w:p>
        </w:tc>
        <w:tc>
          <w:tcPr>
            <w:tcW w:w="98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582986D"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Počet schválených operací</w:t>
            </w:r>
          </w:p>
        </w:tc>
      </w:tr>
      <w:tr w:rsidR="001A4750" w14:paraId="292EDED4" w14:textId="77777777" w:rsidTr="001A4750">
        <w:trPr>
          <w:cantSplit/>
          <w:tblHeader/>
        </w:trPr>
        <w:tc>
          <w:tcPr>
            <w:tcW w:w="102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BE6AE3B"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06.1</w:t>
            </w:r>
          </w:p>
        </w:tc>
        <w:tc>
          <w:tcPr>
            <w:tcW w:w="89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BB6BE82"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ERDF</w:t>
            </w:r>
          </w:p>
        </w:tc>
        <w:tc>
          <w:tcPr>
            <w:tcW w:w="134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CB78075"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Méně rozvinuté regiony</w:t>
            </w:r>
          </w:p>
        </w:tc>
        <w:tc>
          <w:tcPr>
            <w:tcW w:w="70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6C7CC77"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Celkem</w:t>
            </w:r>
          </w:p>
        </w:tc>
        <w:tc>
          <w:tcPr>
            <w:tcW w:w="170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9FBC168"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2 004 974 528,00</w:t>
            </w: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A3773E6"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85,00</w:t>
            </w:r>
          </w:p>
        </w:tc>
        <w:tc>
          <w:tcPr>
            <w:tcW w:w="198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C65EC1C"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1 751 295 915,99</w:t>
            </w:r>
          </w:p>
        </w:tc>
        <w:tc>
          <w:tcPr>
            <w:tcW w:w="83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D1FD8CB"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87,35</w:t>
            </w:r>
          </w:p>
        </w:tc>
        <w:tc>
          <w:tcPr>
            <w:tcW w:w="199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CCCFCB"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1 706 385 945,78</w:t>
            </w:r>
          </w:p>
        </w:tc>
        <w:tc>
          <w:tcPr>
            <w:tcW w:w="1843"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4C75BD"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801 651 307,06</w:t>
            </w: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4DA915"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39,98</w:t>
            </w:r>
          </w:p>
        </w:tc>
        <w:tc>
          <w:tcPr>
            <w:tcW w:w="98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75C40CD"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1026</w:t>
            </w:r>
          </w:p>
        </w:tc>
      </w:tr>
      <w:tr w:rsidR="001A4750" w14:paraId="394D5F98" w14:textId="77777777" w:rsidTr="001A4750">
        <w:trPr>
          <w:cantSplit/>
          <w:tblHeader/>
        </w:trPr>
        <w:tc>
          <w:tcPr>
            <w:tcW w:w="102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627234A"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06.2</w:t>
            </w:r>
          </w:p>
        </w:tc>
        <w:tc>
          <w:tcPr>
            <w:tcW w:w="89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681912C"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ERDF</w:t>
            </w:r>
          </w:p>
        </w:tc>
        <w:tc>
          <w:tcPr>
            <w:tcW w:w="134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3AAFCCE"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Méně rozvinuté regiony</w:t>
            </w:r>
          </w:p>
        </w:tc>
        <w:tc>
          <w:tcPr>
            <w:tcW w:w="70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1B15109"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Celkem</w:t>
            </w:r>
          </w:p>
        </w:tc>
        <w:tc>
          <w:tcPr>
            <w:tcW w:w="170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A7EBD2E"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2 079 935 571,00</w:t>
            </w: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B2C71AB"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85,00</w:t>
            </w:r>
          </w:p>
        </w:tc>
        <w:tc>
          <w:tcPr>
            <w:tcW w:w="198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3116C70"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2 023 363 216,12</w:t>
            </w:r>
          </w:p>
        </w:tc>
        <w:tc>
          <w:tcPr>
            <w:tcW w:w="83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79CAD3"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97,28</w:t>
            </w:r>
          </w:p>
        </w:tc>
        <w:tc>
          <w:tcPr>
            <w:tcW w:w="199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166B4BA"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1 732 210 469,38</w:t>
            </w:r>
          </w:p>
        </w:tc>
        <w:tc>
          <w:tcPr>
            <w:tcW w:w="1843"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3026A1"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1 026 073 641,34</w:t>
            </w: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46A6E8"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49,33</w:t>
            </w:r>
          </w:p>
        </w:tc>
        <w:tc>
          <w:tcPr>
            <w:tcW w:w="98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77E09DD"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4133</w:t>
            </w:r>
          </w:p>
        </w:tc>
      </w:tr>
      <w:tr w:rsidR="001A4750" w14:paraId="4D8F6C86" w14:textId="77777777" w:rsidTr="001A4750">
        <w:trPr>
          <w:cantSplit/>
          <w:tblHeader/>
        </w:trPr>
        <w:tc>
          <w:tcPr>
            <w:tcW w:w="102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8590AE1"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06.3</w:t>
            </w:r>
          </w:p>
        </w:tc>
        <w:tc>
          <w:tcPr>
            <w:tcW w:w="89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B035093"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ERDF</w:t>
            </w:r>
          </w:p>
        </w:tc>
        <w:tc>
          <w:tcPr>
            <w:tcW w:w="134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936F464"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Méně rozvinuté regiony</w:t>
            </w:r>
          </w:p>
        </w:tc>
        <w:tc>
          <w:tcPr>
            <w:tcW w:w="70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4A63C4"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Celkem</w:t>
            </w:r>
          </w:p>
        </w:tc>
        <w:tc>
          <w:tcPr>
            <w:tcW w:w="170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CE21BF5"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868 786 690,00</w:t>
            </w: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9578A54"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85,00</w:t>
            </w:r>
          </w:p>
        </w:tc>
        <w:tc>
          <w:tcPr>
            <w:tcW w:w="198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E6289F6"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870 748 578,83</w:t>
            </w:r>
          </w:p>
        </w:tc>
        <w:tc>
          <w:tcPr>
            <w:tcW w:w="83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5538D37"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100,23</w:t>
            </w:r>
          </w:p>
        </w:tc>
        <w:tc>
          <w:tcPr>
            <w:tcW w:w="199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15D51B9"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847 509 465,61</w:t>
            </w:r>
          </w:p>
        </w:tc>
        <w:tc>
          <w:tcPr>
            <w:tcW w:w="1843"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414D868"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159 432 072,50</w:t>
            </w: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EBF0272"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18,35</w:t>
            </w:r>
          </w:p>
        </w:tc>
        <w:tc>
          <w:tcPr>
            <w:tcW w:w="98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0CDADBF"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706</w:t>
            </w:r>
          </w:p>
        </w:tc>
      </w:tr>
      <w:tr w:rsidR="001A4750" w14:paraId="54786BDD" w14:textId="77777777" w:rsidTr="001A4750">
        <w:trPr>
          <w:cantSplit/>
          <w:tblHeader/>
        </w:trPr>
        <w:tc>
          <w:tcPr>
            <w:tcW w:w="102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2433F5A"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06.3</w:t>
            </w:r>
          </w:p>
        </w:tc>
        <w:tc>
          <w:tcPr>
            <w:tcW w:w="89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8E21E09"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ERDF</w:t>
            </w:r>
          </w:p>
        </w:tc>
        <w:tc>
          <w:tcPr>
            <w:tcW w:w="134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5A71DE7"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Více rozvinuté regiony</w:t>
            </w:r>
          </w:p>
        </w:tc>
        <w:tc>
          <w:tcPr>
            <w:tcW w:w="70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7331092"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Celkem</w:t>
            </w:r>
          </w:p>
        </w:tc>
        <w:tc>
          <w:tcPr>
            <w:tcW w:w="170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D0F68DC"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48 299 224,00</w:t>
            </w: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36A61F"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50,00</w:t>
            </w:r>
          </w:p>
        </w:tc>
        <w:tc>
          <w:tcPr>
            <w:tcW w:w="198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28FEA2C"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30 700 280,39</w:t>
            </w:r>
          </w:p>
        </w:tc>
        <w:tc>
          <w:tcPr>
            <w:tcW w:w="83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6177DF1"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63,56</w:t>
            </w:r>
          </w:p>
        </w:tc>
        <w:tc>
          <w:tcPr>
            <w:tcW w:w="199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E4745DD"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29 633 200,47</w:t>
            </w:r>
          </w:p>
        </w:tc>
        <w:tc>
          <w:tcPr>
            <w:tcW w:w="1843"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F501BC8"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2 719 033,45</w:t>
            </w: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F46A217"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5,63</w:t>
            </w:r>
          </w:p>
        </w:tc>
        <w:tc>
          <w:tcPr>
            <w:tcW w:w="98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3C555C6"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72</w:t>
            </w:r>
          </w:p>
        </w:tc>
      </w:tr>
      <w:tr w:rsidR="001A4750" w14:paraId="5C3EAB31" w14:textId="77777777" w:rsidTr="001A4750">
        <w:trPr>
          <w:cantSplit/>
          <w:tblHeader/>
        </w:trPr>
        <w:tc>
          <w:tcPr>
            <w:tcW w:w="102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ACEDC72"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06.4</w:t>
            </w:r>
          </w:p>
        </w:tc>
        <w:tc>
          <w:tcPr>
            <w:tcW w:w="89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CEBCF1D"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ERDF</w:t>
            </w:r>
          </w:p>
        </w:tc>
        <w:tc>
          <w:tcPr>
            <w:tcW w:w="134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75733C"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Méně rozvinuté regiony</w:t>
            </w:r>
          </w:p>
        </w:tc>
        <w:tc>
          <w:tcPr>
            <w:tcW w:w="70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DD2AD9E"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Celkem</w:t>
            </w:r>
          </w:p>
        </w:tc>
        <w:tc>
          <w:tcPr>
            <w:tcW w:w="170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65B8B06"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410 066 992,00</w:t>
            </w: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0F12C23"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95,00</w:t>
            </w:r>
          </w:p>
        </w:tc>
        <w:tc>
          <w:tcPr>
            <w:tcW w:w="198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F371514"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254 728 600,93</w:t>
            </w:r>
          </w:p>
        </w:tc>
        <w:tc>
          <w:tcPr>
            <w:tcW w:w="83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F307C5B"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62,12</w:t>
            </w:r>
          </w:p>
        </w:tc>
        <w:tc>
          <w:tcPr>
            <w:tcW w:w="199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21F6B9A"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249 386 711,15</w:t>
            </w:r>
          </w:p>
        </w:tc>
        <w:tc>
          <w:tcPr>
            <w:tcW w:w="1843"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A6FC3CC"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96 949 150,23</w:t>
            </w: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CB71C36"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23,64</w:t>
            </w:r>
          </w:p>
        </w:tc>
        <w:tc>
          <w:tcPr>
            <w:tcW w:w="98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7C218D0"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2077</w:t>
            </w:r>
          </w:p>
        </w:tc>
      </w:tr>
      <w:tr w:rsidR="001A4750" w14:paraId="4255C822" w14:textId="77777777" w:rsidTr="001A4750">
        <w:trPr>
          <w:cantSplit/>
          <w:tblHeader/>
        </w:trPr>
        <w:tc>
          <w:tcPr>
            <w:tcW w:w="102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3A6984"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06.5</w:t>
            </w:r>
          </w:p>
        </w:tc>
        <w:tc>
          <w:tcPr>
            <w:tcW w:w="89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AEECA50"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ERDF</w:t>
            </w:r>
          </w:p>
        </w:tc>
        <w:tc>
          <w:tcPr>
            <w:tcW w:w="134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5D4457D"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Méně rozvinuté regiony</w:t>
            </w:r>
          </w:p>
        </w:tc>
        <w:tc>
          <w:tcPr>
            <w:tcW w:w="70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7AB1DC"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Celkem</w:t>
            </w:r>
          </w:p>
        </w:tc>
        <w:tc>
          <w:tcPr>
            <w:tcW w:w="170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064306"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163 382 150,00</w:t>
            </w: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44631FE"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85,00</w:t>
            </w:r>
          </w:p>
        </w:tc>
        <w:tc>
          <w:tcPr>
            <w:tcW w:w="198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3F8BDEF"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78 261 269,18</w:t>
            </w:r>
          </w:p>
        </w:tc>
        <w:tc>
          <w:tcPr>
            <w:tcW w:w="83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89B3971"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47,90</w:t>
            </w:r>
          </w:p>
        </w:tc>
        <w:tc>
          <w:tcPr>
            <w:tcW w:w="199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5F75FB2"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78 261 269,18</w:t>
            </w:r>
          </w:p>
        </w:tc>
        <w:tc>
          <w:tcPr>
            <w:tcW w:w="1843"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E1EF99E"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49 687 951,71</w:t>
            </w: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55B06F5"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30,41</w:t>
            </w:r>
          </w:p>
        </w:tc>
        <w:tc>
          <w:tcPr>
            <w:tcW w:w="98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0268F56"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44</w:t>
            </w:r>
          </w:p>
        </w:tc>
      </w:tr>
      <w:tr w:rsidR="001A4750" w14:paraId="3B7E6355" w14:textId="77777777" w:rsidTr="001A4750">
        <w:trPr>
          <w:cantSplit/>
          <w:tblHeader/>
        </w:trPr>
        <w:tc>
          <w:tcPr>
            <w:tcW w:w="102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FEB9DC9" w14:textId="77777777" w:rsidR="001A4750" w:rsidRPr="001A4750" w:rsidRDefault="001A4750" w:rsidP="001A4750">
            <w:pPr>
              <w:keepLines/>
              <w:ind w:left="57" w:right="57"/>
              <w:jc w:val="center"/>
              <w:rPr>
                <w:rFonts w:ascii="Arial" w:eastAsia="Arial" w:hAnsi="Arial" w:cs="Arial"/>
                <w:b/>
                <w:bCs/>
                <w:color w:val="000000"/>
                <w:sz w:val="14"/>
              </w:rPr>
            </w:pPr>
          </w:p>
        </w:tc>
        <w:tc>
          <w:tcPr>
            <w:tcW w:w="89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D111544" w14:textId="77777777" w:rsidR="001A4750" w:rsidRPr="001A4750" w:rsidRDefault="001A4750" w:rsidP="001A4750">
            <w:pPr>
              <w:keepLines/>
              <w:ind w:left="57" w:right="57"/>
              <w:jc w:val="center"/>
              <w:rPr>
                <w:rFonts w:ascii="Arial" w:eastAsia="Arial" w:hAnsi="Arial" w:cs="Arial"/>
                <w:b/>
                <w:bCs/>
                <w:color w:val="000000"/>
                <w:sz w:val="14"/>
              </w:rPr>
            </w:pPr>
          </w:p>
        </w:tc>
        <w:tc>
          <w:tcPr>
            <w:tcW w:w="134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369A53F" w14:textId="77777777" w:rsidR="001A4750" w:rsidRPr="001A4750" w:rsidRDefault="001A4750" w:rsidP="001A4750">
            <w:pPr>
              <w:keepLines/>
              <w:ind w:left="57" w:right="57"/>
              <w:jc w:val="center"/>
              <w:rPr>
                <w:rFonts w:ascii="Arial" w:eastAsia="Arial" w:hAnsi="Arial" w:cs="Arial"/>
                <w:b/>
                <w:bCs/>
                <w:color w:val="000000"/>
                <w:sz w:val="14"/>
              </w:rPr>
            </w:pPr>
          </w:p>
        </w:tc>
        <w:tc>
          <w:tcPr>
            <w:tcW w:w="70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6F55009"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Celkem</w:t>
            </w:r>
          </w:p>
        </w:tc>
        <w:tc>
          <w:tcPr>
            <w:tcW w:w="170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C0C1D32"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5 575 445 155,00</w:t>
            </w: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7C8DC48"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85,43</w:t>
            </w:r>
          </w:p>
        </w:tc>
        <w:tc>
          <w:tcPr>
            <w:tcW w:w="198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FB79D2F"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5 009 097 861,44</w:t>
            </w:r>
          </w:p>
        </w:tc>
        <w:tc>
          <w:tcPr>
            <w:tcW w:w="83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215E48C"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89,84</w:t>
            </w:r>
          </w:p>
        </w:tc>
        <w:tc>
          <w:tcPr>
            <w:tcW w:w="199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CEDABD9"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4 643 387 061,57</w:t>
            </w:r>
          </w:p>
        </w:tc>
        <w:tc>
          <w:tcPr>
            <w:tcW w:w="1843"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4E66745"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2 136 513 156,29</w:t>
            </w: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61487D4"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38,32</w:t>
            </w:r>
          </w:p>
        </w:tc>
        <w:tc>
          <w:tcPr>
            <w:tcW w:w="98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CAB879C"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8058</w:t>
            </w:r>
          </w:p>
        </w:tc>
      </w:tr>
    </w:tbl>
    <w:p w14:paraId="447C4CB9" w14:textId="77777777" w:rsidR="00533CD2" w:rsidRDefault="00533CD2">
      <w:pPr>
        <w:tabs>
          <w:tab w:val="left" w:pos="1675"/>
        </w:tabs>
        <w:ind w:left="115" w:right="106"/>
        <w:rPr>
          <w:rFonts w:ascii="Arial" w:eastAsia="Arial" w:hAnsi="Arial" w:cs="Arial"/>
          <w:color w:val="000000"/>
          <w:sz w:val="20"/>
        </w:rPr>
      </w:pPr>
    </w:p>
    <w:p w14:paraId="6F98345D" w14:textId="77777777" w:rsidR="00533CD2" w:rsidRDefault="00533CD2">
      <w:pPr>
        <w:tabs>
          <w:tab w:val="left" w:pos="1675"/>
        </w:tabs>
        <w:ind w:left="115" w:right="106"/>
        <w:rPr>
          <w:rFonts w:ascii="Arial" w:eastAsia="Arial" w:hAnsi="Arial" w:cs="Arial"/>
          <w:color w:val="000000"/>
          <w:sz w:val="20"/>
        </w:rPr>
      </w:pPr>
    </w:p>
    <w:p w14:paraId="3D1DC7D9" w14:textId="77777777" w:rsidR="00533CD2" w:rsidRDefault="0046046C">
      <w:pPr>
        <w:keepNext/>
        <w:tabs>
          <w:tab w:val="left" w:pos="1675"/>
        </w:tabs>
        <w:ind w:left="115" w:right="106"/>
        <w:rPr>
          <w:rFonts w:ascii="Arial" w:eastAsia="Arial" w:hAnsi="Arial" w:cs="Arial"/>
          <w:b/>
          <w:bCs/>
          <w:i/>
          <w:iCs/>
          <w:color w:val="000000"/>
          <w:sz w:val="20"/>
        </w:rPr>
      </w:pPr>
      <w:r>
        <w:rPr>
          <w:rFonts w:ascii="Arial" w:eastAsia="Arial" w:hAnsi="Arial" w:cs="Arial"/>
          <w:b/>
          <w:bCs/>
          <w:i/>
          <w:iCs/>
          <w:color w:val="000000"/>
          <w:sz w:val="20"/>
        </w:rPr>
        <w:t>Tabulka 7: Rozdělení kumulativních finančních údajů podle kategorie intervencí u EFRR, ESF a Fondu soudržnosti (čl. 112 odst. 1 a 2 nařízení (EU) č. 1303/2013 a článek 5 nařízení (EU) č. 1304/2013)</w:t>
      </w:r>
    </w:p>
    <w:p w14:paraId="3A88B79C" w14:textId="77777777" w:rsidR="00533CD2" w:rsidRDefault="0046046C">
      <w:pPr>
        <w:keepNext/>
        <w:tabs>
          <w:tab w:val="left" w:pos="1675"/>
        </w:tabs>
        <w:ind w:left="115" w:right="106"/>
        <w:rPr>
          <w:rFonts w:ascii="Arial" w:eastAsia="Arial" w:hAnsi="Arial" w:cs="Arial"/>
          <w:b/>
          <w:bCs/>
          <w:i/>
          <w:iCs/>
          <w:color w:val="000000"/>
          <w:sz w:val="20"/>
        </w:rPr>
      </w:pPr>
      <w:r>
        <w:rPr>
          <w:rFonts w:ascii="Arial" w:eastAsia="Arial" w:hAnsi="Arial" w:cs="Arial"/>
          <w:b/>
          <w:bCs/>
          <w:i/>
          <w:iCs/>
          <w:color w:val="000000"/>
          <w:sz w:val="20"/>
        </w:rPr>
        <w:t>(</w:t>
      </w:r>
      <w:proofErr w:type="gramStart"/>
      <w:r>
        <w:rPr>
          <w:rFonts w:ascii="Arial" w:eastAsia="Arial" w:hAnsi="Arial" w:cs="Arial"/>
          <w:b/>
          <w:bCs/>
          <w:i/>
          <w:iCs/>
          <w:color w:val="000000"/>
          <w:sz w:val="20"/>
        </w:rPr>
        <w:t>jak</w:t>
      </w:r>
      <w:proofErr w:type="gramEnd"/>
      <w:r>
        <w:rPr>
          <w:rFonts w:ascii="Arial" w:eastAsia="Arial" w:hAnsi="Arial" w:cs="Arial"/>
          <w:b/>
          <w:bCs/>
          <w:i/>
          <w:iCs/>
          <w:color w:val="000000"/>
          <w:sz w:val="20"/>
        </w:rPr>
        <w:t xml:space="preserve"> je stanoveno v tabulce 2 přílohy II prováděcího nařízení Komise (EU) č. 1011/2014)</w:t>
      </w:r>
    </w:p>
    <w:p w14:paraId="29F8A51A" w14:textId="77777777" w:rsidR="00533CD2" w:rsidRDefault="00533CD2">
      <w:pPr>
        <w:keepNext/>
        <w:tabs>
          <w:tab w:val="left" w:pos="1675"/>
        </w:tabs>
        <w:ind w:left="115" w:right="106"/>
        <w:rPr>
          <w:rFonts w:ascii="Arial" w:eastAsia="Arial" w:hAnsi="Arial" w:cs="Arial"/>
          <w:color w:val="000000"/>
          <w:sz w:val="20"/>
        </w:rPr>
      </w:pPr>
    </w:p>
    <w:p w14:paraId="225AE7A6" w14:textId="77777777" w:rsidR="00533CD2" w:rsidRDefault="00533CD2">
      <w:pPr>
        <w:tabs>
          <w:tab w:val="left" w:pos="1675"/>
        </w:tabs>
        <w:ind w:left="115" w:right="106"/>
        <w:rPr>
          <w:rFonts w:ascii="Arial" w:eastAsia="Arial" w:hAnsi="Arial" w:cs="Arial"/>
          <w:color w:val="000000"/>
          <w:sz w:val="20"/>
        </w:rPr>
      </w:pPr>
    </w:p>
    <w:p w14:paraId="147597E2" w14:textId="77777777" w:rsidR="00533CD2" w:rsidRDefault="00533CD2">
      <w:pPr>
        <w:tabs>
          <w:tab w:val="left" w:pos="1675"/>
        </w:tabs>
        <w:ind w:left="115" w:right="106"/>
        <w:rPr>
          <w:rFonts w:ascii="Arial" w:eastAsia="Arial" w:hAnsi="Arial" w:cs="Arial"/>
          <w:color w:val="000000"/>
          <w:sz w:val="20"/>
        </w:rPr>
      </w:pPr>
    </w:p>
    <w:tbl>
      <w:tblPr>
        <w:tblW w:w="0" w:type="auto"/>
        <w:tblInd w:w="166" w:type="dxa"/>
        <w:tblLayout w:type="fixed"/>
        <w:tblCellMar>
          <w:left w:w="0" w:type="dxa"/>
          <w:right w:w="0" w:type="dxa"/>
        </w:tblCellMar>
        <w:tblLook w:val="04A0" w:firstRow="1" w:lastRow="0" w:firstColumn="1" w:lastColumn="0" w:noHBand="0" w:noVBand="1"/>
      </w:tblPr>
      <w:tblGrid>
        <w:gridCol w:w="658"/>
        <w:gridCol w:w="567"/>
        <w:gridCol w:w="851"/>
        <w:gridCol w:w="708"/>
        <w:gridCol w:w="709"/>
        <w:gridCol w:w="709"/>
        <w:gridCol w:w="709"/>
        <w:gridCol w:w="708"/>
        <w:gridCol w:w="567"/>
        <w:gridCol w:w="567"/>
        <w:gridCol w:w="567"/>
        <w:gridCol w:w="567"/>
        <w:gridCol w:w="567"/>
        <w:gridCol w:w="567"/>
        <w:gridCol w:w="567"/>
        <w:gridCol w:w="567"/>
        <w:gridCol w:w="709"/>
        <w:gridCol w:w="709"/>
        <w:gridCol w:w="992"/>
        <w:gridCol w:w="1134"/>
        <w:gridCol w:w="992"/>
        <w:gridCol w:w="567"/>
      </w:tblGrid>
      <w:tr w:rsidR="001A4750" w14:paraId="3AC2AC2F" w14:textId="77777777" w:rsidTr="003309D0">
        <w:trPr>
          <w:cantSplit/>
          <w:tblHeader/>
        </w:trPr>
        <w:tc>
          <w:tcPr>
            <w:tcW w:w="658" w:type="dxa"/>
            <w:tcBorders>
              <w:top w:val="single" w:sz="4" w:space="0" w:color="000000"/>
              <w:left w:val="single" w:sz="4" w:space="0" w:color="000000"/>
              <w:bottom w:val="single" w:sz="4" w:space="0" w:color="000000"/>
              <w:right w:val="single" w:sz="4" w:space="0" w:color="000000"/>
            </w:tcBorders>
            <w:shd w:val="clear" w:color="auto" w:fill="FFFFFF"/>
          </w:tcPr>
          <w:p w14:paraId="57D456E7"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Prioritní osa</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0816D288"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Fond</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6E97737C"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Kategorie regionu</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43365235"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Oblast zásahu</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5FCA654"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Forma financování</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885ADA6"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Dimenze území</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5B637792"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Mechanismus územního plnění</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11EEF3B5"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Dimenze tématického cíle</w:t>
            </w:r>
          </w:p>
        </w:tc>
        <w:tc>
          <w:tcPr>
            <w:tcW w:w="4536" w:type="dxa"/>
            <w:gridSpan w:val="8"/>
            <w:tcBorders>
              <w:top w:val="single" w:sz="4" w:space="0" w:color="000000"/>
              <w:left w:val="single" w:sz="4" w:space="0" w:color="000000"/>
              <w:bottom w:val="single" w:sz="4" w:space="0" w:color="000000"/>
              <w:right w:val="single" w:sz="4" w:space="0" w:color="000000"/>
            </w:tcBorders>
            <w:shd w:val="clear" w:color="auto" w:fill="FFFFFF"/>
          </w:tcPr>
          <w:p w14:paraId="17082E2A"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Vedlejší téma ESF</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FDFB8B5"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Dimenze ekonomické činnosti</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4BDBB1E"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Dimenze polohy</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6DC02CB0"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Celkové způsobilé náklady operací vybraných pro poskytnutí podpory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007F3E06"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Veřejné způsobilé náklady operací vybraných pro poskytnutí podpory (EUR)</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2C7B16D1"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Celková výše způsobilých výdajů, jež příjemci vykázali řídícímu orgánu (EUR)</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092710F8"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Počet vybraných operací</w:t>
            </w:r>
          </w:p>
        </w:tc>
      </w:tr>
      <w:tr w:rsidR="001A4750" w14:paraId="30404FA8" w14:textId="77777777" w:rsidTr="003309D0">
        <w:trPr>
          <w:cantSplit/>
          <w:tblHead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545E1A"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AAF77F"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2</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E573C3"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3</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96FB9F"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3FDF4C"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664CF6"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A357DB"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6E21E9"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17A7B5"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9a</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89B035"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9b</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39B8D8"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9c</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751D46"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9d</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F0C200"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9e</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4F3CFD"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9f</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E37839"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9g</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87F308"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9h</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8348F5"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92AAAF"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11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AAC095"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AAF923"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13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24617E"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14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BD1E4D"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15</w:t>
            </w:r>
          </w:p>
        </w:tc>
      </w:tr>
      <w:tr w:rsidR="001A4750" w14:paraId="75EB760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3CB8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7154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C99C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84E0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9D6D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75C9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C41B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5EB4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3E2C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371FA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C5352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953F4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A9A1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AEE82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0C79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8CEEF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B874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5E80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7B5E4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3 113,66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DD170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3 113,67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C9085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1 917,95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52A0B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26AC6D7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1BA8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10E5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5370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1B3F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58CD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E022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877F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21FB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B0A4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F7B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3049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6F10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E542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4065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7CEDF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C2B08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FB8F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C874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19FD7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8 735,71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1E25D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8 735,71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9E479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4 525,31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2DB60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66871CE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F0B9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1248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61E9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39F7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DA9E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F25E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295C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C770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297B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6DDF2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176C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B3225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3A41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4EF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CD08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C4ADD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4D13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1AC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96FFE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171 514,85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E34A2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171 514,85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A0BE3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AD399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03B8B39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6C11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F397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F797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6FB3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423B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E8E9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6079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1AA4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19B3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F9F6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66A3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A0D5B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33D98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2CAF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61990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37780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058F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6D2F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B9E6B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2 048 046,42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D5C79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2 048 046,42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579B8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593 388,01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F6DE3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18D9505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CE4A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A3A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3003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097F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72FC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5D6F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82E1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144B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9971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9EAC9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4FF25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1123D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8AA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E3F1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AD88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5EE74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DC16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5994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9D5A4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997 784,93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9DFD6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997 784,93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0E887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550 277,87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9644C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w:t>
            </w:r>
          </w:p>
        </w:tc>
      </w:tr>
      <w:tr w:rsidR="001A4750" w14:paraId="0054C47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EB45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CEDA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A691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27F5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05C7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B8AA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8407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1D82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22EC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E9A2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0E383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8E8D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D8A3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0914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0C03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8BB8F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4440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6504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61D3E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14 480 795,25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0A78D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14 480 795,25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CBA87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B234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541179F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01DE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B35A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AD14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0788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040B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4D07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1E3B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CDAF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D5B2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3C541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7264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78DA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5C77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6C98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1A23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CBD5F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DC58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3BCB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0C95A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2 944 671,17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D6EA9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2 944 671,17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F3379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2 324 190,24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A787C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725DF7D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8014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A9E4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A7EE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73D6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05FC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AA1C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0CB1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EF56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E744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4554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C717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EFA04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E457C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091A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3968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7CE2C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151A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9547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D87D1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684 971,51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448D5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684 971,51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F0073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202 301,75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50DDE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0270A24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F965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A824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9CB4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BD7D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7849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9704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8498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E333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4E61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08F1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2DFA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E1BF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7B45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2AB54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7A7B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E69B5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E26B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418E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0B194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5 855 029,41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D4920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5 855 029,41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F1FD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3 579 779,29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95948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3901108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0ECC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BA8A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5D40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6F25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FC17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0D0D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D6BD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3282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C2258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27748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AE44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94F3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3E3E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FD08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3A48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F2675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32E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DDF3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CF944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12 640 014,59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93EA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12 640 014,59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65E0C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7 525 825,56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6D87D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w:t>
            </w:r>
          </w:p>
        </w:tc>
      </w:tr>
      <w:tr w:rsidR="001A4750" w14:paraId="4967E25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E317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F847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C9DA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D986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1880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0532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6CF1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7569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4D50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0B95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7C57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2BA85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E6AC2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67797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AB89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BA26A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692A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8707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2A79E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2 944 671,17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943E4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2 944 671,17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25368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2 324 190,24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AAB17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5DE31AC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6262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74DB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02F7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CC9C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95AD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20E0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5729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E8B4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566E2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CDD0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C486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6EB1C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A7C5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633D7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3923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1933A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DE74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201B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D322D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2 513 406,21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ECDEF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2 513 406,21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324E1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890 040,33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E9F18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2931ADA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8775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C4B8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E517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C64F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EA66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72C1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6BFD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E253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B8F3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55B24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A633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1575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386E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E9A6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A91B6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8D979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FC32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19D6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4D612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66 927 454,28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5A2E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66 927 454,28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979AE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1DD2E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0BA0C88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DEEA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C508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D0D2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32C9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6AF4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44CA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1E31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681D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461CE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D0B6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E5A1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78ABE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67F4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23FF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1FD81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B19BB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B049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0725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29F32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29 111,33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622E2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29 111,33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9097B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1 825,42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18CDE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377ADF8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3A9F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0D14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D0C7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7CD1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8903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4AE8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B42D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52F8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02D6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EAD2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956E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7B63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D4FF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4B03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C9802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471FD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9CED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602B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6E293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444 263,84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302D8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444 263,84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4F41E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22 709,06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9FF4A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59585C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DD0A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DADC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4411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5028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39EF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A9CA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C880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E3AB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3A71A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2818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3CC20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EBFF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C127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2766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9DD8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7A021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AE45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A68A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24A19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17 296,90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5700B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17 296,90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C3E39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FF1A0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4C07815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3944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1191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FADB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C50A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2F15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6157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6BFB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A038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AA6C9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146B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5A5E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F9A3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F170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6D615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3BD8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E8438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7245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E38A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4F58F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67 611,05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140A4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67 611,05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DB929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10 741,26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92D52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673B40D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FA00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00B7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9A8A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BA7C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3BCB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EB9A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82F8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790E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32F6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1DE5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EE70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6D26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71AA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B4CF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82AA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DB5F0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DA87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9138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27BB2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7 711 746,07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43A11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7 711 746,07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877B4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90DB5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C8D91B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3366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F7BE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5E21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3BAD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7B9C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31CF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DEFD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B200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BCFB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FB4A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597FB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860B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7868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47B7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54F1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BD81E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2CC5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98BF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03369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11 695 163,70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517F3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11 695 163,70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8B3F4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334 563,24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071A6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237F4E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1B72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0800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0D82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44CF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E69E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636E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9BC1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6841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928C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21C2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30B7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F0C0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0A368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D99B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2B7C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46FE2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90B5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9749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D86F0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463 452,52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2813D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463 452,52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8E171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29 060,70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17B99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7B1FB3E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BC19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381C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AE35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44B5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05D2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635F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5369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0AB4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B576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8A21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289EC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6139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ED75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D3445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F1C5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44D1C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307D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4DAE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30AAC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2 525 763,97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157EB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2 525 763,97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AB498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129 107,36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30EDC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B6B18C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67E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7DB0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CFB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A384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18AC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9EEC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D7DC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20FC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89025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2B60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1499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5FFA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2618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98A1E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891E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5F067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87E8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FEF8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9ADBB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206 632,82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EC954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206 632,82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28082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CC6C7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6A3121C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A37A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9C1D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2C83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BD51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E644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EE4B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C02D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939E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384AF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9FE6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6BEB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39EE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834F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8A0A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CFC8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48FF6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79D0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3DDB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1C03D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7 644 551,56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CD211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7 644 551,56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BF15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2 444 776,30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E632A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BF0F97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E9C0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8E06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9DEA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3708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51CD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529F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B9F4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DD3B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31698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AB31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A5F8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45DB4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FA56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C475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E76E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97117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8642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B4BF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1B7B6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1 439 149,51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5B2D5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1 439 149,51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E7182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228 635,40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9771A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47B2EEC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9E97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270A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D72E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1143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59BF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0745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F60C3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407D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1086E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139F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DA3C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5F30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C61D1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577AB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0B73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4D939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2485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21E0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B6409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608 136,66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D7D92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608 136,66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B2D59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500 393,86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B981B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5FD3FB6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7E13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B8D7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2C92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0539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7A72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96FE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B24F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9B48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2CB2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C1FB0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C85C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9C870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F4E29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A6C7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49F0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96CA9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E612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4DE8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D05C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7 955 850,39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78068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7 955 850,39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9FB6A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515 747,92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2EC1F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4404567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6023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36A0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B0A2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5DDE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3F06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DB62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5337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866A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9E27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5279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16FEF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3F451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4B09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BF2F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7FD3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DF505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1A25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2E96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60A5B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3 388 947,94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C1357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3 388 947,94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2DF37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212 503,29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E2347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454C4A4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7699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FC12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6C3B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4090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F85A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B6E8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F04A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7486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4A804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27C0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1361E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A0A6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1F66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BD16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1401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8AEB7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77E4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90C1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5AF95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19 581 436,15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1BD21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19 581 436,15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57E6F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1 000 927,84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44826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682AACA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C9F5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CEF3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5876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C479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7B18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6C13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4563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0A27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AC0A9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1F37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963C8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9DEB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70C2E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F30A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E72C9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A57C8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A66C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9007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8767E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1 635 951,62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AA30D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1 635 951,62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20376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F9D34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1D2B6FE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2F1B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41C6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5A66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187B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4B98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13CB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61F7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50CB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98020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9308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B56DC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40F4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DFC6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E060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F129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E0283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7324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5441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5F786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46 786 847,03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9AAD8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46 786 847,03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010BF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7 432 952,18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349B0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25BCA7D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6FA2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C0B5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F37E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3EC8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918E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1465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9102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29CE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ECC2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E369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451D3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7D7A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C306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E107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F4423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9D51F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5E08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6FA7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6CD24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608 136,66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CB7D0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608 136,66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7645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500 393,86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20E9F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47603F6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7E8C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DE6F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5B8D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45C4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8AD2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BBDF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6CF8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810B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9501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59FA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FC34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68D4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B18A3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0F36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B2FE2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CDA2D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ED0F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7CB7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893BB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2 339,09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C471B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2 339,09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4C111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1 746,94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395AE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8184C6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6C5D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52B6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24A2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6CE9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5492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7BD9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4290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BBDF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8679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EBE6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E5F3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C94F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F744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017F4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7C73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6306A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0270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93B4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787E1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3 535 570,02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89C77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3 535 570,02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B6FAC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2 310 381,76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BF5B2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F03642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3884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44F3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4115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D4A5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D171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F991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4094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8319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6CEEE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165D1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FE7D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0FFD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8067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12EE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58C0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CE485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BAE4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CEF0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DCFAA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4 618 195,31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899D6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4 618 195,31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67C99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1 215 346,09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AD6B8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6660E28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24F5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D983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97DE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49A5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591E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EA4B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66F2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7909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7607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1C9D2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C65F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5AD0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0744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E9E0C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61DE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9D1B2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26D6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0A21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A989D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3 547,79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1A83F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3 547,79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508F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3 519,52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76106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1F7D316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DEAF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F722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E0CA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C62C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ADCD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C01E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5C5F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BBBC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2C16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5D6E4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5DB2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8B39A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2EB82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5C2B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0E08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79402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9F83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968C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97CD7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21 864,02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B1D0B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21 864,02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A0631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16 207,08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05E05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1D03503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DDA3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D33F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4B0A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E678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BBE3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18D5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C47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EED1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E0E2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4BD2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DB30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D878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98619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E606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8A97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F2137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E0BB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833B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948DE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46 104,15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15742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46 104,15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1682D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983,16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A7520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6F52DA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28BD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F7AC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A57E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032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0B8F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7E35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C56A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9438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4470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AA46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53AE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538E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A0EB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6A2B4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0C3E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B3911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D117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8B49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9CE80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895 996,62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DC7A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895 996,62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61489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858 104,73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2A39B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428BF2F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E5F3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BD60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36BC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E8D2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E479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049B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BD05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873B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F47B4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29B9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BCFB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1701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3723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4ADEC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528BE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CF166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9B71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6A37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D42B9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386 335,83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99231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386 335,83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E2EEA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292 649,36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EAE62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w:t>
            </w:r>
          </w:p>
        </w:tc>
      </w:tr>
      <w:tr w:rsidR="001A4750" w14:paraId="37B6F65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F563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F110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1FFB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F487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C03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3D49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4566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74C1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284D6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2E95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3B7F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8B54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3809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CCAB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E892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47F71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DFCE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F683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19BAB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1 641 798,72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1D8A2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1 641 798,72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48C09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180 191,33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107DC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w:t>
            </w:r>
          </w:p>
        </w:tc>
      </w:tr>
      <w:tr w:rsidR="001A4750" w14:paraId="6FD48E2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1646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9581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A060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A980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ACC1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9495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2695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3777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EEB5E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C5E0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37BB1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11D0D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851C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A5F8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46188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26CC6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7C66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7364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E665F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194 043,08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E1C92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194 043,08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EDFD7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75 395,20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22599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w:t>
            </w:r>
          </w:p>
        </w:tc>
      </w:tr>
      <w:tr w:rsidR="001A4750" w14:paraId="11A36CC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5EA8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795F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5707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BEC3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4F78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D013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8A3A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F6D2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F761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6FF0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8C7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95B1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CF23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7EA4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72B8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0F8C4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847C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A9CB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3E3B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193 958,11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A4056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193 958,11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70080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F1A71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7F77D3E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9069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34EC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561C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7DCE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5C40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34ED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810E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292D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B2DC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C63B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D3DD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F1D6C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C92B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9EF7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936CA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BBF0D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12A4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35C2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7AB3E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263 679,17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556AB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263 679,17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EB72E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22 943,20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A3D6E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7606ED0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090E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6CC6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1AAF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CE88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509D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B872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03E7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C79E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0D25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60CBA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7129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577B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231DE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401A3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397E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B2FC8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8E88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29D9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77C53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2 451 293,76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D4FF5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2 451 293,76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54367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1 316 322,62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BB7F1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0E7783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C0A3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4C49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9E273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5465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C56E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258B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6ADC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8FB2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C1B35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0B2F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34F78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09CB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D630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084F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EAEE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C0FC3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995E3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C13F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A256B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913 242,17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5F74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913 242,17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4B891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732 454,21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D67F8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73F3268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FCDB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8497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B101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8786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3329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D9E2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C29D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2B17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3C3A9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A13C2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8E6B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BD2A9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16C5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B514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D504A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214F5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EE9F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79BA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0358F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87 656,18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7A3A3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87 656,18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18AC3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26 702,31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92CDE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w:t>
            </w:r>
          </w:p>
        </w:tc>
      </w:tr>
      <w:tr w:rsidR="001A4750" w14:paraId="6D89601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193D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59C7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3BA5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4DCA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5EBF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F229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373B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EFBE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208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C67FC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218A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DD78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7044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0223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179B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B2362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D37D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755A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19C01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7 350 430,20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EA0AD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7 350 430,20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ADC81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889 491,83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E133B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70D3AAD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3791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C337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3B86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A654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A34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8933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99E3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ABB6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9708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23AB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84C40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6127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3D9C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A03E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852A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C07EA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C8DB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9A05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D6F7E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117 151,55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F17A3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117 151,55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EB52C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73 278,79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D33CE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2CECC03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4D63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DFBF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BF90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141E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F084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071E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3363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79FE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282D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595CF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50CFF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480FB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8F2A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58C7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DF60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94275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B56C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1414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609A8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3 264 888,01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15DDD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3 264 888,01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ECE1B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1 742 720,73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9CFEE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042AE89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95AF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6B65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120B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58DF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8C81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6104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658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6EC8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010B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2690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8CCB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67E9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872A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764A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5DD5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E6BA3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8223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91F7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C1730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21 868 711,08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6640B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21 868 711,08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CE55C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4 129 006,78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BE435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w:t>
            </w:r>
          </w:p>
        </w:tc>
      </w:tr>
      <w:tr w:rsidR="001A4750" w14:paraId="6B261F1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294C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69E4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6787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B7E9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7995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5614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5ECF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481B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4A6F3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9992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9D072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2883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52CD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9B66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B37B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A0EB7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753F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22DD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AAF9C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565 724,99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3DB42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565 724,99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34A94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181 245,35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4F380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476B07D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83A3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215F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6C73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9718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88CA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C7A6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4790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887B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060D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357E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3928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D2B83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F320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292F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107C8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85E28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50BB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3113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BDC74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8 941 955,40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94223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8 941 955,40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F0EC2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6 220 546,35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A03DA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24CA249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179A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A0DE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924B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6392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E7AC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D972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057F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F74F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C1CE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294A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2C35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16BD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6EAF2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435FB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BBA7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13DAE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C231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F89E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E765D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85 368,62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3B6C4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85 368,62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5EB4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84 688,37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1117C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54D8931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EA22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2ECF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DF0F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532F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4711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7CB7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953A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F1DD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CE162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3500D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6EA2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6A88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0246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548D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C45E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79BF1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A513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EDB5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5A4A9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348 340,33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ED874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348 340,33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6BC6F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258 188,26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D14E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204BE65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901F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13FB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B5DD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F180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DE60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313A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8EC7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8177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CE390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6EAB7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B5D4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A4D5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9B0FF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C0E1E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A847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D80D6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86A7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E0EB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C0CAA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550 771,08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2BB22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550 771,08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5E463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11 745,05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B8100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D4E048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D04C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13D3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B2DD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E00E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A709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31DA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9EB0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DBA6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95C2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5EA2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9EA0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85954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BCE5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CF03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C27B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1B25D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88C6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27E1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9733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41 316 208,22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95651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41 316 208,22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52E21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12 587 586,35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B9786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46</w:t>
            </w:r>
          </w:p>
        </w:tc>
      </w:tr>
      <w:tr w:rsidR="001A4750" w14:paraId="74E4909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0F9B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DEF0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C4F6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1FD6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85B8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FF89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5758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D86E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1D280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9610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07BF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42171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7D3AA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3FFC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BFC5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1A1EA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1592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9CE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572C1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7 224 750,00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43AB2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7 224 750,00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0AACF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4 210 307,98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9B8FB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w:t>
            </w:r>
          </w:p>
        </w:tc>
      </w:tr>
      <w:tr w:rsidR="001A4750" w14:paraId="57C1A2F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8B73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E296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B9A1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7139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B0B6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65E4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F65D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6D43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C35D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D7222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463A7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3DAA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B7E8A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6545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2283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0C94D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B734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5A93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E88C5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3 852 310,51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5C986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3 852 310,51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4FAD9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C4461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19E46F1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95CA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734D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8039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2EF3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39DF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466A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633B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EE75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2019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7A8DC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9F03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53A3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C287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C558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DFC8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20F54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6E53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73E9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DFB79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2 491 311,36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9258A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2 491 311,36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5F8E6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707 788,33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E6E4C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w:t>
            </w:r>
          </w:p>
        </w:tc>
      </w:tr>
      <w:tr w:rsidR="001A4750" w14:paraId="01C3808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862D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9056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6263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7E33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9AD4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E678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AF8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1428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749D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CCA31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9A12D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D14E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CD69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5670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1E46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9225F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660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6644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4F416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11 201 540,04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8C1F5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11 201 540,04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9A7B0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3 197 197,39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6DDCF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48D4A19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273B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31B3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C061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6D80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DEFF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EE7E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8891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30C3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CB35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C1968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B81EE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8601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0682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CF08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7E3E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29D38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A42E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A6D2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DC54F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4 239 679,98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B4434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4 239 679,98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86A3F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1 041 458,20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4CD6A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37BF116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48B3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2254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1E41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BC2E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5CED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1CB9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F41C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E935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A5EE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ACFB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352D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15EF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82A6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2F69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FA541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7974F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88E3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8A83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EB4A7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25 038 456,60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9461F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25 038 456,60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E228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10 128 882,65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0090C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w:t>
            </w:r>
          </w:p>
        </w:tc>
      </w:tr>
      <w:tr w:rsidR="001A4750" w14:paraId="016CEEC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0BD1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6916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91B1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60C1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E291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0473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CD30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C4F4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E078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73B8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80A0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8B35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8307F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D6412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8FA4D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B3437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30F0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87FD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16DEE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5 254 661,89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71B46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5 254 661,89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22E2F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215 552,93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6A91E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5FD3FAE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120B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4B91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1724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E689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3D0F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850D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5A55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9C3A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D24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DDFC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2B3B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A871A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1D2E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9535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2DDE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C9FFA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604E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B918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FB3BF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2 249 043,07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3915C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2 249 043,07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04537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943 741,11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0311F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23</w:t>
            </w:r>
          </w:p>
        </w:tc>
      </w:tr>
      <w:tr w:rsidR="001A4750" w14:paraId="0A31311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4C69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7DCB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0681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982D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264B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2AE0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EF17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7775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E021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79A0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17CB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DA3B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252E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65FC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89142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D818E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3F46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7AE9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6FCCC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10 430 775,14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0FD2C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10 430 775,14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15BFA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7 978 590,01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66860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69BBC9E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33E2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7E1D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3B12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4BF0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4E80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A6A5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26DD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041A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7B75A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5E61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D38F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45C42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83D1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1A75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0D28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C9D82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7619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B55D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C6C4D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6 087 757,74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79C06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6 087 757,74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D7CD1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3 924 288,62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E4E89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w:t>
            </w:r>
          </w:p>
        </w:tc>
      </w:tr>
      <w:tr w:rsidR="001A4750" w14:paraId="1DDB307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3CEB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366A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8D96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D0F3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1FDA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01FD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61AC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2E3F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5888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8B92A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869E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8097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54081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C787A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AC63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7F1C3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69BC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6B8A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B7FC7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10 182 029,40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5C301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10 182 029,40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AE200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6 671 281,15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0E6F9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2C32E89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E046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03A9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7806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A7B6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1A33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280A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287D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62F0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BE261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C762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221E8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FB09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B78E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CF80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8EDF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1DFCD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7A80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AD16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57B6D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2 556 379,45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0D074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2 556 379,45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DE089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2 136 920,99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FC46C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7C135D8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112B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BB5D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FCB3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7A8F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E752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451F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D89D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2598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56E3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72B4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88E4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B6A6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1BDC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F61EA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0392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13BB0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F9E3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9723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47CFF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10 304 635,76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0137B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10 304 635,76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C3B90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4 641 806,40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9F29C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792A98E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F836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4500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2F0A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553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8EE2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9A28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16CF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1903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ABB8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D398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84640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FD604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62EB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FAA6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C2F1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E6B8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612D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0B5A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8FE24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15 207 452,04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E91EA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15 207 452,04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49CA8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10 899 080,72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EC73F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0B052BE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3900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E76B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0207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EB1F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3588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B599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D893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AEB2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F077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1FBC7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8E1C5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E1F9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389F7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4A4CF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780E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C6A72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0671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403D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8D68F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2 128 450,43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013F8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2 128 450,43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EFBA1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2 111 490,07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C31B8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EEE562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72B0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ED38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A2D6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146D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C019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A40D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A7DE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07AC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6FA3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DB6D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01900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FEC3B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A8252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A5BD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54854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89F82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0166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D48B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F8651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2 528 030,08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4B416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2 528 030,08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18032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1 875 561,49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3DABA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0AEBB6B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6C94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D53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E7BE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92E7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74F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1D3E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01AA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0476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3324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14BB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61661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973F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76759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89A9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29FB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AFC21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B6F6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2050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B8ADE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4 360 560,30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F4126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4 360 560,30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735FC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92 987,85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2D0A2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AFE9F6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CC58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5BBE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A60A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F4AB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5C66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DA67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CF4B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887D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4077C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3F8A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BA947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DF1D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7705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1161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D887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DE05E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947D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902B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E7A46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107 340 523,61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99B04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107 340 523,61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0C262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28 612 075,68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206CE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52</w:t>
            </w:r>
          </w:p>
        </w:tc>
      </w:tr>
      <w:tr w:rsidR="001A4750" w14:paraId="49BA092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350E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7367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6717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F349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5FC1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7E0C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A60F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A358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8409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5D99E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E56DD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B372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3A79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448D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EE69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4FE80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85DF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DF65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42913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52 680 298,68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CAA33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52 680 298,68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E3FE1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27 450 576,74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98CB3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w:t>
            </w:r>
          </w:p>
        </w:tc>
      </w:tr>
      <w:tr w:rsidR="001A4750" w14:paraId="09865B7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FCF7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A732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543A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5966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AE85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3617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394B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1192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381D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E1EE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8E8F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290E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21C7C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98F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FA98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B343F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43D0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940A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59528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21 919 740,87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FB77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21 919 740,87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EE59C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8 443 543,30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F7D3D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259C22B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6E8E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7035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BAEB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E0D4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4F32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47B3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B609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8DE7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FB6C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7FE9A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33D8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FB0F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80013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BC47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FF431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BCF8F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7AC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97D1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546EB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22 593 336,80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27F5C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22 593 336,80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0E012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8 294 719,92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4F4F2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w:t>
            </w:r>
          </w:p>
        </w:tc>
      </w:tr>
      <w:tr w:rsidR="001A4750" w14:paraId="6B0FEDD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EBE1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4444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F981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DE09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29AF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3178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F7C5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6C36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7EE4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01E2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51E0E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2D0E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A359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B6A3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A062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01DD2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8EBE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291C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33342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36 609 740,58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64470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36 609 740,58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05E4C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2 131 464,92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26B58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1733819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232D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99AC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8E2E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92B8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BEFA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8D7B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B895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4B14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605E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0345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7DCC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12D2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33AA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2435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228D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A9F78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8A13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2AED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E0340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30 928 990,25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39532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30 928 990,25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36D74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7 401 581,65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ECB04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w:t>
            </w:r>
          </w:p>
        </w:tc>
      </w:tr>
      <w:tr w:rsidR="001A4750" w14:paraId="6F761A8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FE4F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2E41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A645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CCC6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D8F1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A606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46D7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BF0D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71ED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A2D4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B347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C6E7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FC6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67A7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9F781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CFDE8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98D3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0096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A7762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70 213 164,53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6D352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70 213 164,53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9CD15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37 002 001,97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18BF7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32</w:t>
            </w:r>
          </w:p>
        </w:tc>
      </w:tr>
      <w:tr w:rsidR="001A4750" w14:paraId="597EC68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E4DF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62C4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21EC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83C7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9BC0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2FF4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CE17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763B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C7EDA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F613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699A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52D5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DEC79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9AF4F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B3B7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98CC3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E053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E380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D8917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43 593 861,20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50DF6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43 593 861,20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96C76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4 464 965,49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6CD6F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w:t>
            </w:r>
          </w:p>
        </w:tc>
      </w:tr>
      <w:tr w:rsidR="001A4750" w14:paraId="2C182E0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93D1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D485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0CA5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2808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DDFF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B082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9648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714D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C3AFA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37951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6000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EEEB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C7EC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D57B1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DF5D9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176EC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02D1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1B59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38478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68 476 230,31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1C9A0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68 476 230,31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4EAB4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25 038 192,55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0EAD3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w:t>
            </w:r>
          </w:p>
        </w:tc>
      </w:tr>
      <w:tr w:rsidR="001A4750" w14:paraId="1E78506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AAF0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D19C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6AF5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53BC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77A5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276A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3E9A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C5C9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C92BA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9B74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E3DBE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7856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A8E7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D542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60B60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33A06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9E61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1A8D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B9F30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63 070 948,68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AD0A9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63 070 948,68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7D164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32 659 569,39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CC9B8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w:t>
            </w:r>
          </w:p>
        </w:tc>
      </w:tr>
      <w:tr w:rsidR="001A4750" w14:paraId="78D45BE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B26E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45AC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E9CF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BCB8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07C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F310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DD9B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9725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81C2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1CB2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FFB1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51F1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A500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099ED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200E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D54CE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3F8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8AC8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8CD6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50 895 185,29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FBEF4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50 895 185,29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169BD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29 914 290,15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65009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w:t>
            </w:r>
          </w:p>
        </w:tc>
      </w:tr>
      <w:tr w:rsidR="001A4750" w14:paraId="105F313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D665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004B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62CD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76BD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4729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0DFB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76CF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03EF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0C53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E073F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CE8E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2C33B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C970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F9BA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6EB98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D1528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57EB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055F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1FC92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22 849 175,73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75F98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22 849 175,73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F16CD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15 282 187,43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E9E0B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w:t>
            </w:r>
          </w:p>
        </w:tc>
      </w:tr>
      <w:tr w:rsidR="001A4750" w14:paraId="2E45191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F0B9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136E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FCD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E923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158A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7BC7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237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4078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4BF9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BFBE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F596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989B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8DB2A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0C79E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AD71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EFD79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2F77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1A98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63AD7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14 155 147,08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015C6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14 155 147,08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43D16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7 177 552,13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C48C3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w:t>
            </w:r>
          </w:p>
        </w:tc>
      </w:tr>
      <w:tr w:rsidR="001A4750" w14:paraId="0FEE6CD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E056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6DFE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D548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44A5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89D6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EC54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6AD0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D3B0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1B4E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B174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BC4A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856E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E725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9F0F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1FA2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A7745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27C6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02E7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82FC2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223,10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0F96B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223,10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14E52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207,40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A9109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0D88F79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D325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4D3A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D49D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AC88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F501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393A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7540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4942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7CB6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6D6E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404D7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E9BC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E7FA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9442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BCA89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9DAC8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F0D6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58C8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010F0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1 878,33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AA058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1 878,33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A346F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526,40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E7392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6977A97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904F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5238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4B75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F9E3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9EF3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DE35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B08C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0D61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57E40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D2F6D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53A4D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E6A72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A8BE4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9925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4B17A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D79C7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9A54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AA7E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C25B8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13 214,08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3DD14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13 214,08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93B55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13 214,08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A19FA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528A501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ACBF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45F9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8942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B63B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227D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2F9B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789A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C386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05645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E721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0DE7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6B88C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6A76A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55FD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F8FF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6AA60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710A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B933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EBDAE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483 258,04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3975E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483 258,04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6D22A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272 938,76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D6D3D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2995ACC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2EC8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D7BA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14D1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AE89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DF0B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C2AF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D359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0E1C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6C17D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DB49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8E6F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599F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3F5B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9AA49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A938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F50BA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CCF7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33A7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9BB96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628 073,64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24293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628 073,64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4DEE7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626 535,68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C0EEC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25DD3C3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1114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56AD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430D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681A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DF71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09EB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9FD3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753E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EEE7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264A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0275E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7279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BC9D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E749B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033D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51CFA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9879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7C43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4316E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817,92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D24B3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817,92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9BAE9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643,87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864A4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5A61D0F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5C1E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15FB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51FE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A54E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B8E2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D7C5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CBA1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FB25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ED18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C92C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BF892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FE365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78CF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ADE4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1844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08E9B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FC18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5451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D7BC2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10 306,36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5AE45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10 306,36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F696D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6 477,57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05FA5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5EA802A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9998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80FB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33D13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EF0F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2692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C3D9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6B24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6581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129FA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84FB3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A714B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D2D4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31DD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095AA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E74B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5890B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B4E9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F89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BCBB3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1 100 770,25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67DD7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1 100 770,25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A8E57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874 964,61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77028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2DD63A4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79A6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EE44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C1CD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EFAB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876B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2707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565E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84D6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28F1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BA91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74DE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9985A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89FF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0ED5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101E4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66597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8221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3FFF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458C1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2 384 730,03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1BB9F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2 384 730,03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BA761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2 120 756,24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5090F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00014BD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87B5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537E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2159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63B0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7BF2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073C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ACFB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3354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3EBF0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3305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77FA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DB1F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44ADE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D0CD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747C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D18AB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C341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C066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16435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872 272,84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21B6D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741 431,91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715C2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867 419,89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EA426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07E16E7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C777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4742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D7AC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F6A1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9439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7AB1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EC42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D312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6DCEA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9E73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BE04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CD994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7F2B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AD7E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CA42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65C05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9027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3D34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143CA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5 417 175,85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680CB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4 604 599,47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BCA2D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5 340 759,57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C0148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41890AB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58A8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49B5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BA47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5283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7B5A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46F3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76C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4013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2E08E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199E8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E2811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7E70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BFD2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08ADF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07B6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03563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1005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A55C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CF4AE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4 551 028,39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78434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3 868 374,13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B8B9D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BEC49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7CB6E17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6C95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B112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1A6E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FDA5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B558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2075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40ED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E722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1429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84DB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E13A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9529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58DE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67BD8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DDDAB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1BE0F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9238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9604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28CB9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105 614,77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18224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89 772,55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E7A1E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105 581,26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3B304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5DF7285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F460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2254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0F09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FCF2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E4DA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8D4B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9B60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DF9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A790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56F4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00ADA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11C3A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8C4A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080AA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8E81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18CE2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A9AA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F80B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D4223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8 845 315,58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32716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7 518 518,24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353DD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7 250 665,15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91DDD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668617A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D358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0206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B814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FE42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3ED3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4F62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7117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973C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04C3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D145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2E5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E925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48E8E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1B5E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080F0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3599B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5807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1864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E688A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24 752,85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14A97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21 039,92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B4E77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24 404,60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204F1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0BA0EBC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46C2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9EB2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4535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1032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6759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DD36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8E4E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57B7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2A8B1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2617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5B45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7B47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745C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1E3AE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C78AD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260D6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DE1F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5A64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BE471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7 203 853,70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BAA99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6 123 275,64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096E2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7 115 873,72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D2EB7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5463AB4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823B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32D5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3499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0266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198B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1611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98A2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98F1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7656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D5EF7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509B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6EF2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4B03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DAAB1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29E3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DCB6C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5C50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8FBD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6BDAC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401 353,95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B5E59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341 150,86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35495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4A672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1AAECA6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AE2B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CFE7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EDC8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3EB9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538B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2A12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26CB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54F1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BF9E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3E9F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7B32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92E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8B933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9C77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B2C1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C78BA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4644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AFE5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FD846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18 923 606,75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CE63A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16 085 065,74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D1C28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18 921 997,59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208C3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59CCEC2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98B2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FB4E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0799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A8CB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97AD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F4AA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4C66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F806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1904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E02FC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95BA0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0ED5D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2D98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32F9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8FA6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E5BA4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26F6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D6F0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CB1ED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7 912 426,00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6BE1C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6 725 562,12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C21CF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7 688 276,05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DDD8A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2864B6D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8CBF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AAF2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264D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6AA8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D061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4564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389F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5A56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ADA07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F1BC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DBB7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0E41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E0F4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1ECE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DE32A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49E4B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D930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164E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BD19F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47 838,82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992ED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40 663,00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A76E8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47611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7710182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C6A6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DE16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13C5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7BC6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73BA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BD75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62F4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550F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3989E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6BC6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9D5C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00B2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C40A6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D035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B2FF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F59ED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DB3C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A3C7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2CEDE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36 166 312,18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B0A9E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30 741 365,34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724EE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32 255 253,97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4A64F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6C9DD47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C0B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D409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82EE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07BC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DEC8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AEE2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3492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DF93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3B20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633E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5F11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2A5CA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3239A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DAAF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8EC0E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8ADC0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287D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6144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7B6A3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4 701 379,21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A6266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4 701 379,21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1D262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3 337 636,37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4C5D2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w:t>
            </w:r>
          </w:p>
        </w:tc>
      </w:tr>
      <w:tr w:rsidR="001A4750" w14:paraId="502E1B3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EBCC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2018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5B9F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FA5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590A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053B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CE7B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6FD3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1069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A860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9822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BCE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A4DE9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FC498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9DB7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A3110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D1AD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02DD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06359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2 490 841,94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428E4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2 490 841,94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597BB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1 421 161,47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EBABE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3F95BA0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D657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E40F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331F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3A29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5B05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FDA2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4F8B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990B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69E5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8F5D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F627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5303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C661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A515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2B55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77AD9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4ACE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EE2A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E64D9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102 509,85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3A567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102 509,85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1311A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69 954,94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9A17F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4BC1745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0E05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EDDF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B413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6CAD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54A1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CCA6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29A3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7643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140F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9612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4DAF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5180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BDD2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3BAF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D4F6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F0976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EE4C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E94B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F1C70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1 138 363,65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6D616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1 138 363,65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3EDB6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72D0D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36E4848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99BB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AC7B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1C75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C8B7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23A7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E24B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6E34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E62F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AF82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2EDA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8A8E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7F33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F2BB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1B85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D2250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E2A70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2D8C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7EB0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384CF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2 782 248,79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ED6B2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2 664 790,76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35C08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1 741 684,75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285F7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743FABF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BCC6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068B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146A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3342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99E3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C6A6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DEAB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5DA4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76D7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2ABC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9A1FA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BD03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4DDA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E44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4577B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0EB55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4EDE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C2B0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F53EE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53 559,50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7BBAB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53 559,50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746F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53 559,50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2B3FE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0093D49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B58A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7D4A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A476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7423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75E8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6F46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FFB9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6A02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E93B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9E1F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22FA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F5B4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1A6D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E075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0C38C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EA63E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08B2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B58B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AF0EB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2 747 698,60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D5B18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2 747 698,60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08FA8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1 892 330,74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7F455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0B8BEEC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4FE2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A598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DBCA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039E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E6DF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11FA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C68C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FD86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264D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6EC5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ACE7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38F1E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A45E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D276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21E5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6DA20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EEF5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48AB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F8C8E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1 931 868,23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4091B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1 931 868,23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23427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1 506 724,14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B8D9E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238BD4A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54E2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7B58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F76D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220E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8DBF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08E5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5949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6F13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5D63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B4EEB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365D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AF2B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13CA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4F210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B1CE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44168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20CF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B7AE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B54D2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1 625 541,66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5DF2B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1 625 541,66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3521A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875 573,46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5824E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00A264D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691F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E275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BA40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51AC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51E7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3017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0942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4096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D4DE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6B8C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AFE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3D658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6C8C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64C3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A0FE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513EB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DF92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003B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F4C5C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1 136 260,06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541C7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1 136 260,06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D4CB6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777 316,59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8C4E3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11526D0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0418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2F92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0B68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BED8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903A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125E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59B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2BD0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EE87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CC49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21869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343C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FCDE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E64F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83F7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BF9C2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D654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79F4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A8221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1 594 487,53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31784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1 594 487,53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E0B34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1 210 937,61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4AA96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74C2CF5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2D62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2716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8B41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4A5A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74FF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77B8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F130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F0C2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63C1D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0FED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26BB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0109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E146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53C3F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9248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EAB7D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9A64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FB52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89BB2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637 334,78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DEB78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637 334,78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348AA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572 184,28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B891E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2496FF6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9A31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707C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5DC1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C344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1648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EE86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A93B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5C87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B99AF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7BC2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D2A31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C7409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0579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1EC05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C557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B3A17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46CA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D22E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5DBDB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4 959 740,30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44DE7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4 959 740,30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1851A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2 226 965,32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01514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4906932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D210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CEF9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3DF4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D13F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84C1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066D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9915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CA4D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F8BD5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8458E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531C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6867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613E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96DBA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7683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98A3D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D2AB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0C13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50D4F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3 725 032,70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08032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3 166 277,79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6E5BD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3 111 114,10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C725E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6844493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47C6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8622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E8C4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C678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FD39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A142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7E2E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C916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7E3C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D95C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B1314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BBC3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3AE4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56E5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B8D23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663FA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A5E8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C32B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55DD1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1 398 249,53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0FCBB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1 188 512,10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0812B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C1BB8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DFB957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B8AF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2410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8DAA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D598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4945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0358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5B0E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59F8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99F1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D00D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A31A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39BE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4E652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8C7B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6671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1B964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6211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44E7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8492B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2 719 533,65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FDBDC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2 311 603,60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66CE8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210 804,00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0D798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0AB9B24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A0FD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335F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D921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F6F2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CCEE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EB2F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8208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8AB9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041D3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E292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2DC7F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5DBA8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C9BE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A8F48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B9617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DBFEB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C6D9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A2CB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67255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1 568 683,04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0FEA3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1 333 380,58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98627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067B6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432A31A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FA2C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8B41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518C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8273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A132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26A6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C600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17DB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594D8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00E5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7234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57BE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39B8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6ACA2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DAF3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CE3FD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7423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74D9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D51A8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5 173 031,78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68046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4 397 077,01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7D252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5 068 054,47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07252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0375542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BF82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F590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B617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9E6A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5AEE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8CB9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BA7D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63F4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AEE8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0B9B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4D8D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4C8E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F9422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6CA2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B2104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27022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8B73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493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EED39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401 594,86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37B16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341 355,63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9C9D3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47618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3CE465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2958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441A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A7CB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2753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B292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A82B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AAE6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5EE1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FD764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AFD4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8056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8768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B747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3820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41F2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F3D7A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A4E3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B6C5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C0390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3 130 296,48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59240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2 660 752,01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C8E46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3 130 296,48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EE5F6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B5B63B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6E18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B87C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7CEE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D83E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D67C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6B46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8337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EAD1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68EB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1969E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01BCE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B9DEC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A3B2A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0AC73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89EC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38B6C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C8C9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DCCD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C764E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4 748 384,86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5FBD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4 036 127,14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4AEA0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4 532 184,18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00EB9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15D4894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0D25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55CE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5A1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A72C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660A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7D7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D0A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9197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7C54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C0A51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89E0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6E19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C99AB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4102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FC30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EF404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82E2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41C7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932F5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1 491 105,18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8C18F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1 267 439,39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A7697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1 143 060,48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85E5F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656D22C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A434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9030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992A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FF48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8D9A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64D4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387D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318D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1DAA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2A0A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D4BA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F592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F3C5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E9740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145E4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71836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CB47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74C4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93469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5 637 631,73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07534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4 791 986,98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13083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5 353 503,48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2EE0A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1753403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DB60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07F6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82AD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4C49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A663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43F7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7F6B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4FA8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FDEB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3D1E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D0513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C757D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81657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1E4C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7B653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E5CAE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A548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D174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67788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6 478 908,19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87A29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6 478 908,19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765D7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5 495 312,09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ED794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w:t>
            </w:r>
          </w:p>
        </w:tc>
      </w:tr>
      <w:tr w:rsidR="001A4750" w14:paraId="2BB9676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D41F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CF2C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D9B5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0A6F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5E9E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E5D2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B9EF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14F4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F2F6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E5CB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ABCF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36B0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178A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220C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41E6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22F0B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786E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4240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A4A5A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3 427 879,39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75125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3 427 879,39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4DD02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2 295 341,89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3635C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01A3B5C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C009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477F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FC33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49FA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2769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14D9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DBFB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4FE0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57A5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6DEA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BF3F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EE7E2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6B17F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83C2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C15D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1A048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2D3B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4284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D2EA3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1 085 392,61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6FCA6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1 085 392,61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B4680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910 649,93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0868A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4D9E74E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811E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690B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EE95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EB3C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7625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9227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0D34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9DE4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46208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5BBB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352E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4537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5F6AB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8D9D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E16D4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2B2FB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D151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2D77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5F655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720 759,91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BFA00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720 759,91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6C373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630 861,38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8E214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7BC0E94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F7CE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B09B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5CDC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83FF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DC8C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11C6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FAC6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9618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366D2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6EA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6BA9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5434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64832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07CF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AF352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976EC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820F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A326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15199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1 772 137,39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844EE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1 772 137,39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D4276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248 725,04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F7428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7F6F89C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C2EC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0895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5908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B0C6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B34B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584F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EF8E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3A1D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977F1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F2B7B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7DFF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C1C6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F837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62E5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1890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6949D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4379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A58B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F837C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1 503 612,78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81E46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1 503 612,78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23317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1 382 656,42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2D35A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142754B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056F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9E39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0DE8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9CA7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D0CE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9986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CE9C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4DA5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C022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F5B4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1E14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1366D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5CDF9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FA27A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D0FB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58E42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358F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D2BB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7D309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1 651 118,10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BE435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1 651 118,10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2A077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1 504 368,84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6E510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43717C5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EA65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55D0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3A10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8AF4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CCD3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C95B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B8A7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F38B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40B3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2959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5091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E366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F278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05FE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FF58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0032D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ABD3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EFDE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2B8C0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1 074 584,43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A822B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1 074 584,43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4994F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877 781,07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E4753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42DB725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BC33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0165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983A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11BF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F7C0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AEAA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C6AD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F038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A9DE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D1DD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2D90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1E26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331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57F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4A788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FD9D9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92A0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135E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159DA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667 537,44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4E7FF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667 537,44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8FEE3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654 885,01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B2726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15247BA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BF6C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BAB0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0866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44F8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F3E3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6B66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57E8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7CEA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498E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E103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5348D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1F29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792D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E0E8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50BE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A2173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60B6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5858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3BC1D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1 297 205,72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891D8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1 297 205,72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3E2FD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1 106 724,16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D16E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352A5B4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A97B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E3A9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E2AC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496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43C5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0DFA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4491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90C7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3AE98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1ECD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CBA8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1084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B31B9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36129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7542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80CE1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6E56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0C08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B188C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3 401 248,71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DA107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3 401 248,71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B77A7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2 533 181,92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E1955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w:t>
            </w:r>
          </w:p>
        </w:tc>
      </w:tr>
      <w:tr w:rsidR="001A4750" w14:paraId="38170B7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FBBF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DF37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57F7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D12E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F4A7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D63A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937C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17DC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77A6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4943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B80F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34FF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3A93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4283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A903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FCDC6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A130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CE25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6F031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522 097,06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D64DC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522 097,06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722BE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443 802,99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0AEC4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79A33EF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201D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0C9A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8CEE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B44E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3A49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26E9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E8CD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129F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860DD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CCD8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A239B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8C46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7462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FE7C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F39A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7BC68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7BAC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A37E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2ECFD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3 740 104,15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E8313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3 740 104,15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B5CB9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2 853 501,17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508FA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w:t>
            </w:r>
          </w:p>
        </w:tc>
      </w:tr>
      <w:tr w:rsidR="001A4750" w14:paraId="53670EC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B4B4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72C4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EEFB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29DC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FC3B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8E9D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48D7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7F55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0EB4E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3E56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9BD8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C65B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C1EF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FE04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F4C1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AC0CA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6DDE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F6DB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4E186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11 331 240,08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0A2B4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9 631 554,06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2A840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7 444 695,93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16EBF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684EED4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AF2D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7A2A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B60E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5979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9490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1F4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B25B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62FF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F6E1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3D215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34CF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09A4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F175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25E01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12283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9ECF9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8E57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C66B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227D2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1 398 249,53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28074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1 188 512,10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ACEF6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69723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5EBA7BD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F2E7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9FBF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8FC9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44C6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8B82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252A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DB02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EB93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94033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4B1E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F055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FFAE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D396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30D7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C554E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57EA5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C577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8176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9B3C0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2 730 777,54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598CF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2 321 160,91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81A5B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1 476 165,79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BF29F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40CAAE2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2E42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CB15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95D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78A0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A3D3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F4BF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6BCB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8A4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58B7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9207A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3D5D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4269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E138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3FDBA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DBBA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7EE56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32E9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31A1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12B60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10 041 047,94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DE96F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8 534 890,75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51785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9 899 779,10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8169F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5DF05E8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86DE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1130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8743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4605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3C02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3CFA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602D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ACEC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EA1A2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FB18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F32BE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E7A5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BDE5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2B66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10EA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FD3C9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098E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994B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3DC2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1 606 138,54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81694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1 365 217,76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AFDF7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1BE36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6A1135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6664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2AD3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0B39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9B9D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0564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EDB4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41EE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6432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03510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48F8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7BAA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5643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68DC0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CD87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C3ED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7161B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E0B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D500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8F08E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3 284 319,03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55985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2 791 671,18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C1A58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F741B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71A8448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701F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77B6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948E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1F26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0826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CAFE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891C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244F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0700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A93A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3560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C1AE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423B7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F703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B196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DDD0A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9B0B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1931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81169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1 017,19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4D81D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1 017,19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7BECA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393,83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3295C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611D25F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5A2E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C1A7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558B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D535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78B33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812E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DC5B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A6CD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27448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7CC7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F9DA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3ADA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DD74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B949B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4D15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51AA6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03D7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6134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319E3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7 957 854,67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8E7B9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7 957 854,67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29309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5 753 809,84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3AFD8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21053F3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4673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CD08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D85D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8798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F6CA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B705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6C20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335D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95AE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4A5EB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2042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B59E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9BCF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78794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D157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28308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DBE6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3980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0973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1 062 426,95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9F6C2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1 062 426,95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05F34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588 573,90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52F17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6968B4B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55E4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32FC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FB1B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5F41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4EB8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063C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56C9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7775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F05B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E1C0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92047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C173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680A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7ABED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F80E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57009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BFB9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39EA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D9E78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368 937,94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936FA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368 937,94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2EEBB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363 668,77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160FC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4DC875E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E8B6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A9DD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A7AE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D940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841F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AD59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4198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8C67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75A8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CF83E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044A1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9B93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7EF6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C741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27F1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6792D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78FA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2D15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9ABB0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10 439 309,63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06C93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9 159 985,21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617D7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4 197 940,02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16690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4AC6FB8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6108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8B07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A584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E656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8E1B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CC00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354C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D761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D196C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930F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C8E0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4A28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0934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3F206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CB59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3838C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E775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A1D9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2CAB8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1 856 649,07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BDBDE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1 856 649,07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2B088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1 607 245,25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F40DE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41221C6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ABB6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795B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B184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24AF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70C9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EC8D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EFE5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3A27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0A719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B516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38D2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E98C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CB6C5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0908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8878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84BDF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88E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F773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129A3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10 923 564,44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B4315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9 285 029,77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D590E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10 863 477,33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24AD8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7DCD87E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A8D8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850B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13FE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27E2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2654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716D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438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A457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B8F2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2F0B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D909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6001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3005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4A4F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D4BFA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C8CA4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04B5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A644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AC351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8 383 284,58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7C86F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7 125 791,89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51CD7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8 297 603,91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4499C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076A879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E333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29A7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1835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C56B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BB4C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793D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3A0B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E1CF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DA447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81695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B3F0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185E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FA8BF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D919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AFD8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1D78F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B6B5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65C5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43B8E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11 481 143,53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19C50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9 758 972,00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A82CC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3 328 211,13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C9BD2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21D9256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E080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AC98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5EFB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DAF9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B40F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B291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03B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8455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CD80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D022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C4CA8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9A28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22144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70900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524B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195B7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D62D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9DA3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9D2BF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2 799 922,22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AD8AB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2 379 933,89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AE4C7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2 799 922,22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B94D5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00BB5CE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7D95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CEAD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F1BF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458F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9251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4A5C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D7D4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F2E3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13CDA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C4D5D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4D25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960C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5916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CF8C9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50F7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38007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7621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EB6B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921CC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31 611,94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66478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26 870,15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D29B9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31 608,54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A9089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4C5AF0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E8C2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729B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B324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9DF4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C36A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D006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A194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C9FA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97A1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2136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3659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06DA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0A757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484F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2D77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40FC2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15DD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D6AB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78B59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3 638 098,19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DB8BD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3 092 383,46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91A2F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3 638 098,19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256CA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552CF96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D8D5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9096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F1A1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DCC4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76DA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B939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D311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57C2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DDC07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2E2C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67D0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BAC3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F241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B5A0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E205B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01CA1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B1DB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49F0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AEBF2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1 470 890,42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E7F93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1 250 256,85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504F6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1 453 992,03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02100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ED0309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6925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CDE9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863C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BDEA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CAA3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F672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8AD1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8F4A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19EB4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6419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2C5BC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C96D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7ADF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CA0DD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81E1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A9312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D068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424E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CC38D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24 731 022,60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AE2E4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21 673 072,77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3167C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17 095 229,57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661F6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w:t>
            </w:r>
          </w:p>
        </w:tc>
      </w:tr>
      <w:tr w:rsidR="001A4750" w14:paraId="0CC1F61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E456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C580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EF95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494E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606B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196D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8A41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EE9E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41EF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97A5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B964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4FAF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1ECAA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50874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61EA1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5E122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EC2D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9789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8AE02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4 452 886,27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C664F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3 821 135,89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BB93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4 209 326,10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9E0F6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w:t>
            </w:r>
          </w:p>
        </w:tc>
      </w:tr>
      <w:tr w:rsidR="001A4750" w14:paraId="275B5BF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0B1D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836A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9155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8707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3579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9181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3275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D3B5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EF79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20E0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5EDF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AAE5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3D96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B9ED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D3FA0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2ABD7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B2AA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3F67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852E7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1 281 143,73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53CDF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1 177 916,45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105A1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1 248 952,80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5BE48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5C3B117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E431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4078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51F9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DDA3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E6A1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D536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A6FE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86E6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4F7B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3C85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D22DF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394A0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D988F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6956A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2F4C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8FA9F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789A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CD54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3E372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967 736,77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D6667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967 736,77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27113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CD622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5F4BE15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1ABF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2DA7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8C99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11F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74AC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1ADB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6F7A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C031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3DB2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EB3D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ACD1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DCEBE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53441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67857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77E3A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66153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4920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6E8F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74C28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3 499 379,78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58302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3 456 958,45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3B2F7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601 844,12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98BB0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0121AD3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1171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3EBE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1125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D0B3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879A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3FF6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E519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1D0C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63F2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484C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9D95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7E72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09C7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3768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A9DE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B908B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904C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DFBC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5BCEC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6 001 580,48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17B5B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6 001 580,48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384D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2 156 340,34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2B6DD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w:t>
            </w:r>
          </w:p>
        </w:tc>
      </w:tr>
      <w:tr w:rsidR="001A4750" w14:paraId="7FA662C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FE13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46D7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CA13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6A87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DDC3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AD31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5913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5561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9653B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163D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37477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BE5E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3A4C0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8371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AF97F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66721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33CA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EC6A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CF5C3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8 950 090,23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12954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7 607 576,70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F6C8E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8 950 090,23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86DBA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062A020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291C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28E6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28EF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6C57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5C44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BD1E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4D7D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D858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D0EB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E0D6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9F1A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D3E7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6674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8C29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2D430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71CA1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62F7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B9E7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F25B5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5 058 302,85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A5C8A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4 299 557,43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10930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3 749 300,73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E548E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387F3B5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9CD7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FF82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386F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1CE2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242D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F43D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D743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3961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4E11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0383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D95B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9779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2446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ACD1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E37D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5C2D3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3FFB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980B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C719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2 805 334,57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CDF75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2 384 534,38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95628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1 488 520,87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F26E5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0749E94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148C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70AC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867E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C296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0886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2E1E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53EE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DEAB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739D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7FE99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303B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6BCB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57BE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3240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EEEDC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25759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1CEA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5B8B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F372C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2 422 948,71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87278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2 059 506,40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03CA0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2 414 962,08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69FE3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73A2AC4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883C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750C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77F5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0E32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AEA0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5FA1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C64E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B31D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8DCC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FC82E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35F4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F417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3DEA4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5134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543D5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C312D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B6BE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ADE9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E0F9A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3 821 157,48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D73E1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3 247 983,86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759C7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3 654 191,03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0096B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74DEDD2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B798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7474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A36F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0BF0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0658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70BA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9E04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2AE6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E992E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B641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FB96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C3E6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63BE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A02F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505A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9E7CA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2001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F31D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D0B76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1 166,98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182F1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1 166,98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D2CB2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C7D26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961697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D816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F3C3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9B5F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9EC2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A8AA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A2F2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339E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5718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50580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4DBCE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54411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519CB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F518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C83CD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D2DA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1244A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E109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26C7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C6BED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48 399,84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932DB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48 399,84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4DC4D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7 459,40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85FDA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1E5D179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186C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FAC1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E507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C6B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C77E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4B0D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5B17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A35A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E8D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E6BE4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1EFA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7BA2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1287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EB3F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ED1B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33B57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C648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CE1F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8C2B9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5 865,33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7054E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5 865,33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7726F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1DEEC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4D5E5F1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5FB0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F126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5E15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5966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EE4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1818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63C8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17FC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4F18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679D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1BBE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63F4E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B6C4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A1A98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F283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A8DA7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D105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D97B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6841E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3 383,06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B5FFA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3 383,06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1DB2B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3 380,24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5DD26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0482952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71BC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6ADC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8D3D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75B1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2859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0C5A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FCFF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D02F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B421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7E94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09E6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E7AC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C4F7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4BD92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D6C2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FEE21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3386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ABC0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0A852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1 228 895,18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A33C1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1 228 895,18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4592D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966,41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1F942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68154A5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A0A0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3A5C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FDE9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E5C1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4F5A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549E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643B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403E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A275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750B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4AA9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5280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29FF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4E3D3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902D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1DD23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15AD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9B5F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994A9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351 446,78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CF3B6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298 820,52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27AF3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313 358,95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9E36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2098781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D101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282A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FE6D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C4A3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CC0B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DCFB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AC1B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B858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159A8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D4DC7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19C0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094BC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AE16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9E04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1F53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E1AD1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BB0B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AA73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2987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495,59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3ED41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495,59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5A897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430,58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5936C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A78F97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4402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2DCE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68CF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E9E3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C9CF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27D4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DF0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F899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1A5A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1EF37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6EED0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8711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C4FE3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5A3C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DFE1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E9DA3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64F4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03C2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406B4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262 490,55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60E5C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223 136,24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5AD7D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237 665,02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17D5F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509F506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0636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5912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33DE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12C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6354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B615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3DA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A44D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2B3BA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9CBE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527F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FA9D7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77E6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D0AC4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6F27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3AA53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235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200B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65C76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364 582,38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074B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309 947,04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AB763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352 122,74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E1EF1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0A1D0C9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DB64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9BB1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00F1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3B72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A20C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BBE9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EF66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34B1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877C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BDA6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A3F0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5A29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04D60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92D29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A57F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14C9F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94C9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0D57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E351C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598 601,02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C4E53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508 842,32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99F8A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182,17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E4BC6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052C582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79E8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DE63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9CC8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D3E2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A0F1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4CFD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9C10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3235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2913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D64E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9F0F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1412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1569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73860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EA9D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B0DB5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DB16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010F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BCDE5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435,33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A9BF7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435,33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2208C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378,23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B6782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5F30077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3F47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B84F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D973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4289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9156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A3BF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FB93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5953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E750A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0E810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7963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E844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86D5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B0CDB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D01B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C5844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7093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C79B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B17F2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445,17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691B4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445,17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470C5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386,78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B03D6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6B288C5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9BF7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838E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FE95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CB4F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BFC6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31F4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772F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5F8A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449F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B9825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CB66D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34B79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732C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881A3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6180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99D84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0A2F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C82F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DB886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683,74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0B9F3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683,74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E8FB9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594,06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08C98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6B99B2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9DFF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52C2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F8C2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4DAD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11E8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0396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A8FC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ECC6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768FA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70E2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9E54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1FDC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507F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44AA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5E27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29DE4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413E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1440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FE476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1 465 740,96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05375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1 309 036,34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29F6E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630 856,48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F1C90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209F85A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814A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1EB5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35DB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2CE3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20ED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54BF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3F49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FF1B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D2025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B17E8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4FEB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0DE4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147F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7CEF3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F28A7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B7D85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F46A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B081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70497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387,37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BF830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387,37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131FE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336,56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BBB1C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74A62C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D7C6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DFD9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96E0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3AF5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F5D2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9F4E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9530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79DC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0A31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1B63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B9D9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C77CD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0C3C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70A4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54DB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6A3E9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F02B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CF33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04C3A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298,22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D2C3F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298,22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B3F26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259,10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6845C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0FAE740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BD15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DEB2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7F2D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047A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D4DF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9975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497F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BEBA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FA8C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DF622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C6200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C88C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BF4B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DE5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49009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A86C1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4749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DDA3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E7998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767 015,86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FA0B1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652 011,54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874D0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723 235,66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A3458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1EA1FE9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A513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F52C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C7C7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42F4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9FA2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23E4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126B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C371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F019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1632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91CB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2EB9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99E03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3C28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ED73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836ED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3FB1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7736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79829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17 908 155,94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93720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17 908 155,94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89957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1 180 769,97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36B3F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086820F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B1B3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445B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6644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51C0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50B0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860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E9EE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6AD2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22511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8D58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8D4B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97B2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9714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EF33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A63D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A1370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C91A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0F5B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34E14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328 503,81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B38D6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328 503,81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457B9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270 964,49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A4414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2DB1DD7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C5B9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67D4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B6D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A711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55C0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CF3F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C0A6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D03D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E525B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E484D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C82D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8B3B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87B7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98F01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3F7C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A07B1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9E9F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4D9D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A5BF6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1 720 497,38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AC7A9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1 720 497,38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E775C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860 248,69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9E305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54A48CE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89DF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6105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2A6C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8642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B82E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DFAD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1B30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1793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87ECD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95F4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CD2C3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271B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62097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1323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411CB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F6DE6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BF44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BD55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7616F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1 455 005,45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5AEF4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1 455 005,45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99199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65 170,46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78215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0B80183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BF5D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6E20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E8E0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FD0D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F019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028D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C32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E87B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C978F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3332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128E7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EFF1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1185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37DD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4952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FCE7F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5BB5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617A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B03C9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1 951 716,64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12842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1 951 716,64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65286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1 095 950,37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CB0B5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30F6C60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2D2A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27A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DDDE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9CEB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FD7F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1477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3B69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3E3D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C1E8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0F8B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5C1B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9FFC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A467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1F808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93B2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42662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5524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788A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57B87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2 825 280,77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4D0BC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2 825 280,77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C94A2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1 492 881,06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2F705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67DE92C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18BC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1313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F22A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5716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0EA2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8486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2585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72BB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97D6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10FFE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371E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9855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2472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3F302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281A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7B0C6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97BC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23DE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22D7F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3 262 581,81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C4B46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2 773 194,53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4A267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3 132 835,68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B37D6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728AF3D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B215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0182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FCB1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3B0D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85AF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A9AF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C5E1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55DD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0DEE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874A3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37B3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F93D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CB61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63C4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64B2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2E8C3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C71D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B2AF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13EB1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7 730 914,61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2EC2F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6 571 277,41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F9A5D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7 065 942,91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5C007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2506779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B9E0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E603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2651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01C7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412C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5FCE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8D2F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5EF9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8426C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D0AB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3F47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9A62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58C2A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310E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02A8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02BA6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B6C6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FC6D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0CB9B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130 989,73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3DB1C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111 341,26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DA8C7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130 975,63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4AA0C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5C1D71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2797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FB58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8E63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8DAC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151A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93E9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6B78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0B55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D675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5B0A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9BB8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0030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4425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5512D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C083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8AEE5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E70D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F505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E8AAF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794 244,88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F3F17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681 541,89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83485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751 001,36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7BBB0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6BE7A25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64D9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ED9B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6FE2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501D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8BF7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9C4A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E99D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52AC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B521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C7D92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E374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08AE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2652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3022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A569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DC35C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0901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9885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4364D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11 283 780,78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8149F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10 064 927,27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FEDD0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4 910 106,52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72F32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605D3E8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4BEF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215A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9972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CF89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CEFC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BBD9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81F5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A0EC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A1CB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1D60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09AA7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DD61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FD2BA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811C2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2301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FC8D5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C661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88D6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98D59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2 531 667,92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4708C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2 531 667,92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297F7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2 135 380,60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0C77D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0F6C06D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34A4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90D1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C120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0A4B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01AF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BE3E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6E5B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C3BC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19F71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28C8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B126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1762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19F6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239A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F577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EC732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0A22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D349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A575F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87 995,28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AAAE0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87 995,28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E3896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70 318,60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1B111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4AE44AD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4E10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D864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93C8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8B65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D1D5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F722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E235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1EBA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F58C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1667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9667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14ED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EF1A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CA4F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61C0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2D783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68F1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FA25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8F58E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258 272,53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52B6D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242 057,33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3E1C6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255 153,19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D5106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6179117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16FB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B1E9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63E4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4C3E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009B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5D15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113A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F3F2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AA14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E903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449C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3853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F3BE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DF5AC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ABA72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37F82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37D5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054C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58EBC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36 521,13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5A8C8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36 521,13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CE29A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26 735,34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21BDB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58DC8FA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9EF9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DE96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5009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8503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DDFB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05F7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EF04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94FC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A9BB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7FE8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064C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AB6C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5C8B9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63A5B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D8A44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24543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BEF8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5AB2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79DCA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988 525,76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139D7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988 525,76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8D603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187 998,74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B0BA0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0E1B3A8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7FEA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65AB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6E0F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5DFC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B09C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6A0A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1140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DC12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B6FE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F0CB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CD441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B997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F984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5B0E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4D5B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B8769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AAD9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5E18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DB670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5 261 593,44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0BA30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4 472 354,42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79FB3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3 486 004,95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A7455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6F15860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A1EB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E569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12CA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F983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316F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90B2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0BDA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D377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8BFB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45EB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68D6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FDE6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762A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5575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85FC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3BA09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8D75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D577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B95C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7 660,94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BEE05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6 511,80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B1680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7 660,94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EFFEF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7144DA3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C37F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09DF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E000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6EF0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FD04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A98A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243A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E605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60F7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15CB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2D92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64674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DC10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6199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4E3D3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90A2B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BEC7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F0D5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2EF10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1 402 456,89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E13D4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1 192 088,36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F8E5A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744 148,80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8ED9C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59E0208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7367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4976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4D0D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04BA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8638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27EB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7DA7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9778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F519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D51E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FA7E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E3F2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E8B4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6405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443A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842AF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704A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E5E5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A59F6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8 862 932,23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E1328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8 862 932,23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5CEF9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4 525 285,66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5F44D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w:t>
            </w:r>
          </w:p>
        </w:tc>
      </w:tr>
      <w:tr w:rsidR="001A4750" w14:paraId="4D48D63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4BC4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B053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7869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78B8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4BDC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5BA7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42A2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4F70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8912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8983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87E8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FAC5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7CAF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74A8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60D0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2A773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2B66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022C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632EF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4 748 540,86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0DE99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4 072 986,21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C7054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4 619 247,18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210EF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64CA553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4F52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1CD3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F4C2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E889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FD16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65A5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7D39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140B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0C7D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2E47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67FA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F110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1F66C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B627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0D79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FB28D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5B7D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DD92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466F5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3 298 542,04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295C3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3 298 542,04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C38DB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2 987 020,50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21BFD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28FFCEB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3396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220B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2543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901D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D20B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21EB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64E4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9351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9AD4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C496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CFF3F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012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58AC7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DE1AB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B2C5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54765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4D0B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BB24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71DB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3 836 091,27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FD4AF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3 836 091,27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31740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1 576 799,29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3D981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6187FB2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A3D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F84E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F47F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C712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0AE7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56DE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900F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BA14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AB3F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B588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3B4A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9542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1E1C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499C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FEF44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EDC5E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CEB3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D544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C0FBA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3 949 020,44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83162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3 949 020,44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F6946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2 754 656,79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A7843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7E7EE91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BC25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FE0B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F9F9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ECAF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0B19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D22D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26FE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061C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8138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5E1E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C65A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877C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CED0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1E60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6EC0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ED4C2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8E28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AC6F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38D30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3 288 653,94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0536C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2 996 422,85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13F5D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3 121 612,60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CC239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23F2D0A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C20E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BC90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F1F4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31CA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231A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AFAB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5248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BA06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9D58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4ADDA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27211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2C86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34C4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6AB9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4B1AF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575D3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A0B4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307D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38633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1 272 635,78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42CBE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1 272 635,78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95737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7AD96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0593932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3AA1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5781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21D0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54FE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ACAD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76FC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C83A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7885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A1CE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7727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34E4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23572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D3A9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1C17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C5546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44370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00F8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387D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2C2C3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3 488 569,53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A8549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3 488 569,53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C27B1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1 117 421,65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F86DA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2D71756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8055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6644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5BBA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09D8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B923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9C7D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8E1D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1F03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D2A5B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2C3DC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4A4B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392F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ED6D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A00B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D562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26C0E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C383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87BD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71425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1 652 686,65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09BE2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1 506 079,60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D15FE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1 258 036,65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59B49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6909507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27A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00A83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4378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66BA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1384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C318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8B0D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83F7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CDA3E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161D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6DFB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5219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B950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50EE5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D4B59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47DD0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F6B6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D364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B8FAA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5 723,75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73F2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5 723,75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29A25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4 972,98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46892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198CDCE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6022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0BB6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52B4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F4FE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D1C3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4942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96C5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1115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6545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345C3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C346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76B0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6B209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CE1DB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55EB2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2B784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B159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B75E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BBD80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388 856,69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5C49C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330 995,20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867F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2 705,04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081EA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1A774E9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03B4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2BCF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D72C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D4D8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8507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6EFE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370C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E8CB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CCE3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474A5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FC24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1AD39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33E2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8368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4C4FE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A2890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6F43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7BB3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A7C07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44 000,68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8F9B4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44 000,68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44CAE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42 631,68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29177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3A99181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0E96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A133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405C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1B60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526B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F197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5F89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1CFC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126C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E196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4833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E59C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AD8CB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FCCB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06D2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BE6AF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1AC9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B49E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39ABC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661,29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80785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661,29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67E0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574,55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6D77C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7F05F9D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3CE0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803B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6AE3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AD0B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9B91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255F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CAB7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00FA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A1F2B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E966C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194D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CBD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C900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295C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DDE9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63109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8165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1058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2F9A8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366 020,11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488D4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311 384,77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61B5C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353 371,89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86DE2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42278C7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4EFF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9B94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99F9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FFF7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B90D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3E1C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E1DD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E9F3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2B41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8E2C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594A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9D38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A07D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0DE8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9729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25893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0CE6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E65F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F247B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300 229,74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B5404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255 357,12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6F714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937,42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59A54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1F09DB1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4541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E108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212A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6166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ACE1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4DFF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5962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27D5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2EEF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B3270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EC11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65680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5592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DAED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E4193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A8535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91C3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0563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C933E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2 240,14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D9CFC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2 240,14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06015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1 946,31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6DD82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CAEF3F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2788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AF73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F1B8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3188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5BFC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E8C9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8E45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167D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EA39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BE10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85DD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8E85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A5A8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2F6E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AD0C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CBBC4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021C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0848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D323D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2 290,76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1366F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2 290,76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620CD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1 990,29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93584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41D31E9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D1FF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45C6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E0B7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ED3E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7E2F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F056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2ABE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D762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F3C70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270D4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34CC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9A4D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9CC0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9C8D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FAAB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9EC75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535B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F5D4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F6D2A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3 518,41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FB435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3 518,41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53BDD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3 056,91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A7D64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56C7E6D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49F3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0E8C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2EFE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EC35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CFE0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F3E6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085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2CE5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766F5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99EA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C1E8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FB9F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1D5E0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ACB8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24CE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131C9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3D35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4615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ACE3C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137 427,68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ABF07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117 338,92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33BEA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3 043,17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2698F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401E437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EFCA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388F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D7BD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985E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6E31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7BAB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639B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3FD4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D4AF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4D08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4445B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3466B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5522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07D63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B2BE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47B94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9C62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86B2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79DD0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1 993,34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20D57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1 993,34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AA3AF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1 731,88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A4FA2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DB3843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0E67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B783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2CD5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0F5E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9A64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2016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184D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7097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754A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C898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7E13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C95FB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6A69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6782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0938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CDB89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2EBB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E14D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56010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1 534,56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73504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1 534,56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DC682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1 333,28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93586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4D2CB03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E51F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E44D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8F27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DE3F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357D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1B11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85C7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32FE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4E72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9B88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CC81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91F5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71F7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2AB0B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CAAD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700BB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7DD5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6CCD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2021B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749 507,28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BA471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637 328,46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452C1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316 700,77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B880A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0A26939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71A3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9548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0A6F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6ED7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53B1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C0FC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97AC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C3AB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A037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80A1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C34D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7F5F3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7589E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38BF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0F0E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BA08B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EDBC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697B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C1F3A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10 604 946,89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AC244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10 604 946,89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F7B75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3 587 453,43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425E4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w:t>
            </w:r>
          </w:p>
        </w:tc>
      </w:tr>
      <w:tr w:rsidR="001A4750" w14:paraId="52FD7EB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F805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E8B8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EA6D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785F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E670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7E32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59EB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BC01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8E38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1CC0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2440C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D5620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1EF4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91B91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7602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4D476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B8DB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D95A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8120E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1 137 578,74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D8987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1 137 578,74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5EA0F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559 941,68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520E5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3D42E7F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F416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FD6C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4683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3178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E06E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EAA0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2C3A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BBE7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9AE8D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E325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2DC49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DBF1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DF00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1792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5A0B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6B056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BA19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7BC2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DB04F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592 241,66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59E8D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592 241,66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45948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588 573,90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5F1F5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599280F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CA87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AB51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7447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EA99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1E57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1E38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6447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09C1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60EA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0A547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56F2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9B7A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C88E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0E9BD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7D3F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F81AE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2CAB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CBA3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5A6BA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946 204,53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E147C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946 204,53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8C64A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822 991,69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FE4B0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25C23C6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6ABA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80DB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6BB6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559A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2682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624B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E5DB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1858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0425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1DE2A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8C0E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0BD6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3705A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E1E0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7A8E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B54B7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1E37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4DC1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FBA1C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4 872 049,46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7AD80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4 872 049,46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BDE14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3 740 754,85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773F4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0E04C8B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9470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BBD8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6CD7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A65D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6C1B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75BD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FAB8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8866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DBA5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729F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52494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D337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F61E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ED27E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21AB8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BF351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655A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5925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12574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7 968 798,21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AA79B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7 968 798,21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0C02D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5 638 105,84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D52BF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w:t>
            </w:r>
          </w:p>
        </w:tc>
      </w:tr>
      <w:tr w:rsidR="001A4750" w14:paraId="4E7668F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943B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B746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1072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FFCE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B4E0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14B2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0A7D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79FB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BC57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835B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5E0F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88FC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46FD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8AAA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B617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B2B32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8E94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F1AB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5285B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4 803 773,03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E1E20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4 083 207,07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A9FBB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388 069,94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298F9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19C05EA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A5FF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4708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1EB3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D17A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5FC3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E314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A86C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5FCD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6E92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042E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8543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8E64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ABCA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817E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D568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1589C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545E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C8BC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FAF1A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1 654 176,76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1514A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1 406 050,24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C5BF4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1 653 998,75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47EF9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C7E080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FC40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37D7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4C22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DE28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BE96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AD1B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F992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68AA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52694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9EC8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81972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9189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4704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799F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E9C6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8227F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456C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E35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5E3AA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386 024,41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FE224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386 024,41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756AB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8AAF9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B03884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077A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044D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1B8C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D756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1DB5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CBC3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0CBD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C6B5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2BB01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0FBF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3419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B4D4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47AC0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9F57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E78E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4A57E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1AA9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F323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9D4A2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2 222 343,63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31F78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1 888 992,10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F2F06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1 886 740,23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FE90B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3DB4B9C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8F57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2ABE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CFD9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E888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BB3F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8C08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41F0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C0FF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0D65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02DB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9FC0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B6C4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AB1F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DD0F6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A516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64858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6458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AC9D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27FCF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206 111,10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202A2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206 111,10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FF053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772AE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2A0AED2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48D3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D385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B7A1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C07F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F374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CBFF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1777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3E00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B3F6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00984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DE7A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0EDF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A3675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C027C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C2FFD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DCDEC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5C2B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F4FD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A3DAB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3 135 446,20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0A51E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3 135 446,20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F415C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1 800 091,14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F55D5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w:t>
            </w:r>
          </w:p>
        </w:tc>
      </w:tr>
      <w:tr w:rsidR="001A4750" w14:paraId="1E9847B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39F3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397D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A059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83E2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A708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0C6F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2B45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0C80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A281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0BE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DB39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30737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CB6C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0BB8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C493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5BB4B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30F6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6E39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B17C0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1 888 590,91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F13D9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1 770 018,88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D3AFA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1 865 780,99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067A8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0655B6F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519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B680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60FE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10ED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67E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DE43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DD7A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A4FF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F7BF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8366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11D9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C3F1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158B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91D3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6E6A4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EFB7E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6FD7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A303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D4D79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177 391,31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5F7DB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177 391,31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66C8B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2F22C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679315A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57C0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8941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94C3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2DC1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625A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31DE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2A30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927F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3240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EBAC4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3D94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6BA2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4E7B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E4FE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F3DC4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5613E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46D1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DEE4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E373C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1 187 304,39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DE4BD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1 187 304,39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0FBB0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869 167,70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86485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7468034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B2FA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4458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13A5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B79A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BADC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9BC2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74BF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F07B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B4AE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9FC7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C2A5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44A50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7C859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1DCF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B1B6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B767F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1B90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87F8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49D7E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510 206,85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ED94A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510 206,85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6CF10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446 898,74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66BCD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35170A6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53E1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F1DE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F770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AB80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6EC4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7F41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F29C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68E5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3C5E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F1A3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133EE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6114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4986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C2DD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C0CC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7664A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00F8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565E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665A5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84 242,48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A50F4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71 606,11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47F5E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84 242,48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B07F7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7C2E9C9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F76C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1BD4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BEFE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33B2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6231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0AA0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AEED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C919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EC3C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BFED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9C44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FE321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D4224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33BE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26FEB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07773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7582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A02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0E34E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2 334 561,82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0F497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2 334 561,82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81839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A2F8C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07EC7D0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3962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801F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3B7E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82A3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D569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316C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0BBE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8EF4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41A6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AB81F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A6C3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B8BAA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DCEC3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5F9EA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5632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EA9CC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8D83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FE17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5C22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3 234 386,71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B639D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3 234 386,71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D6E27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2 263 576,51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BB1A4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0458850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8517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E2D4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08A8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30A1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A6F2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AF72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C975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B105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3B9B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D2D6E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8B91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55A6F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F3DC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5E005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4124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1FB40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4B4E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21E1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D3ED8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810 935,62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4CE0B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810 935,62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56741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784 351,89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AFC65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366EC66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F3D7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B240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70D4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820E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6EFE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387E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668C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1FF3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C1FE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4616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DB469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2FA0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2EA2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2B55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8C23C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46BDA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E76A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FC8C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B5B51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389 910,76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EFDD0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389 910,76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0075C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294 257,82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B2E10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54A76D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BED5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175F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AE16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A42C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5053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A07F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42E4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37B6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5DB8E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8C53A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336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FF4CE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3629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EDE5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7BE6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354A0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64D4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3B8E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C7439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1 996 972,65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7941B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1 996 972,65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DACA2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1 068 722,21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89BDF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246A59C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EF8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61FF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86A3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2E18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6F31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C738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C0F9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24B7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7ED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80C3A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DF26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CB48C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B2F6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A16C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D8D9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11981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03F8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56C0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33D28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4 300 650,34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20240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4 300 650,34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12EB5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1 456 584,86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DA8D4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2AC3AA2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03B6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870D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1F31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BC3C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770F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A4E8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7B8B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96F8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BB53A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84F2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647BA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E921F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C9E3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18DC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C415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7B7C3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593A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2419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02A1B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1 083 190,97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039BF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1 083 190,97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821CB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949 687,86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9503E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6FDB7B0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6496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BCD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295C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D461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AFA4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48D4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0253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3B79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1B2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090C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2B617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46CF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8E51B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E2C4E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A8014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46895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109C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6169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09A9B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2 544 913,55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FBB6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2 417 142,87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85188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1 241 453,02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0C245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4AF15EE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0B3E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7C57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3704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B950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5251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139B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4D1E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A1A1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C4B30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1508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F14B9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ED9B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6D87B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FC3DE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E009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EACEA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069D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D735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3E156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2 188 472,67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C8E87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2 188 472,67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8BE0D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3DABB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1ADEA28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D197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B111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FF54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63AA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A07F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59FF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BDB3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A57A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54CCD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42C8F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239C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47B54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01DF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FB21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4EE82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2D54A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1613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06D2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B8C2F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2 391 105,69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1D2CD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2 391 105,69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4D1DA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889 210,28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774D5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0D63BCC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0DD7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000E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486D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8DD5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45BB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44F7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EA4B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53B6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893C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F029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823B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347D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B3DE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6F81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D936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0B88B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8896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F99A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BB2E5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1 583 970,53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EE221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1 583 970,53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9F903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1 126 199,67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6BA9F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0743505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4CD3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61DA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130E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18DC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DE07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C994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5848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EA9F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EEFC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6839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7C57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41911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68FB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84270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DAEC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A8F46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B431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D593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7529E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70 407,55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D5B15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70 407,55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019E2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61 172,36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1C99C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124530B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6CE6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DD3D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9A8F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7E95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4213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F4D7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EAC4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810D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F0181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D9A28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3C929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CFC5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C95D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083B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F0A0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45B7E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ACEC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03D8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9549F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166 879,06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42792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147 591,90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2F3F9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33 274,52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A6422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24DDA76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6A55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5F60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07D2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2415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4F34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AD4B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41AE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D7B7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A6DB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34147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02B4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DA7D0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FB857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3C96E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75EB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D2572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653D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F10C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6E0FC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487 524,15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609D9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487 524,15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8B52C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472 025,06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F42FE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373845A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6CCE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3BC0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64FA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DF2F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35B0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B5B4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D4A5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CED0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21BA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0298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92B5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5C14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7A4DE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0C6C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9AA2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54A47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36C7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8F16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6664C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8 134,42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36313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8 134,42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0BDB6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7 067,45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ED148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78A8DD6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D5A2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D2E7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17CF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76C2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1F42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555F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2D0B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15B5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CE88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57E18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74E7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EFFC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C8C7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A135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85C12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50DA2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CCE4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612B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D4B98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21 951,28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DD4BC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21 951,28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B1CB5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19 071,98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D1C61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42004A2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43C1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7413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1C93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5578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F13B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7D06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5E6E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CF6F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EF6E1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60450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43CB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D522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98B2E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15440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DFAC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DBB49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AD25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940F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26292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13 271,96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05CA8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13 271,96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38A06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11 531,11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6F2C3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505DD4F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2933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9E09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DED1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1FE9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5401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CDC7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7454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E936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ECC6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96D3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39B1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6997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E4C0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B2C89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C5B7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2AD0C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975C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C638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5F73C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27 555,85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E964F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27 555,85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D369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23 941,42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81DF3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377FA2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BEFA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A51E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8309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0B72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3D35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27C6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F9D3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2E68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5BCA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75F2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F6B7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EEB9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45ED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C0764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85C9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88441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A944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B9B9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18444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28 178,59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0155B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28 178,59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41AD6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24 482,47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A678E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2ED2D3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C456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2FA1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4B5B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F443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DFB3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F1F5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6A82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0A34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9E77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5FAF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D710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9DDB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F3BBB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746C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73B7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45492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1420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367F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D6F40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43 279,82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5C823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43 279,82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FC518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37 602,91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D0377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44C2198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EBA3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FB3B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2CE0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B8A5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A3FD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51D2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FDC6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ADCB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75EE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490B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44DB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A4AD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920A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AB94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7ECE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C3023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39F7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C61C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4FE2F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1 783 524,72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C42DF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1 522 458,79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2575E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37 433,83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29698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64E46F6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599C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DE08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F5FF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505F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5973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9E4F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5C9C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E5BF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FF80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EA923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F9472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2BECA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2286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995E7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CA549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1C491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2D23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C7AE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6D5E9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24 520,04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D2012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24 520,04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83D1A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21 303,81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0F816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2B6C72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9205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E705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DD50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7130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66EC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96FB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38F3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EC9E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8DC2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7AF7E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8526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2483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CB35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BDB8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55ABE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B1D0D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A644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8EFA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35794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18 876,54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7A6C1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18 876,54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926DC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16 400,55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8A2B9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4CDABB4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01E1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4250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088C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07CE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8573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BC00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68D5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DCE8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C35C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C7A6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3B14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8C48A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CD31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E920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816A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CF329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D3D2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42FC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EF715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91 380,70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DCCA4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80 715,26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483F2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87 008,16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AAF08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7715FBD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4F17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307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8624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3194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0B0C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E3A6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79AB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C152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74E6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B5142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D335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A8CF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2D76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23647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D130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4DA5F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E500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5892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ED405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5 566,83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CAEC1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5 566,83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D083C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5B429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AC1F4A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6B13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C824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38EF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4F3E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F24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FDB1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95E4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62A1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D9959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4BCA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98B6E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AEAF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895F2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13CD4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B812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A62CC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103C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DB0C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80C95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486,51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B8FFA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486,51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3546F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362,96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F1727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94C564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D4BE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8FE3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190B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D1D2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9569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B1F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FC9F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7FBA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1657E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36B6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F96D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F8AA3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A73E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27B05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A605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207E7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9F5D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CAA8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A03E4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9 735,13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81BFD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9 735,13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A8C49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89AA0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064873C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9617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FDC3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47B7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5208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0FC8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7EC0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B4BF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13CA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4E13A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53FF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75F17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BCF0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5393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489F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1706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65554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847C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A904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2B1A0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1 807 209,17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9320D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1 807 209,17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5EBF5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1 798 757,71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DEC56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1BADCF4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8EBE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352E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4BFE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69D7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82FF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8CF5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A682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DFFF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60B1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73DB7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83F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7B0D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B14EA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23DB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B6ED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C137A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804B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E2D4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F3B1D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1 620 235,75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FB8FD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1 620 235,75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C98D5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1 563 896,82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40D81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5E23C67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F4CA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0D55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97F9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5470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63F2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4D18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A68D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9DEE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E0A2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D4124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CF32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CC3F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BC4F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350A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4EC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7401F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7C0E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53F0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2F2D4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1 374 089,61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E7CA3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1 374 089,61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4665C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1 368 222,06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BB07B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2DCDA8B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813B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CF35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51C8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88D4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4ED6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7CE4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69C0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16AB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C2FE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AD4B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30C8D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9681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0071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13AA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6F34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3817B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F1C7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8810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DB8DC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1 072 354,04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DAA55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1 072 354,04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06E91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1 067 629,74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288D9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2D11081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CE1E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72A4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0E45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7EA1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0BA8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59AD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69AB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746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F9D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C0BE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647F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9B1A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A1DF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1AB1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25898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18F22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0DB4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E2D9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B4DDA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4 104 345,47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A7A64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4 104 345,47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A3F45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1 720 188,16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E1D76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2124DAE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7068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6E50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06DF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C3F6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D8C1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89C4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3B18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2F8D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5364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38D5E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371D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E2F4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BAC5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39E9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BCB2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12B93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57D4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8255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18053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822 013,45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8DF64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822 013,45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2D40F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818 573,96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22B27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2037581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EE33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2A16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9ADD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2BDB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855B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1799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7727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2F6C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4FBE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5A870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FA97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806A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7B748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3317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2786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6F167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BDEF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9B0A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EE9F0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2 319 723,19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5790C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2 319 723,19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5B10B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1 917 086,25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9C38A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w:t>
            </w:r>
          </w:p>
        </w:tc>
      </w:tr>
      <w:tr w:rsidR="001A4750" w14:paraId="27F6DF3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3AF4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C46D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A250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F199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88D0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ADDD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1BD6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0D7A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1F7C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EA86A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3BE3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A589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8F12C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D0FE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D12D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CB927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BFC3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BC6D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BB095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2 375 962,37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62B9C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2 375 962,37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7EF43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2 342 285,23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6AEC4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18F9A8A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DD49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5E25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BFC7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431B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88B3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65B8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64E7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1A14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98D9D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EACE0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EE94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D011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3E69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640E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8B55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6A552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50BC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5338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99F8C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5 367 364,87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EAC58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5 367 364,87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A801C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2 339 210,36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597C1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703482D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C756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5B90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BBF9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5F4B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1F9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FD9B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3930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0D3B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B2A7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C54F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992A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F573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57D2D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4129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E0E1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45020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6C53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C7CC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F6009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12 937 622,28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8261E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12 937 622,28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F3813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1 138 935,65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B1C73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1856E32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8B4C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0BCD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C9E0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A91E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0792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92A8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46C7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6B06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D96B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EBD4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4798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9FD8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463FA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05A9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48B6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974E2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9EBB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98D0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710A0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1 416 503,65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9ADA4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1 416 503,65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B4BBE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1 407 336,15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9A165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19702FB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549B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CBD8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3C62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A0E8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005B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B320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E544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8B1F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3C33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9BF1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96281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8CF6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D138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8446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8CFCD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CC726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4E09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D7E7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D55B8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2 134 208,82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24D5E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2 134 208,82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2E0D8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1 042 090,51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CABAE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159FE28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E361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1FC2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704E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7D10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E255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00AA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AA09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39B2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87B91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D55E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958EF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995E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C1F8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6137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8E0F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E2CE3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0EE6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B0B5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3395C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1 154 821,47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0511E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1 154 821,47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8C063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1 140 912,40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D709C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4824817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C316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3CB6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29EE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B278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C03E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18A6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ADD9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7B53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3BC60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29B19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8E078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C2B5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AE87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A04D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CF19D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1F2CB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339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C6A4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A30DC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11 178,92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55C09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11 178,92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C9A35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8C159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5C4B302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8897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2B52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97E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4D7B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9461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7559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08F9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68BE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63360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1CD9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BFA3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E2404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C866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1677A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F9D00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ADC45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5292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CD0D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8FB9B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10 355,70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D57DF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10 355,70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4E8C0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7 725,92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5EC8D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13DA360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8318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4C88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2EC8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CC5B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E910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3CDE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3936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FAF6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DFF4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A876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DFF0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0EAF9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21B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9F78E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EF16A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45F15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4898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1071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EE4BE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38 984,36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E21A4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38 984,36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18102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31997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7256582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56F6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3FE9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FF3E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14A1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931A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6F17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EEE9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8F41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CB8AD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993B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609B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2E8EA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23CE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B7B2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5898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DE3A6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72DF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F13A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60F02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188 845,68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EA888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188 845,68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83590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164 529,66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FB937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7392F31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81F6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D622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145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CF2A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AC93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9B55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2AE9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5699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4814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391E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5A30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F364A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6A32E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2F19F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04CB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FF465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3945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1AE3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90050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4 471 346,40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1DAC8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4 471 346,40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702F0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4 211 893,19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C8E8A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w:t>
            </w:r>
          </w:p>
        </w:tc>
      </w:tr>
      <w:tr w:rsidR="001A4750" w14:paraId="1912E1B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8577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3ACD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E87A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A358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8240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FBED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CCA4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BD8B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A7B54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E1F4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6BDE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45D4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EEDC0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7BBF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742B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B9AD2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3494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3E2C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421AD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2 428 633,14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0D60F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2 428 633,14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4E6F1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1 943 016,35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0814C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w:t>
            </w:r>
          </w:p>
        </w:tc>
      </w:tr>
      <w:tr w:rsidR="001A4750" w14:paraId="56AD3CD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6979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56C1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3989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6F56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46D6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AD0D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ED1E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AF7E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81E2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C7FA9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E505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02F5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9E29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9999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A01C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79F60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DFBC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3CA0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EBC6C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4 978 784,00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36F07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4 978 784,00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B46D2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4 713 804,20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CB920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w:t>
            </w:r>
          </w:p>
        </w:tc>
      </w:tr>
      <w:tr w:rsidR="001A4750" w14:paraId="7476415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0467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F5A8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594F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5E41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F452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FB5F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9B53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D29D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F2C02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C360A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5FCC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34F8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22DB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49AE9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BB61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A6766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188D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04E9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7EF99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1 470 495,06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3AF0A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1 470 495,06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2DF5E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1 280 407,77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3E84B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73541FF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B661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BFC2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A7E2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A2DE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3326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4638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049A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9F45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4C33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5DD1D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48C90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54DE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F3F5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3139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71824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9F455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34F8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3789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AE9C8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1 890 511,33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B8723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1 890 511,33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035DA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1 860 846,70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2CEB8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w:t>
            </w:r>
          </w:p>
        </w:tc>
      </w:tr>
      <w:tr w:rsidR="001A4750" w14:paraId="58A5B24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5B07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401D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C8EB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084E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BB88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694B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7940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A2D2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6717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0B66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6C22A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7AFC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384F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5FC7C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7F5D4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2B4EA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763E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5359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AA8F8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895 397,66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521D7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895 397,66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423B9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890 723,83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F61C3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70F5251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B4A2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C489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F69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E239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B332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A5AB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AE34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18BD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2A76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22ED0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EBCC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0B9C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79BB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126E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2351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F75F7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156F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685D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E3C4B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5 999 545,17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FF47C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5 999 545,17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714AE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5 462 833,78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54315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w:t>
            </w:r>
          </w:p>
        </w:tc>
      </w:tr>
      <w:tr w:rsidR="001A4750" w14:paraId="7A7A466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9C47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74E3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57C4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1743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7A88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E572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2F5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44CC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64E1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3BFBC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3670A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8CD0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32EDF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EE3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BC6C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8C696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573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0CC9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99B61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2 713 890,28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EB84B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2 713 890,28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4F640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2 606 914,02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BE456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w:t>
            </w:r>
          </w:p>
        </w:tc>
      </w:tr>
      <w:tr w:rsidR="001A4750" w14:paraId="6915E0D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ECD0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F4EC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16CD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E01B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8F25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98E2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254D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2142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EF0D7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E553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BE15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5EC7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1B60D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5EFD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2C6E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A3773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21D4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D754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D5F70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2 191 437,64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71D7B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2 191 437,64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6EBA4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1 953 373,38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ED850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4833FBE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6097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A07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EE8B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5DF0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DB61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28EE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46E6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08A3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79B4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19CC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B8D5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E521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3C08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2D5B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14A8A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982A6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9F69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9AEF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D3A71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1 608 756,92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BEE83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1 608 756,92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E04AC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1 568 220,33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A2376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w:t>
            </w:r>
          </w:p>
        </w:tc>
      </w:tr>
      <w:tr w:rsidR="001A4750" w14:paraId="44EE9C6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52A6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D02C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3BE6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1638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7BFE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CC40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C814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D6F8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062A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953DA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6A3AA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5816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75F1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CAFB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17960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E3A1A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BE2B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9712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A9076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1 630 706,19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8CDC8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1 630 706,19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F5A54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1 153 884,79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2540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w:t>
            </w:r>
          </w:p>
        </w:tc>
      </w:tr>
      <w:tr w:rsidR="001A4750" w14:paraId="19248E4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F42C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6ABC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D926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B891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A716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0CEB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AB5A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BC2B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D44A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366F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5CF8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C441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1D378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E913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9E42A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701E8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5089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B6AB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E4884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3 983 253,08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4BE3E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3 983 253,08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72066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3 591 589,67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6C8B3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5C9D882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71F0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288C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AF7A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E956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AE25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CF47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FC77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8185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F11F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5EB8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D5C7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6293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AF50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B134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4508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59770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383F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DD8A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22BD4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8 488 127,65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5233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8 488 127,65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E4D29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1 306 013,06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6ED99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w:t>
            </w:r>
          </w:p>
        </w:tc>
      </w:tr>
      <w:tr w:rsidR="001A4750" w14:paraId="5B799DC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7D69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4E06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678E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3A5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AC78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A895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7B6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A70D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C338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65E8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A30D1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3A55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EF96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61F5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243E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8F919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D0CD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5B31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8AB20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435 842,18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DC31F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435 842,18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75F43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2715B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22730E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A66B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78EA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B6AD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3BAE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94D0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034F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0EA7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31B3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B2FEF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ED1A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229F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4706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BEE9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22CE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5AA9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2848A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7786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5EB6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7B114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336 664,58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53852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336 664,58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26E17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251 170,13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A5291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DB1992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8CC3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32D3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FA85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E4E4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2E37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2645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3D0F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7790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FFFC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87FA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9635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93C5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1F61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F744F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1EB0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64D08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A071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3CBB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FF2CC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389 799,76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65A9E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389 799,76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34EEE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BE96F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426CF0E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4C71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A3DA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F817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A1AC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5DBC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26C8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F0BE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D48F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9C558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8AEC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8D67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D940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7EC3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0F99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7DFAC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09D09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945B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88C0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4758B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472 147,23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243F0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472 147,23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92A66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411 352,93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0622A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0DDBA6A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61E4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7C20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FEE7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0661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CA91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2999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FDF7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FBCD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F519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D67D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92A1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3D6A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342A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489A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5468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2FFE6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403E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A27A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44024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8 901 728,17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18888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8 901 728,17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3B87E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7 539 212,55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DA6ED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w:t>
            </w:r>
          </w:p>
        </w:tc>
      </w:tr>
      <w:tr w:rsidR="001A4750" w14:paraId="479A0DA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94CE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C988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7F00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4E00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8753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009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A4CD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77DA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F922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B026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BE6F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BDB8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6B05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B377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08D4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DFA0A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2265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AD37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3E989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9 879 011,07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05BB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9 879 011,07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7ADE7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4 532 261,54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B6099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w:t>
            </w:r>
          </w:p>
        </w:tc>
      </w:tr>
      <w:tr w:rsidR="001A4750" w14:paraId="5424D13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0B14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22AD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63A8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3F68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8B94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DF41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EDBB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2EF6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BB75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5E1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181A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B3D1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6F99C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6C62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1D12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66BBA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39E1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8F40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B3239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10 995 172,00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695A0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10 995 172,00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AEC5C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3 683 942,47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E584C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w:t>
            </w:r>
          </w:p>
        </w:tc>
      </w:tr>
      <w:tr w:rsidR="001A4750" w14:paraId="36252CB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7BFB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68B4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DBA5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796F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A467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23C0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9D5D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0B42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008F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7C4F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15A98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165D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16FB7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BAF6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9BE5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C5175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1C89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DC25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850E1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2 845 510,49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7ADAC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2 845 510,49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26F9C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2 224 826,61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481A4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3CA2091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30A2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C869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95CF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33C5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33C6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5BCC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D258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87BE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A57E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EE76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32D11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8D5F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8D693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0AE3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D915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18354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C13C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32A5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097EB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3 314 113,26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4EE8C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3 314 113,26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45F4C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3 131 790,69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CBB31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w:t>
            </w:r>
          </w:p>
        </w:tc>
      </w:tr>
      <w:tr w:rsidR="001A4750" w14:paraId="56A83E3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4396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FAB3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BC13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3350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A737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1586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D07D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789C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07EE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5292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CD2B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1BE5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3B03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096E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D381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15E92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9D80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656B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C72BE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411 465,89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ED1B3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411 465,89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39A09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410 075,57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D3712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09557F8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673F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03F5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E9FA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2BE2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8AFD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3305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774F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3B86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98C3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8DDF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B4AC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4122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CA61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04F3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FAF4C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8E982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7083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7E76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A3F3F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10 344 266,96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D38DE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10 344 266,96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F850E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7 147 092,80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439FC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w:t>
            </w:r>
          </w:p>
        </w:tc>
      </w:tr>
      <w:tr w:rsidR="001A4750" w14:paraId="2B8761E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0AC0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8F7E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F993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A2F5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A80B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E0E4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A997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1B58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1C049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E921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B6DC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3BD28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075E8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C330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1CDA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F1E05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38A9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DC8D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2085C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6 006 492,92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BA324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6 006 492,92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27FD6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4 738 133,27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320F7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w:t>
            </w:r>
          </w:p>
        </w:tc>
      </w:tr>
      <w:tr w:rsidR="001A4750" w14:paraId="5DFAD83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C2C9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C99D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AA5D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DF77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0858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436F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1BD5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ECE2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C8FD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A291B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BD91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7512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443F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57D7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E8B1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F7D8E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4830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7B01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E96D3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12 791 407,81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0FF50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12 791 407,81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37044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1 817 188,47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ABD44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6AA024E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45B9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FAB4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E2F9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832C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5504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A0F3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AD5E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0906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5790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53A7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4283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C470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2A45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C54E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737D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A07A4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7F8C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409F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2AF8E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4 637 824,39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9C744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4 637 824,39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260CB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4 382 664,80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C23CB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w:t>
            </w:r>
          </w:p>
        </w:tc>
      </w:tr>
      <w:tr w:rsidR="001A4750" w14:paraId="57B4443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B485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6E0E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2159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72E5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CDF3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0B98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E881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AC17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1C0C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1CE9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37E1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E4BF9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96BB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B081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7011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4B046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F5A8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43C9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8608D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10 420 435,45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0CF9C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10 420 435,45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D6A4C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3 965 039,20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7B493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w:t>
            </w:r>
          </w:p>
        </w:tc>
      </w:tr>
      <w:tr w:rsidR="001A4750" w14:paraId="14AC64C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A9DE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D898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4C73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0ACD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7526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50F6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0A75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547C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2E94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FE7EB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4FFE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E48F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58A75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19E3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488F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BF7E2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56BF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0A34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84893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5 586 369,87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90113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5 586 369,87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F2355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1 827 690,99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F51ED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05F16F0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A34E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0A82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41D5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98D0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85EB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B3AF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618D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75E8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6C60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B0DB2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D563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6865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05F6A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D367C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4085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50204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F41F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5685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44418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5 644 184,62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9193C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5 644 184,62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DEBA9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781 167,20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A9B0D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4B6ACD2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3C90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749A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4FF7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DE80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FAF6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CFEA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5345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AE4D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F1F7C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BAD7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E70D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ED46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ADEA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0499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8A20E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1E125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B18E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BBA0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0BE87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197 507,28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1040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197 507,28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6362B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187 508,68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CFFEB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6E83FCF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4E21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6314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09D3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14BD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B05E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2992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DBD7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DF4D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B5F7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F5BF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CC00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97B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1FEB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A7DC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BE701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E02AE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DAD1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A170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5D55A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386,63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AB6C7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386,63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6CDCA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383,78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5AFC0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14785DA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8DBC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72EF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5C9E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3E7F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A852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7771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4C71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9F0A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51060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6170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21A67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FBD98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D5EA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9279D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58BCE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54435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A8FF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4DA5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DBFB7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2 433,78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B83E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2 433,78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0F7A6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D77A3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9BB03C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AEC3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A18A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4505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FA37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32A4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EEA7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A4DC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9D2D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D681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2758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8CFA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84732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436D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DDCC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0036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254F7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6710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F6B0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EC9C4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1 222 493,75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332E6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1 222 493,75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87CF2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1 088 028,74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22EBC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72192B7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8C0F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3F76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C0CA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26F5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A293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FB5F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9144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FD39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9180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F0480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07CEB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9145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189AC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5C72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E663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3174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500C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FD70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DD7FE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349 419,09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809E6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349 419,09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4AAFC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313 867,14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478DD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8B6BFE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A5AD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0D54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80EC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0D59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1EEA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2067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38D3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1193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617F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5283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7CAE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2FE8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FBF90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8E20B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8AFB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E42AD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4BCA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AB29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64583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202 524,39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97FBD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202 524,39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A5F94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192 528,34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58977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67100E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ED43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3821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7824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27CC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CE95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43B0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C6AC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DC73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479D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7284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4981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0BC9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378B3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E54F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39A8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FE19A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2B42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A728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D5EB6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1 092 646,94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B5F7C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1 092 646,94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EFBA8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1 063 484,74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D3A51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1ABEBE2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3B80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CE89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704A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E126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8DF0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5465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D1DD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27D5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3AEB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64F8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9D2D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D5FF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AC19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4F92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C40F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972C5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8CC2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03DC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2FD60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21 458,21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3279C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21 458,21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757ED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19 181,80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909C0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369BE0A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913F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4765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1F9D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FA8E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2E13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9F65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F640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1D24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06F2B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9964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A38B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39DF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3484A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D23F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CCB8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DCFB5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A3C2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040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77113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9 746,09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DC84B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9 746,09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DCEFA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E2747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61C25E1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0699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4AD2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7EA4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79D0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2EEE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6EF0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166D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686F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83EB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DDC73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2F58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5E2F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5E4A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5F28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A7DDF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C4A3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B709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EF7D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C0619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146 636,95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6DD20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146 636,95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1F120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135 552,80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03C5A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26E126B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0DB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0D84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97DE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4A23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2DA5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33B6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DD2A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BA3F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2314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E9725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D58A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2AFD0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3A32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BF088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B709C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FEA58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2119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DC9E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CB448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42 364,12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11680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42 364,12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D0C51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40 483,30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25B01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6E0D993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9637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ED7B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B38A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E14C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4EAB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1359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4D1D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848F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79C09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DDDE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AEEF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23471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6C17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7F00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1FF6C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4A75D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7EB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4405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A4FCF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445 671,84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8A5B3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445 671,84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DA16A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4 902,42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A333F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22BC992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BCCB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E8D6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7834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889E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3902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1B84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AE1B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635A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8ADA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EADE9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693F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B183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03D5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1EDD5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1EDF8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71EDF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C433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E7EE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B321A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2 835 082,91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1F750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2 835 082,91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D8D06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27 084,08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BFD0D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3001604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4B87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AAF3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4002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A349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4ACE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E276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DC61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8FC5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87CA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81F2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343B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D9B7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55BB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1746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068F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B5A43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6ABB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B0F3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7F93F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276 472,28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5C968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276 472,28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08193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262 476,16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BCB1E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2A20D4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D765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6093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1383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7D5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AD1B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F450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B33D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43DD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92CE1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F8BE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B295D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2B2D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7F48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1C6E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D1BB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1E919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C36F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9FE6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6C3E2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869 601,99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99A01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869 601,99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9F22C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766 785,95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058A9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3230B57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E461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8B4B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EBB6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D7A1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6B42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E721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07B7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1B16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2A477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0490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246F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DFD2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93744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E0398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0CE9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5F44C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DD7D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2EF0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D589E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97 449,94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74EB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97 449,94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330F0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D37B5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4BE4598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AE86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627D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8379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DC60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5FEC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F6A0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734F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CD20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5BB8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B87B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7891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67C6B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3E5A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2B77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84D8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77EE4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FC3C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A17B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1E469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980 693,64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87EDB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980 693,64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B883C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865 777,77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A3C5B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71880FD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4AEF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D6A7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F17B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2592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62B4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A06B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5BE3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24A2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7A25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FB5B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EAB7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9DB0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78813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033E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81B50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09AE8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79F9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7563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7D730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362 416,35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B3DB6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362 416,35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F570F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360 535,53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FB661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0AABB4B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D582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EDF4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D305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7A55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258A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426C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49DD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C306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EDE8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0AA7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C884B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98F2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A44F3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7ED6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EE521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CFBAA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37AB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C96D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83E2E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9 170 858,73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A35E7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9 170 858,73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6C438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132 420,40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66E6A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2CA38CF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40B5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3AA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68CB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52EC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46C0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4210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81F8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14A8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9FFAD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66AC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F74C2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3182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6F397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FD0F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4E70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30829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0DFA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3E84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6D78F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54 305,97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C769F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54 305,97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39CDD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54 168,17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9AEDD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7372270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632E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F8F7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49EB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DE22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EE48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66A3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AAE8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AD16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38BA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5E62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E759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5A544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6068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A483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4E6C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A18B2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651C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0095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6325E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827 484,61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B21DC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249 623,94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2E509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668 520,75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D661C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47</w:t>
            </w:r>
          </w:p>
        </w:tc>
      </w:tr>
      <w:tr w:rsidR="001A4750" w14:paraId="4D21456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4FE4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F25C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CA20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5A18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5EEC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9206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042F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8C5C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B945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AFE6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1F611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DD518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8E7B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51E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4801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6FC14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57B3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9545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951BF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3 377 509,77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5DF95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1 171 601,03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33641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2 833 795,60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926B0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w:t>
            </w:r>
          </w:p>
        </w:tc>
      </w:tr>
      <w:tr w:rsidR="001A4750" w14:paraId="52F5477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7195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77C7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3F11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7DA3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F22F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1D20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7B52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0E82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C130E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7E35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DE48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95EC7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9E254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0881D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69CA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82EAD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778E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9CC3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F85CD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5 612 156,87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0E15C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1 809 683,33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66F25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2 239 123,88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6C25D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37</w:t>
            </w:r>
          </w:p>
        </w:tc>
      </w:tr>
      <w:tr w:rsidR="001A4750" w14:paraId="38C0681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C41C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80FE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A09E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E145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266E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6F47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0462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45D6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3C07F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0B6C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5F59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F793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DADA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0A83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65DE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20D40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7413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2761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E6A5F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2 083 082,51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78B42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631 172,04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A4902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994 555,14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3A89A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w:t>
            </w:r>
          </w:p>
        </w:tc>
      </w:tr>
      <w:tr w:rsidR="001A4750" w14:paraId="6BF0EF0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664E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CCB0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88A5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4A8D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1462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0F23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C3F8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1726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1AF3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0F57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9BB4F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7B4DD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6500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D9A31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5229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0961E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FD86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1338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69D51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6 653 726,27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20C57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2 538 562,53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447EF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3 319 207,30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C677D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48</w:t>
            </w:r>
          </w:p>
        </w:tc>
      </w:tr>
      <w:tr w:rsidR="001A4750" w14:paraId="748A22E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0E39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CE52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3E52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FA9B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2487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7D91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3D7E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37B5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39EC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227E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5525C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97CF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F8FF7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6E269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CA5F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BC58E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AC65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AE4F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35C43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5 306 337,41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B5B24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1 684 127,72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83F82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3 635 428,83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D48F4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30</w:t>
            </w:r>
          </w:p>
        </w:tc>
      </w:tr>
      <w:tr w:rsidR="001A4750" w14:paraId="3DFDA7A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6934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1DA0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9131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1525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4EAF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AF7F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AB7B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9BCE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4A1FD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B4F7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8C20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D3E9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B4FC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43DE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B207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CB3A7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8DF8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743C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33EF1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9 847 623,76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693B0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3 112 528,54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A28F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6 394 625,46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D1CEF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42</w:t>
            </w:r>
          </w:p>
        </w:tc>
      </w:tr>
      <w:tr w:rsidR="001A4750" w14:paraId="6EAC47C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15C5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3E08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CCF9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9211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B523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1915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4FFF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F788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4747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8775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C0B8B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7ADE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B30F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71108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93A6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5D6FE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9A4F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F15A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29C8B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4 686 672,84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06548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1 494 100,63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E5611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2 279 798,12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C9681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33</w:t>
            </w:r>
          </w:p>
        </w:tc>
      </w:tr>
      <w:tr w:rsidR="001A4750" w14:paraId="4709949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4A60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764B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36A0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C3CD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A18A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48B2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F65F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C440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E219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F1FD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88F0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8C731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285D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A1562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731A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C6655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2A2C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035E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3FAB9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3 991 790,44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A6031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1 407 521,80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D1574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1 678 837,20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0E3B6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w:t>
            </w:r>
          </w:p>
        </w:tc>
      </w:tr>
      <w:tr w:rsidR="001A4750" w14:paraId="43EA079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964B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D00E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D244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95D6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63B1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A2D5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E41D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5A3C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CF70C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25AB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23C77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A8FB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D199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F416E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1EE7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A2BAB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E2BD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9927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8CA61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12 355 732,03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CCF63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4 298 248,53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0E230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6 186 787,38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6279D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100</w:t>
            </w:r>
          </w:p>
        </w:tc>
      </w:tr>
      <w:tr w:rsidR="001A4750" w14:paraId="4EEA498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3168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885E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9A74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7FBF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D51D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D890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3743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159B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FD54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8D68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E686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D1D9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7FD99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CADC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6CB8C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F8B63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73C1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CFBA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20731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2 077 400,81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B027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1 231 403,83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CA0D9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1 085 755,12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77E71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45</w:t>
            </w:r>
          </w:p>
        </w:tc>
      </w:tr>
      <w:tr w:rsidR="001A4750" w14:paraId="1813619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12D1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F71E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6755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576E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3396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2C01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4611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2CF4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B5209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AF3F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3369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751B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BC011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820A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D6A6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CCD0D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3BB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FCDF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1E616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3 342 720,64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8C10B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1 455 777,57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6A74A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1 399 102,35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0A16A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86</w:t>
            </w:r>
          </w:p>
        </w:tc>
      </w:tr>
      <w:tr w:rsidR="001A4750" w14:paraId="63143A8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942A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2EB3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9DE2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F8D8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9EBE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F821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2885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8D03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C0AD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D25EE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903E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B118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F7A5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7FE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D06C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E2597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8FBD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5DB8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7C8AE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43 778 186,89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E894E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20 193 186,92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A65B5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21 339 377,62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0AA2C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161</w:t>
            </w:r>
          </w:p>
        </w:tc>
      </w:tr>
      <w:tr w:rsidR="001A4750" w14:paraId="7E245CF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1760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E4E0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783C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B29F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9248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F678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75FB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3205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194D5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B9D4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12A7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AAFA9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5B62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DD6E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E9286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C0713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C4AE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6E70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CB969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25 096 458,88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5C78C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12 040 876,58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92D31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12 892 187,81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9274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109</w:t>
            </w:r>
          </w:p>
        </w:tc>
      </w:tr>
      <w:tr w:rsidR="001A4750" w14:paraId="5AE8E14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0EE3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2FA8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5DF3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5C30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B83B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C0FE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E531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A19F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7B8D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F808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61AB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0EC9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67F60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55714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E8C19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5761D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5096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A3AA3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C7004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18 545 967,64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62E2B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8 679 462,85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0331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8 470 589,94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D3C99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99</w:t>
            </w:r>
          </w:p>
        </w:tc>
      </w:tr>
      <w:tr w:rsidR="001A4750" w14:paraId="51BD01A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17F2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C7CC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077D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63B2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D564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805A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0D9D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62A2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0AD9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49A1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D35D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B4C7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496D8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FC85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8CF5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A84D3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A647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1435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4EC56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4 502 856,43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F91F1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1 731 353,88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29D72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2 829 138,19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30807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37</w:t>
            </w:r>
          </w:p>
        </w:tc>
      </w:tr>
      <w:tr w:rsidR="001A4750" w14:paraId="425D001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F5BC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509A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4658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BE57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1DA5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689F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C2AF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E2F4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D08C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A3337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F995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EBF7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7B291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E3B18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1DF9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EE417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5168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1209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0CDFB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7 680 234,99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EF6EE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4 389 348,72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7F9F8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3 370 050,43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184D5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60</w:t>
            </w:r>
          </w:p>
        </w:tc>
      </w:tr>
      <w:tr w:rsidR="001A4750" w14:paraId="5EF11B1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D85B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44AA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5AEE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8F6D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77F2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9B88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D729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5511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7BF3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27C63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ECD2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5265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04085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C0F0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DB65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E29D2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B3A9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796B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24110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9 925 127,28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AE233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5 547 463,52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8ED2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4 425 662,75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FE257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65</w:t>
            </w:r>
          </w:p>
        </w:tc>
      </w:tr>
      <w:tr w:rsidR="001A4750" w14:paraId="7C1BBB8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A8B2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E6B2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6373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4809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A825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C623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41D9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48ED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C0F3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5CA30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7EC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6544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12D8B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10FEC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0A32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391F1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6ADB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727F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88D9C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9 204 728,92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174FC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3 651 857,85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5B7C3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4 393 790,84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BA74B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49</w:t>
            </w:r>
          </w:p>
        </w:tc>
      </w:tr>
      <w:tr w:rsidR="001A4750" w14:paraId="7639C25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F56B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1D8E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ED56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09CB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D72E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1BB9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9F91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9E3B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6494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9DCF2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2079D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EFC85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E555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1942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2009A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1FB3A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3BA8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BEA4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BAD7C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10 829 370,44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F526D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4 673 141,14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DEEFD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5 102 420,92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A536F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66</w:t>
            </w:r>
          </w:p>
        </w:tc>
      </w:tr>
      <w:tr w:rsidR="001A4750" w14:paraId="1E59BA5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E1A1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FCBA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9489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7E00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F2AA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7155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FB97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F11C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CF76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00CAC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7152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7C6FE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DE34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81D0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218B7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F03E7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99BD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1699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FACE5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7 835 546,27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CB673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2 554 260,77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431BA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3 219 607,29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88560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39</w:t>
            </w:r>
          </w:p>
        </w:tc>
      </w:tr>
      <w:tr w:rsidR="001A4750" w14:paraId="2506899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4D72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2E27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9C67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3799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17473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1515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D57E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7101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446FC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801E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1071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DAD2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D9F6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CCF1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6BD3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999FC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93B0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EB8B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666D0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8 466 713,45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70C87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4 647 994,26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C7FFF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5 019 331,00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B33BB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w:t>
            </w:r>
          </w:p>
        </w:tc>
      </w:tr>
      <w:tr w:rsidR="001A4750" w14:paraId="015DCF3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D827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82E4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75DF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1705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2D68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1103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B49F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6576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882D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5480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E467C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6D6A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8D0F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9DD20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8F53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8134C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D178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0E5C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FBF56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14 004 212,35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207F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5 527 161,11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F7AA4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7 309 322,23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4B433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106</w:t>
            </w:r>
          </w:p>
        </w:tc>
      </w:tr>
      <w:tr w:rsidR="001A4750" w14:paraId="0A4B459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E393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9B8E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BC31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BC92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4524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A893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4047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025B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7FEA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6155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1A2B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00CE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F3D0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9C152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E3D32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29620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A289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93F0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86A5D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10 931 096,97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94677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5 318 698,91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523BF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6 180 981,63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D23BC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83</w:t>
            </w:r>
          </w:p>
        </w:tc>
      </w:tr>
      <w:tr w:rsidR="001A4750" w14:paraId="2D74B31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B969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1518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4D71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379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6530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F416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0ADD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DAB1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D33DA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F166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F2F18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28E6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1A76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4391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2D4E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23557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92AB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284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3196A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15 289 750,24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6DB6C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5 874 767,83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099A8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6 944 427,37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7AFE2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133</w:t>
            </w:r>
          </w:p>
        </w:tc>
      </w:tr>
      <w:tr w:rsidR="001A4750" w14:paraId="01A55D1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06AD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3914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E3D3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27AA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D040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3735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1221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90CA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B22E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AA32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5C7A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9D0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553D8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262E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E1F2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26432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EC58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0A80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ECF1F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42 870 849,55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0A949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27 576 781,59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F2A61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21 239 804,90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D9ABE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166</w:t>
            </w:r>
          </w:p>
        </w:tc>
      </w:tr>
      <w:tr w:rsidR="001A4750" w14:paraId="7F99DC7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F12B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2B09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2311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661F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C115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5829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2C20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E033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31A15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073F2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0F80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C1C8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4613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7261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23EC1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24CEC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1E5A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920D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2B794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20 962 787,27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D7B0D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13 135 078,27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A910F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11 151 475,48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FC7ED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81</w:t>
            </w:r>
          </w:p>
        </w:tc>
      </w:tr>
      <w:tr w:rsidR="001A4750" w14:paraId="64B07C5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AC62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4F9A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F8DA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E672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CB1E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5B67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952E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17C2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8A44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678E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C273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D6C8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E41F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9DFB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B683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E0107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E51A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497A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DD627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15 680 160,83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17BCE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9 221 175,24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B7015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8 520 914,40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BB90D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81</w:t>
            </w:r>
          </w:p>
        </w:tc>
      </w:tr>
      <w:tr w:rsidR="001A4750" w14:paraId="47C34F0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9E25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00B7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887C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24C5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AC59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E36F3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2FA9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7A86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84FF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416F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53EA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6528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DCF8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3647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5D17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6AAD4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86EE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846F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C4441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21 480 796,43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74A87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12 528 907,43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6F474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11 767 596,63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0E403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78</w:t>
            </w:r>
          </w:p>
        </w:tc>
      </w:tr>
      <w:tr w:rsidR="001A4750" w14:paraId="2479449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BADA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5620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188F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4AE5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51AE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AA79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FC98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8486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29EA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19A54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E784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C90F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5F88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16B42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0A84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967D4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50D2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A769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7FF77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9 616 444,91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46063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4 072 433,74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6978B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5 904 431,61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48232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50</w:t>
            </w:r>
          </w:p>
        </w:tc>
      </w:tr>
      <w:tr w:rsidR="001A4750" w14:paraId="6D90858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4942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7F89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CE0E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0AF6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9CCD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8764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2D5C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37AC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DBFA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38DD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9A5C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D78D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669AC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4D9B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4C3B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817C2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837F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BBCA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4C6F5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10 367 163,16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58637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6 707 064,06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ED175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3 966 899,90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A60EB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50</w:t>
            </w:r>
          </w:p>
        </w:tc>
      </w:tr>
      <w:tr w:rsidR="001A4750" w14:paraId="047E596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60A6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DD77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41CD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7376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8FD5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1044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260E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FCF8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DEC4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2EBF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647C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1AD3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2C7DF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EA4A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471F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90978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1276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62A8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E231A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11 701 732,34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98D30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7 886 228,90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E38B5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7 022 789,79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64F7A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56</w:t>
            </w:r>
          </w:p>
        </w:tc>
      </w:tr>
      <w:tr w:rsidR="001A4750" w14:paraId="6838AAA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3794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3CC6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A6B7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C842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B513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B2EF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9263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FAC8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DEDE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13B17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8BAEB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BA25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46ACD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624E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7081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3688A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25DA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4958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CE496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11 577 749,22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E3122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4 836 662,40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3BD67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6 187 505,62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9FF9A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55</w:t>
            </w:r>
          </w:p>
        </w:tc>
      </w:tr>
      <w:tr w:rsidR="001A4750" w14:paraId="2929357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F854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D893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9528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4C4A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D3B3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A0A1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6B36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1298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6329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310D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D279D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9923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FEF1C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EEA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D20C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323D5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67BA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5851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357CA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11 930 029,95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FBEAC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6 316 365,37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6AEBE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4 096 938,33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E7B57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w:t>
            </w:r>
          </w:p>
        </w:tc>
      </w:tr>
      <w:tr w:rsidR="001A4750" w14:paraId="426B26C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F559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715E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437D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2E28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E18C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E4A1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09B3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2859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096B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6C2F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678B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6B48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BC1D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B3FC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F626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2C26C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D815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CC29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5019D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4 598 966,10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FCFEF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2 298 744,09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CE0EB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2 387 278,33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184DB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31</w:t>
            </w:r>
          </w:p>
        </w:tc>
      </w:tr>
      <w:tr w:rsidR="001A4750" w14:paraId="5F6412C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BB4E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D186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224A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92B9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E21D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A274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573C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BC9C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CC38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9715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1E653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1EE9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F15FA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F0007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4F55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80F8A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CEE9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E903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41906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19 930 169,52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4C927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9 061 789,43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9C703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10 726 996,57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88FD2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78</w:t>
            </w:r>
          </w:p>
        </w:tc>
      </w:tr>
      <w:tr w:rsidR="001A4750" w14:paraId="4122CDE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3198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B4BE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F242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DB34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79C9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4532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B47C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1404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F31C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968F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098F9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D717E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BDF19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E9BF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54A6A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8A319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9CDD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EE00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48C7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15 763 843,24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DD12F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7 860 606,47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2D328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8 986 972,35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F7F94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70</w:t>
            </w:r>
          </w:p>
        </w:tc>
      </w:tr>
      <w:tr w:rsidR="001A4750" w14:paraId="3EC6D0F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4281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DF9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DF05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E238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8BE6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1EDE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4E04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18EE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8564E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7D4F9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634FA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F2FC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D7382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92FB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D2BF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F8AF9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75FB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501C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5213F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16 013 515,50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D3D4D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6 185 157,51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9A646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8 883 322,57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0B83A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105</w:t>
            </w:r>
          </w:p>
        </w:tc>
      </w:tr>
      <w:tr w:rsidR="001A4750" w14:paraId="3D93A9D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4BAD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4E1D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C59D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29FC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CCF6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06CF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4A5F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3B14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9674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03A2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8FBC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5124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EE40A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3270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017D7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36F06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B2A0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C8EC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3308B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15 401 442,55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E1293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8 714 422,62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F63FA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7 773 706,06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F3BC8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88</w:t>
            </w:r>
          </w:p>
        </w:tc>
      </w:tr>
      <w:tr w:rsidR="001A4750" w14:paraId="370B6AB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E72B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4F5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C850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CB12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9B21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6C64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6AAA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276E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C585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A32B8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C9B7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A1EF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7BD9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4BA3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D9D6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03496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246E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AE37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8692E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2 841 672,71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BFA46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2 841 672,71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12EBA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5,85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E6E5D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2AF4E3A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0944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A4E6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23DB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96B1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263A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9C37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F7A9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281F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3A769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E4DA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AC75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2C16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7037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05A5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BCC24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761DE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66B1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B20A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3E31A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2 354 366,55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0489F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2 341 701,51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2CE96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2 137 179,90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03AC4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w:t>
            </w:r>
          </w:p>
        </w:tc>
      </w:tr>
      <w:tr w:rsidR="001A4750" w14:paraId="1A4C387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CF53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BFF5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2AE0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EDCA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8B74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FD1B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20BB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BB70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D961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7D95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DC7B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866B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E242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1A6CC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CB85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BA3D1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C7AC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26D8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3F3B1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5 885 790,72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CAC2E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5 885 790,72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A4518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D80BD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32222E6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1EE7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A4E5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0B40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A769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858D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A301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742F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4932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163E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55E1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AECD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0BE0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BE20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03F4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C6EE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B75EF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C3F1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0AAF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FE119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7 288 535,25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F48A8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7 256 751,49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72D58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5 554 754,61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7755C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46A3BFB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5BC6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DAA0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568C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6AD3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2F3B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168D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33DA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49E6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1EACB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D53EE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DBDE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EF89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7818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4D004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10B4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E2E31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2FBF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C8F3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3D315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6 088 082,32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9A05A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5 988 679,05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D8DDD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5 639 397,40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C2938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w:t>
            </w:r>
          </w:p>
        </w:tc>
      </w:tr>
      <w:tr w:rsidR="001A4750" w14:paraId="274D63D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FEEF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4366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CA43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8769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D42E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16DC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2482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B5DF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546A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87072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2AE5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BF840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38D9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EDD5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2355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9ABC1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2DB9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2FA8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59393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11 299 188,78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F3D9C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11 343 234,31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F5899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3 459 455,98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AB725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w:t>
            </w:r>
          </w:p>
        </w:tc>
      </w:tr>
      <w:tr w:rsidR="001A4750" w14:paraId="15BEBE5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FB33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ECCE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B2F6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AB46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B279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E2D6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568F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CCCB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A7631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9113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9ED9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09E90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3C6A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BBB3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EAE11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C9956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767C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989E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F4704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4 161 393,03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85256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4 161 393,03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F965D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1 956 894,59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C4DF7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w:t>
            </w:r>
          </w:p>
        </w:tc>
      </w:tr>
      <w:tr w:rsidR="001A4750" w14:paraId="4234C34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97DF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5B77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075B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5BBA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0AAC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9134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A98F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F685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7E6D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391C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01B18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03E2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0F88E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033F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A47B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32482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07B8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3CB0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495ED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11 876 771,66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C7AFF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11 530 691,79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B5DB5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4 992 101,92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AB645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64</w:t>
            </w:r>
          </w:p>
        </w:tc>
      </w:tr>
      <w:tr w:rsidR="001A4750" w14:paraId="16ABD6C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356A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451C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70C6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8052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F152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F4F3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21C0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DBBB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B0CE9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F303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ED38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AB26F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03947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62BFC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63A0B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185BA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80D5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944C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43498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1 305 124,51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69B36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1 305 117,88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13BEE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787 158,83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8F408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w:t>
            </w:r>
          </w:p>
        </w:tc>
      </w:tr>
      <w:tr w:rsidR="001A4750" w14:paraId="4462B60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5C93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944A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03B3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0E53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94B2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7D7E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5D2A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385C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33B7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0555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BFAA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021B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D6F09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D8AE8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ABD9E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D2D4C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3A6F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CE8F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768A8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294 777,08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ADC1C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294 777,08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F09E0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111 348,14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EA5F9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4AF2C5E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EDA9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80B2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52F2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3C9A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0978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65EA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E599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4E97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262FF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0BEA3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25B3C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6F75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EFED8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7869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7801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E6182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3A62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E633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4D938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3 186 855,74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21C84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3 186 855,74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0E5AD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1 710 960,22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C093C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7A4BE5D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9F5C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AA9B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23AF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FFE9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BC3A3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1377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CCEF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1826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820C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264A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0A3BA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9EAFC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C9939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31150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0168D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1FE72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F2D3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B802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45294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3 348 772,21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4DE39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3 317 529,95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20B3F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971 318,80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A475E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w:t>
            </w:r>
          </w:p>
        </w:tc>
      </w:tr>
      <w:tr w:rsidR="001A4750" w14:paraId="41359DA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BE9C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8FF1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3D0C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13D8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625A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3EC9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D023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F931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E277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04E1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427E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ECEFF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BF5B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16FC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DC68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A7CBF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47F7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F77B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3F463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22 890,04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74DC2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22 221,39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2FBFC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1 685,50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DC304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w:t>
            </w:r>
          </w:p>
        </w:tc>
      </w:tr>
      <w:tr w:rsidR="001A4750" w14:paraId="35FA0AB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D61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CB5C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9E5C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3EAB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51B7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E971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BEAE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3051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BE08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55FBD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AC24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126C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CDA5E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62BD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FE5A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E3C81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7F9B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852C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0BB14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6 838 255,37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9C111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6 589 070,72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493AB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6 359 068,92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5F16C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w:t>
            </w:r>
          </w:p>
        </w:tc>
      </w:tr>
      <w:tr w:rsidR="001A4750" w14:paraId="73DB509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79E5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5F68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3DF3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B84D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7250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95CC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D952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3444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4612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4E9A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862D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885C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5447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5ADE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0D04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673F9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006C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4EB3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5A687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2 376 028,62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675CE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2 304 362,81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62D2B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2 194 912,26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3AB26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183A1D7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B09B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4D89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9D32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9F6D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366E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2AC4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BE29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3D35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4C80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F8EF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F9E7E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4358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A216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3B36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B1B2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08B8A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A091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0AC7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945F4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2 601 995,39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70DB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2 601 449,40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75FBC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2 596 276,91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49A48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1128BA5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896E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629E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5B93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3727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EDF0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3616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FD2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0367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B8CEC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E120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B70B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52CD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9D18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D38D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F2E1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B4C1E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7EA2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27C1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37EF5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4 747 196,95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E5EF9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4 719 033,21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26429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2 209 763,45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450B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w:t>
            </w:r>
          </w:p>
        </w:tc>
      </w:tr>
      <w:tr w:rsidR="001A4750" w14:paraId="7C51FDE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80A6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88AC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5DB5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F737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1AB3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6328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1996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AAD9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6A1A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95AC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07ECB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10FB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7EE1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AC33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4A43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156E3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323B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30D3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31935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360 458,65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EDF10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352 325,15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45835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321 830,83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CDB2D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w:t>
            </w:r>
          </w:p>
        </w:tc>
      </w:tr>
      <w:tr w:rsidR="001A4750" w14:paraId="405882E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874C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90CD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2134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F851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4DEB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5A39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6A72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AD1B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15FC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55D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4125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4EB9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1E473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A00AC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CAA5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2D89E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0F3A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490D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9E81D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2 971 003,29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E8B0D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2 924 836,13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D5BCE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1 733 105,96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BC501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w:t>
            </w:r>
          </w:p>
        </w:tc>
      </w:tr>
      <w:tr w:rsidR="001A4750" w14:paraId="40B090C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A2B2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B54F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AC8C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98F7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591A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5EE9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2546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0EC2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3BB6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D162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C0E8A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AAB4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DA63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2100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24D0E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6F341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2F22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EBD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C76A6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3 978 368,22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ABC8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3 785 052,01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2F543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79 096,89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BEC5A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w:t>
            </w:r>
          </w:p>
        </w:tc>
      </w:tr>
      <w:tr w:rsidR="001A4750" w14:paraId="715A410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AFBD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0F27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7873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E244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5FC1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8B7A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F81F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EEBA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7642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EF8A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9E3A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31AF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1AC7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63D4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D5BD7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D31A9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AFAC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78C9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CA525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1 265 102,84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C56D4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1 133 369,51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FF2EC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1 238 727,14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B2D32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w:t>
            </w:r>
          </w:p>
        </w:tc>
      </w:tr>
      <w:tr w:rsidR="001A4750" w14:paraId="07DBF28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7C8D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54A0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97BF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9413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82C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6348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D72C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D694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03C9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4C96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4629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AE6C0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73BA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D4741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6A5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B1042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F8D2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B49C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DE7E2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7 721 106,35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99D7F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7 545 211,53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FECAA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6 308 147,99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B0B9F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w:t>
            </w:r>
          </w:p>
        </w:tc>
      </w:tr>
      <w:tr w:rsidR="001A4750" w14:paraId="4E8FA13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F41A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9C46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5116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D9CF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096D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B670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F614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868B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181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F64A0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8237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88840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3E31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0A3C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BA14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A6AC2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26CE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C619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CEF01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1 255 158,02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DC9EB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1 228 273,07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C15A2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795 305,36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AB455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w:t>
            </w:r>
          </w:p>
        </w:tc>
      </w:tr>
      <w:tr w:rsidR="001A4750" w14:paraId="5143F2B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27FA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CC17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BC00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73D2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6171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433C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68A1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18EC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377C9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B497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22559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3A5A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B44F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500B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C41D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9E522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C19F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0AC7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8B47F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623 490,72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53CEA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571 710,80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2CB2D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527 541,34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D6B75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40</w:t>
            </w:r>
          </w:p>
        </w:tc>
      </w:tr>
      <w:tr w:rsidR="001A4750" w14:paraId="2249CD2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C287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C40F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97A03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EB83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1349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EA63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ED0D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1C42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40B64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9D613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A64C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CDB6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D977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CE582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1826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9B629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220F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C02B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3E7FF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6 542 595,70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BFB57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6 387 851,27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A2745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5 130 039,10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5732E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35</w:t>
            </w:r>
          </w:p>
        </w:tc>
      </w:tr>
      <w:tr w:rsidR="001A4750" w14:paraId="7C95ADA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50DC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258B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5848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E382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1D63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7020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9449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C8DC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BF21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85EA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7F23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763FE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7F76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F52C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AFE30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A5517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333E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FE74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BCCE4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9 254 637,10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42360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9 234 257,05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1FD29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1 985 762,87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DF6E4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w:t>
            </w:r>
          </w:p>
        </w:tc>
      </w:tr>
      <w:tr w:rsidR="001A4750" w14:paraId="4629544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3475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811D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6656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0037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4D7B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7ADA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3008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D097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4EBA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5EEC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92B7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981C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996F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52D5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D738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A400A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B9FF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8137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49641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1 600 560,44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92A14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1 600 560,44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41D41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1 541 069,26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736CF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23</w:t>
            </w:r>
          </w:p>
        </w:tc>
      </w:tr>
      <w:tr w:rsidR="001A4750" w14:paraId="56D2A76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92A8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5B8F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9008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B4A2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D95F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34F3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62F9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083E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6363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F4435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C8F3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4438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46C3A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CD25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32E9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30E4E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C9DB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02A4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68498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3 236 002,80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DA377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3 060 042,84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8E54C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618 409,17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58196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7867122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6E17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7D03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FB34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0C14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70FC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8F7A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6A72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BBDF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7C21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1B407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8413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F991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543F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2545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F1009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B0325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870D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14BA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3A0D3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266 972,28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19699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266 972,28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F3CC4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154 786,78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F6E4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4BDC81C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314D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8531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D6BA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BFE0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1B60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44BC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FD1F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A2C8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F4F8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EA7B2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8485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11C1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4718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7264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8EB0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27266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F92C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22EC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D55B3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3 127 281,81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19B87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3 127 281,81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C71CA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2 774 596,76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A20D1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w:t>
            </w:r>
          </w:p>
        </w:tc>
      </w:tr>
      <w:tr w:rsidR="001A4750" w14:paraId="35F1D9E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6B43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1006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E5E1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190D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2012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6E9B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4554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C337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3F90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9D3BD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0CC95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9612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50ECA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92A9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7B1C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FE93A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7288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E641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777CD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1 059 037,25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FDFBE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1 059 037,25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B4DF8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439 005,81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EFEA0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6E799B0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4202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5C86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B0DE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5016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7E7E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CDE6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FF2D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7706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3C77D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DC9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B8D4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BA1CA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EA48A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F2E1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B63EE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9770B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CD00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9A8D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4522C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3 813 842,61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543BA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3 755 386,50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807BB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2 724 584,64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15CD8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23</w:t>
            </w:r>
          </w:p>
        </w:tc>
      </w:tr>
      <w:tr w:rsidR="001A4750" w14:paraId="262AF2F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3DAB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F935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900F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B7E1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468B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68A6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B8AD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D4A1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3AC4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9441A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A8508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2549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89DE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1E39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A1D6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B4811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C814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B853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582F7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12 825 312,59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218BB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12 730 159,51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FAFBF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5 927 735,12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A1544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80</w:t>
            </w:r>
          </w:p>
        </w:tc>
      </w:tr>
      <w:tr w:rsidR="001A4750" w14:paraId="7762765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B70E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C53C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A9D5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803D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D124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911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B3C4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7974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7236A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A886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448A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4354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CD58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DB94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CDEAD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B6E67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B42B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E5CC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D9843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2 894 575,05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B34C4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2 894 575,05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8296D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2 494 135,05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E1756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6C12025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63CE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F933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3E40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3DD5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2910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6016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4EE4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97B6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4251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3305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62E0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39AC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8D7FA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66E1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DF9E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DEA9C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2500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97D9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827F0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58 867,77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4FB98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58 708,34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8C902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57 381,22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82555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624B55B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F196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2202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C84E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668A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D4C6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DD5D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6B36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0E48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0679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7B71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BB7F8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1712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31E4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294F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D2A9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B928F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6531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313D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08BA0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81 868,50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D5E52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81 868,50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C5DD9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39 056,56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D1E50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5E023A9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234A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F6C3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AB38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9B7A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CA7C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07C7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8767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919D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4D82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9419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B47A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DEEB1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EEA20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CA04D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2864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B69F7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1161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E910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1BDCE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1 847 359,72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F6AF3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1 847 359,72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AC78E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261 068,70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A7A21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6F8416B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8DFA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D8D6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A0AB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E4C0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A9F7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7DD0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A338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C4CF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64D2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E0C97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9EAE0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8738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9A1C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3AF4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BE16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6CC18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4A41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B6E8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FCC14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925 009,85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90836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925 009,85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0F18B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817 346,07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33BA7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06241A7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67E4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A9D5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6C09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B6AD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19B5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4A1B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1F4E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0371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36FD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9C4E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791DE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7C5E1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325CE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235E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EFA72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ED8D1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499A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BF75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105D5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18 616 991,81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DA4AE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18 548 530,88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78F1B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10 078 226,01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DDB2E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48</w:t>
            </w:r>
          </w:p>
        </w:tc>
      </w:tr>
      <w:tr w:rsidR="001A4750" w14:paraId="6FD0B4A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17E7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1CC4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A78B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ADA5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B048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D555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3B2C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2859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0C41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4869C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0E8F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9E08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BBAE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24CF3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2F13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10D15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3CE0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8661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48870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11 976 003,32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71DEA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11 870 278,66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894B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8 753 189,32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ED688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44</w:t>
            </w:r>
          </w:p>
        </w:tc>
      </w:tr>
      <w:tr w:rsidR="001A4750" w14:paraId="4B9617D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027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E119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9F23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2A4B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A6BD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B4A5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4CF2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F818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512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2286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9AD0B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4535A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28EE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5B87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7688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54627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519F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66CD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EAFB3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2 583 819,93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B45E7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2 582 264,94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9A0F2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1 885 821,07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44C71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w:t>
            </w:r>
          </w:p>
        </w:tc>
      </w:tr>
      <w:tr w:rsidR="001A4750" w14:paraId="7C480F7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1C86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67FF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AEA6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44AD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B659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8E65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DAB1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CE0A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77FFE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A0B5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6F443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9908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E2AB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EC12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90F4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F7489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A7AC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8541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3AD85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2 183 323,70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8ABDF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2 174 616,63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A6EC0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1 502 324,50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B9719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w:t>
            </w:r>
          </w:p>
        </w:tc>
      </w:tr>
      <w:tr w:rsidR="001A4750" w14:paraId="468DD87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861E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6003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7961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96D1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EAC9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3E69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5BE3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226F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20F0F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C820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9944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EB14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73EE4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89FC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9A57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08931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0079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4320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430DC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4 417 605,16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74F42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4 396 773,39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C8042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3 570 560,37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53AFD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w:t>
            </w:r>
          </w:p>
        </w:tc>
      </w:tr>
      <w:tr w:rsidR="001A4750" w14:paraId="71ACD0F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B750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9C4D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5C0F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D824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EF30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2B2E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961E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1745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D315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FCDC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A2CA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39A1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F999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7002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2C00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11A6A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326E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C4AE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61E52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6 410 363,57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1BC7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6 397 672,50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C75E2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4 898 138,10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74820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5DE81A5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D92A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3ADF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AB16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843D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327F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4DBC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4FE0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658A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892E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B6F4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CA8F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E550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5F72E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C83F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35BF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00138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F9D1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F447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66DE6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16 702 203,84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6EC90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16 672 583,99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238AA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7 747 656,35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8C0D5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35</w:t>
            </w:r>
          </w:p>
        </w:tc>
      </w:tr>
      <w:tr w:rsidR="001A4750" w14:paraId="4319CA4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4873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8A5A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ADE3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05BD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4284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D690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609E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B46B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83619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44F5C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95345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06138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26CE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D926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A32EA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40F6C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475E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05D4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A4E2D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13 234 005,55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9F566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13 234 005,55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C38B4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7 548 765,06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C23FE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w:t>
            </w:r>
          </w:p>
        </w:tc>
      </w:tr>
      <w:tr w:rsidR="001A4750" w14:paraId="17BE437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728F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FA6B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08F4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92C5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C046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5308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6E39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B162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1D098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02E3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D2D19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C0C6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8C4BE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48E59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9C91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7FCAF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990C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70A8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FBB13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21 930 857,23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AC94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21 565 926,69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99508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18 664 260,20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B36F3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41</w:t>
            </w:r>
          </w:p>
        </w:tc>
      </w:tr>
      <w:tr w:rsidR="001A4750" w14:paraId="5E9DC11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2FB0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800C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7BBB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C8B5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A5E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272B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CB64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C9DA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D33E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1C18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D3C10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A111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2DBFB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20260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6063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C457D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69B7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9F7A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198AB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11 318 745,10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EBEB2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11 318 745,10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A8C1B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7 877 005,88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D143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w:t>
            </w:r>
          </w:p>
        </w:tc>
      </w:tr>
      <w:tr w:rsidR="001A4750" w14:paraId="202B834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06AA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B8EA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19A8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6F2E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4587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7C70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F7C3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1A52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CEBC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345A4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7803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30D7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C5BF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49B2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55F43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87EC1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798B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F3D4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353E4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6 646 865,56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A3587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6 529 826,84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851D2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3 868 504,12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BB3D4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34</w:t>
            </w:r>
          </w:p>
        </w:tc>
      </w:tr>
      <w:tr w:rsidR="001A4750" w14:paraId="3FDD865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58C9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3D24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9DB1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BF1C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BAE0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4174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3021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77D2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E325D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30547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2466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6C6D0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A03B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0A202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817C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9E64B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8ADE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7E38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3D6C1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12 685 980,53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68771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12 635 302,65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AE555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5 278 457,18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0C170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56</w:t>
            </w:r>
          </w:p>
        </w:tc>
      </w:tr>
      <w:tr w:rsidR="001A4750" w14:paraId="264029F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77CD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0F2C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2FD1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94C5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5AD1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30D2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0BA8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3E83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4BCE4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35C5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F2FA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7E32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61E2C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45E2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07A7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DBE7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7076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81F1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0A093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18 165 856,82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0F8BD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17 612 874,23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74BEC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11 700 905,65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C8967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56</w:t>
            </w:r>
          </w:p>
        </w:tc>
      </w:tr>
      <w:tr w:rsidR="001A4750" w14:paraId="74F357D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96DC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92E0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ABCF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4F2E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B424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E058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BA07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C58C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9AD9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A4D8E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2161F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B92BD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D36D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0BBAC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0863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EEE89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5EEE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E173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1D979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6 170 527,20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4D6D3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6 170 527,20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63F6B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1 410 282,54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FD214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w:t>
            </w:r>
          </w:p>
        </w:tc>
      </w:tr>
      <w:tr w:rsidR="001A4750" w14:paraId="17AC0C3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7CEC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937D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40C7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21E8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D458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64EC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D365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F99E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4420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AD03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6516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0F23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C4018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7B95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363E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06309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8406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03B6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6C542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9 846 071,28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E49D3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9 846 071,28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70A41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7 989 931,14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54076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w:t>
            </w:r>
          </w:p>
        </w:tc>
      </w:tr>
      <w:tr w:rsidR="001A4750" w14:paraId="333190A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5CD2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1586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DA73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8DEB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8B1D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0A26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66D6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2D89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1162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0CF46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0969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31F7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EED9C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24BF4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CB759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6AF76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A2D4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C701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9F5A8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1 429 709,07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60751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1 429 709,07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77AAF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1 429 709,07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E7DDB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5D25701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87CC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AF10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10BB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0373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6A90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2C2A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5565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301F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2ACA2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9A7BC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8B8F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049F0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5518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98A0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4DEC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6E325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8EFA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1C47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F6881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210 477,43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CFEF3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210 477,43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19CDE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210 477,41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FDE42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8F6F6B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4A4C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5511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9F69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A23F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5C08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AD2C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9394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BCE2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45A2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73B98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A183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3052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C84D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5801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4A9C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5BD71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5898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D4CC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B625C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1 385 033,66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D38CD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1 385 033,66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CE2C1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12 382,94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7EDD2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343FF41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6474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E087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C1D7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6515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EEE8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4E62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2AE1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2B26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659BF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1C3A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FC30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DFE0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BEEB7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5BFE6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3BD5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06FD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8017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1535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A9943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12 142 104,96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A827B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12 119 989,22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08B5F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8 321 868,48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39320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34</w:t>
            </w:r>
          </w:p>
        </w:tc>
      </w:tr>
      <w:tr w:rsidR="001A4750" w14:paraId="665667C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847B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936E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087C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9246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B084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DF77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03FD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1515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D720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12EFB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83B1C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48C9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5EB7D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BF36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A546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87329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ADC3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2444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545A6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4 953 802,16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1C198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4 851 897,76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0C7A5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2 283 615,91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BEC9F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34</w:t>
            </w:r>
          </w:p>
        </w:tc>
      </w:tr>
      <w:tr w:rsidR="001A4750" w14:paraId="743E0E0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D780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7048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A23C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E928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492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658B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A294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227D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3040D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351D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AF12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56A6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3B46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0A22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D21E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D83A0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3726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BFEA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9066C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1 682 286,11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C2E52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1 678 311,20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DF2B9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1 469 028,85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973E4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4AC8343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AC03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1F3A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0852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4843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4065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7BC5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4E90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0BFA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9941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6E0D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16B9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C97C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B881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4536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58CE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F2467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870E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4F2C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5AED2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1 836 651,72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48F4F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1 802 104,91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EA94F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975 758,18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620E3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w:t>
            </w:r>
          </w:p>
        </w:tc>
      </w:tr>
      <w:tr w:rsidR="001A4750" w14:paraId="365DC3E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86F7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E3B9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4ED2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DE77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91A33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308F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F5D6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3F98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BBC8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18535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41F44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44C65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7AF3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CAC03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3DDC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4F226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E725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A305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0BE89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1 992 817,15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E6F25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1 992 817,15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EC262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80C6F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7ECEC6A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323E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A3FB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FA50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F96F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2DFA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FAD9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7B72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D5BC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9CC9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FDEBB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49A3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0016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6E76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B36BC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3A54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C3278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D186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217F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1398B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25 813 943,01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D6AEE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25 624 894,70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FF8DA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8 897 153,06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EA4E6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48</w:t>
            </w:r>
          </w:p>
        </w:tc>
      </w:tr>
      <w:tr w:rsidR="001A4750" w14:paraId="2BB389B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A874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91C4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1DFC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651F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807D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5A21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8EC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5333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F1FC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77D66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6958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6B94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3A1D8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8A9B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6C37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98AAF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E3C4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FC55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70606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26 189 445,54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2E7DD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26 095 647,53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9DC28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18 996 563,58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3D460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54</w:t>
            </w:r>
          </w:p>
        </w:tc>
      </w:tr>
      <w:tr w:rsidR="001A4750" w14:paraId="37A4027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B683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D045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09FD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3CF3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5BF5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ECED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6F7A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C41A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2CD3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B483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3034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5E9A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4B1DC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C2540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1D75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3AC98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51E8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5CF9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DBCAF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9 540 204,27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05183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9 489 905,17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7E538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3 477 014,03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56CA8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w:t>
            </w:r>
          </w:p>
        </w:tc>
      </w:tr>
      <w:tr w:rsidR="001A4750" w14:paraId="4E869AE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FE96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E9F4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4B42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52EF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C5D7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F0B4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3F43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0200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E67DC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75626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4D4BD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63F8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3225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C496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DFD4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EFAA8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6CB1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DB28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AC7EB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2 712 569,22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85839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2 649 981,79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1583A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738 680,87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67A08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w:t>
            </w:r>
          </w:p>
        </w:tc>
      </w:tr>
      <w:tr w:rsidR="001A4750" w14:paraId="48FCF4D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F2A3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7C4B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6588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263D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1CD8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B904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F0AD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2D9F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490D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A74E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89E02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6957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44B0E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435D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63A10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24294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5096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A6F9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B16A8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13 135 565,77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5034E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13 106 336,30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0956E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8 376 041,03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58D55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w:t>
            </w:r>
          </w:p>
        </w:tc>
      </w:tr>
      <w:tr w:rsidR="001A4750" w14:paraId="5EB3978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4AE4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2D0C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4054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F1EC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FE33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FCE0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2FAC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0437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C358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19E3B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413C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C9E2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F4C3A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0302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8CC6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96E62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08EC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6E14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0DB67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22 704 774,84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1F0EE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22 695 287,32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8AF1E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16 283 376,79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6F2A3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w:t>
            </w:r>
          </w:p>
        </w:tc>
      </w:tr>
      <w:tr w:rsidR="001A4750" w14:paraId="27A52AB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CA34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48F2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9233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D959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3FAF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35ED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D2F2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A51A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0607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6BF5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A402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F29E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A83D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57290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CEBA2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C9441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46D8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E73A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C4F4B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22 509 173,87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EC258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22 062 641,78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69B11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12 148 476,20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BADC5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31</w:t>
            </w:r>
          </w:p>
        </w:tc>
      </w:tr>
      <w:tr w:rsidR="001A4750" w14:paraId="59B8599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6562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8C8A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A448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7B84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98A7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61C5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F074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BB85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C54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4BB21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FB4D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D751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4E425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5491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6FD8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D307F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E657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B55E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F41D1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13 009 508,50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0CDC9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12 973 822,24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78440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8 890 804,44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D6CE6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712DB60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520D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E8A6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39F0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DF12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C8E9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C29E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3D30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811E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72B9C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4D94B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4EAA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0082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8BA27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E3AD1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73C4E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56070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5825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A871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04BD6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22 080 873,24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E4256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21 816 144,65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7B2D8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8 706 285,91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8EFA8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w:t>
            </w:r>
          </w:p>
        </w:tc>
      </w:tr>
      <w:tr w:rsidR="001A4750" w14:paraId="6861FE6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AD12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9EDD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A653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107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F1E5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EEE6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06A3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B717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164A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23F5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83422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8EBA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9B474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0A21A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BA83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5E171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A80D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0A24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34E40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32 340 454,83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1D1E7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32 305 907,45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27667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21 150 858,46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93DBB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51</w:t>
            </w:r>
          </w:p>
        </w:tc>
      </w:tr>
      <w:tr w:rsidR="001A4750" w14:paraId="2C96D60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69DB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1DA4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45AA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9E26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4004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0B1A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F5FF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544B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DE0D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B517D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604A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160D1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007B2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824F0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1FA0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5E502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35E4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937C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229D9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20 924 219,28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038E4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20 830 490,84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71CE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8 358 216,23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9BB5B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42</w:t>
            </w:r>
          </w:p>
        </w:tc>
      </w:tr>
      <w:tr w:rsidR="001A4750" w14:paraId="26D5A83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9D3B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058A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8EB4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B606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15B2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7626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CAE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9F6C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0B2FA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30C7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72C5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065F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9CBBF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E474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66CC1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B165D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9C42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9F6E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4CD2F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27 172 152,85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453D9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26 605 900,43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57D19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18 076 099,73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109FF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58</w:t>
            </w:r>
          </w:p>
        </w:tc>
      </w:tr>
      <w:tr w:rsidR="001A4750" w14:paraId="3079B2C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A305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179A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8963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AFD3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4DE6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96F6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72D8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EACC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C0A3A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521D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3BB7B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03DB0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F62C1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06C0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2067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341A1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DA1B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4BD5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4E4AA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12 595 487,68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932DC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12 125 962,18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510DB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8 868 056,46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87A96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w:t>
            </w:r>
          </w:p>
        </w:tc>
      </w:tr>
      <w:tr w:rsidR="001A4750" w14:paraId="02C8073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CD1D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F7EF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B0CA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51C6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2EA6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A6A6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47EC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5A6A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AC79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B6E9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289B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E293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334F1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6D6F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6C01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736E7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6240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4A69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B47F7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5 042 866,84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8AA91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5 042 866,84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8574F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3 954 057,05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E484D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4801603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C89E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6D85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AC4E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5CA0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989C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A72A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0A45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0FDC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8362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5FB0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FAF22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29AC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D4F3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9426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9439B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76C17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E92E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A216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4C57A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851 418,66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CC01C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851 369,38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6D142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756 135,87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AABC2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3B20A64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D5DA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39BD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187B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4569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DD37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9B80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E2F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6B04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9DAEE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4C2EB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A8BE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A4120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545D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8E12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5CF3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F4D3E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721D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D94C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61A76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2 843 297,79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5F215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2 843 297,79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8EA5B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2 007 381,52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7AC7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78B185A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96CE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80AC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5D30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15A8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FD20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DE2B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29AF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4E61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FD508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06CC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E77BF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8C83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8AC5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C227E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8175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7FCC8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D5E7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1D1E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286B9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2 579 457,97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B5790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2 579 457,97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F1835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1 942 187,27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49AE5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62C84F5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627B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1CE0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E44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CFA9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9AFF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4D0E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2168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B418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2934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C8BC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01BE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EB98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427F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1DB5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76C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677CD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2C5B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B98E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9A83D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1 366 933,59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C042B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1 366 933,59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CD4DF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1 366 933,59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35AA0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0454E13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99A2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0BB5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46E4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BDC2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D552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D962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9DC2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46F2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C7D7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AF35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A85CA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F6D7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BAB2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6453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E48D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21AB3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B18B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3A2F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4FD20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1 351 969,20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393D9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1 321 093,36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FBDA8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151 522,19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FAB09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23A6712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504D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BFB7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E67D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5645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C7BE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DE22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CEAA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68B6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3C73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3599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4F01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EEA64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6D989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844F9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EE598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ED6BA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48D1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A356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3CCBC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329 364,28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622F4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312 970,31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BC105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327 879,52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CC460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534CCCB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4EAD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6399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023A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8C02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4A5C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CB51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FF7B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335F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D57A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D820A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692D0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F19C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1FA2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B34C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8155C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C43FA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CAE8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4FC3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109B9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31 664,10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2E51E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31 664,10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09583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8A50D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017FAB5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560B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118A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02F3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41AD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9EB9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4B98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3510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B40A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11E7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E34A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9E3B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58EF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DB68C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4EC0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2E84A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A4483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7289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0708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CFAB3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4 256 552,13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E80C8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4 115 443,56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36B0E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3 464 816,27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2D576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49C149F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DD12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0986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6DB7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17BE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E816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BA99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9250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3098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5D6D1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2F52E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8BC3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D7FB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CD2E2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7102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7A1BB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869AF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F4D5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B8C1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D89FE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2 181 300,01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7C8EE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2 181 300,01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842B0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266 613,37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72D0C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3AD2B50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3EC4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FE5D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6322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2C8C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0BBA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018A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357A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ACB0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F14B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E980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ECFDD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D30D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BAC7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84D3C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BCE4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9B2FC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84CF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2650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DEF63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420 190,18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97647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399 232,99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F6A2B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419 942,85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CE279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37F8B52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76FB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89D5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D8F6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6D7E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8D6F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E8C5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007D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D8F5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4372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85E1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2206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54E1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5438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0514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F02B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CB0F8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1FC9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8B69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4BAD3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2 444 800,95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40D53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2 444 800,95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41A98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1273F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6F991E8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4AB0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575B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6744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AD00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F155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756C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CD21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018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1229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CF3D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666AA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173C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862E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A1345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61A7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508A1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CE34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C989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9AB9F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1 044,63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DE270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1 019,86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8D1F9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011BE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11F4AC5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35DD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869A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E035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61DB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3141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AFDC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B02B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83FE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CE9BC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3BD6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A47E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8B5E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AE55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06233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82EC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B5B2F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FC1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05A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58748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2 944 971,15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B8D4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2 931 606,79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E6B62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2 522 908,94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E6D13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6333E78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83F6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9BDE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C264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8C2D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B4FA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0AAA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3882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EC47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7261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24D61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35DAE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1C23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8877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4ECEA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59E5A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CD335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3705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E137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08F37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3 080 907,14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6FFF1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2 618 771,06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9A8C8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1 537 421,88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0E934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7749386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45E1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E747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A65F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B298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9894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81B5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11E6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C8AA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34EF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DA2D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FD9C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57FE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BFF12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940E7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FC7B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12DAB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5C88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DE12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6B51A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1 214 442,02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28A50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1 120 487,99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4FC5D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863 360,51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65FA8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350EC6C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05B1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66B7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9AEA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1DE0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38A6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658B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964E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3ECC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47A0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D695C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3E0A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185F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278D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742A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A0901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C44D5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D903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770C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1A3B9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8 108 820,20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6BE5D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8 108 820,20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5D63E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4 345 178,54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CED6A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396B6B9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EC73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197E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1BA5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B775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308F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FB05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1526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6350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1A83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3FBE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8471D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10D6A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083E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51BE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1117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BFC50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F729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0808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3A16B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1 214 958,35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8782D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1 114 188,41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B360B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527 114,76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9190C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1AC4B0F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0B8F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8CB6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4161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37FD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0E11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CEC7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C8A9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244D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B123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9D0E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325A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BD37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08B7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7D011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9F6A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C1E13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E9AE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E20F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7F8F7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3 734 730,68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F0C6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3 710 700,66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7D007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2 096 320,06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880F6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45F7E14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C61B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1105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10AF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1B31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550A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7856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ABBC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5B40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C19F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0D2E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B517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4090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04AED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B4204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48450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8BE3B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ABF8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585F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46E66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1 592 480,04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02070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1 592 480,04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D5BE2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193 950,66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EC2FE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015D2C3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8957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E133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7464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2DC9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8B36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BDBD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098D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7838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0F121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3632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398E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21D3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BD243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21EA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37B3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DF9CE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923D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5CA7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A2D1A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24 313 642,53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51504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24 250 583,13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827E0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10 397 439,18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28B2B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w:t>
            </w:r>
          </w:p>
        </w:tc>
      </w:tr>
      <w:tr w:rsidR="001A4750" w14:paraId="23FA955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7504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2C45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825A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E05B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252E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6F1A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6776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3A90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B524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40848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294E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B7DF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08EE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B2BE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4232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9B0CB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4498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9F6C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0D27F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1 521 478,91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C2219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1 521 360,37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8E896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1 054 372,31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3AD49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40ADC2B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3F5D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EA5B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C962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CD6D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ECE5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2EB6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137E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F3B9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1919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E74E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C31F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905F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AA0D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E226A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F1D94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29D90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78BA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9817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DA748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2 877 117,67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B536E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2 877 117,67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094B2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2 708 797,92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944F2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3B2D2BF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14D9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D896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20FB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5FF4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459B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6563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9C5D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AA58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230F9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1AA9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133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7CBFB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D4BC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3D66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8C6B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02218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CDAF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CE0C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D2E77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333 420,16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07AF3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333 420,16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DA37D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9CD89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446AF42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FD56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E506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462B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0A27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A186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A5FE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1913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0865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3DBC9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795F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5364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43C9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9F0A7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6130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9069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25F97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DFE8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F89E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DBCD4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3 108 379,86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5ECFF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3 108 379,86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5D394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911 549,39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6A5C7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2C2F75A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24BC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6265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D36E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3DDA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EF60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5ACC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62D2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2377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9B29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CB6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FF6B1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BBBD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700B8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76E2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E20B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E9412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7559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02BE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5D9FB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1 409 364,25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C473D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1 409 364,25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9CC27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22 473,49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DD346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1870106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C28B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6E67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881D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D1A9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6202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0019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D654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69AE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4EB9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21AF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6468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0CF7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8FB9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CB65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0658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82160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944E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90BE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E0831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3 361 923,32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12906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3 361 923,32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3B9BD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2 412 442,31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62C5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12F9C5A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30F5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4C41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8C3D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15F4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5A33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749F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DC6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86A5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78B1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92F9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B4210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62F9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FA6CA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2815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D60AC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67A94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D65C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ABDF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BC7E1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3 100 650,46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3D42D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3 100 123,30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3B1FA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769 154,74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3B38A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621DE86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2131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6E0E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3B8E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C50A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28D8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FFFC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8F99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02AD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CFD44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0F462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029C4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3261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CFCA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D5A72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7B43A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DE995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AD38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6CEC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C3851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3 627 701,56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5F9E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3 627 701,56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E018D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2 855 824,22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268DE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w:t>
            </w:r>
          </w:p>
        </w:tc>
      </w:tr>
      <w:tr w:rsidR="001A4750" w14:paraId="6E09736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696D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AC8D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CE68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867D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855B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1C55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F67C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256C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CD75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136A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FABEB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72AB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254D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1186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52D5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DB870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D871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5D0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718F0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5 028 779,55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89A20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4 931 355,94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1A3C0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4 557 976,63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7D2BE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w:t>
            </w:r>
          </w:p>
        </w:tc>
      </w:tr>
      <w:tr w:rsidR="001A4750" w14:paraId="0D24273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9D7C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ADEB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3803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DEA4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52C8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F08F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BABA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83A8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E25E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5EB7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AFBA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9A20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D5D11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C30B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A813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F5B56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3C8E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3B4D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07FEB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1 355 485,11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C4347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1 216 574,76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1D554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1 182 722,61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5C75E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77B0014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012B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008B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F0E5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920B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DDC2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7F52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9E3F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FC71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8B32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1008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17FE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7BCF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E4EF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BEF5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ECB7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4A4FD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E617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E1B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064E0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5 919 752,55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EB4FB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5 839 377,75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5E35B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3 554 981,32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40D81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w:t>
            </w:r>
          </w:p>
        </w:tc>
      </w:tr>
      <w:tr w:rsidR="001A4750" w14:paraId="07A8D4D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2E60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3A03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7BA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A7BE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52FB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910D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C0DB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C390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89D0C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1AB7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F07B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C1A9A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95E0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CCCC7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CDB18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21356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0A9F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9CF2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16216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4 620 357,62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0D18E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4 620 357,62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80581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1 566 925,43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C12B5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670A61D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FB12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0E22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3F76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C2F5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5257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F45F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FFED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48AA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C7117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F521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0A529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106F9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58E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86E4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F85BE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EAE50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60AF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3ACF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37F65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1 503 776,71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F3077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1 485 391,24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72CE4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1 498 619,84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6064D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071B607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58D3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C1E6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AC93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914D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63B9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D024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082F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1BF5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B622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49B7B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1AD1F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F681D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E018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1424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B8906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89369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00BB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181D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421D9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519 133,95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75FEA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519 133,95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7FE0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506 529,81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9826F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058F6B7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5193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8C96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65BA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A827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F322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922E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12E3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A7BA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984D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F422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DB4D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40D2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E1D9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6F72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8F92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EFF8F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2F18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CB37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1AE78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1 642 396,62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3215F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1 642 396,62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8092D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1 641 405,07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8E4F9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7200776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1B26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A2B3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BB22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279E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FB8D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688E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2702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90FD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5604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F0CE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3F2D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C9BA9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082F7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119E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F3DBE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47E92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C8A5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77B2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032D7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2 684 537,93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3521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2 684 537,93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A0465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1 535 544,55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B7749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146AF68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F2A8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27D2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B2FA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437A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C305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A539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8BBC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C7E3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71AF8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66B7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9819E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279B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958C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2D54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0FD1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E4DFE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6EC1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F91C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C5644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135 584,43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A6003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135 584,43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623B4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132 352,79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8A019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1BCA503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80BD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0458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B810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67F5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38DE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C892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A44B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EBE4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9BD2C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F201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39D3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8604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6C29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8854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244CF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AA098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3B8F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F462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72811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18 407 825,95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D0287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18 392 549,89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D9C5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7 716 187,74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54D05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30</w:t>
            </w:r>
          </w:p>
        </w:tc>
      </w:tr>
      <w:tr w:rsidR="001A4750" w14:paraId="51F6FB4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72F1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97ED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7682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6CD9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ED7F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5135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7ACB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D307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D473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6F1EB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F921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89E3D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F758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0AD7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F761E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7333E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9A26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C73F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D8365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9 798 611,10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AAC03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9 790 554,78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9BDE0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7 267 067,91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A0D42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w:t>
            </w:r>
          </w:p>
        </w:tc>
      </w:tr>
      <w:tr w:rsidR="001A4750" w14:paraId="7F0852D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12FE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C126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FEA0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5A38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41A2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F3CD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1BD7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174B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C2AA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0719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5CA5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40C37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978E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4403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4AD8A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6650D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3912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7AB3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56FB5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2 532 756,31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F55F6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2 532 756,31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598C6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995 964,64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6CBFD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09A6630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5F54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36D4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8AE8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F3A7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5FC0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70B5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E335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8915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111F9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F6700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3473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415B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5CA2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D90D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D50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579E3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5E4F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2FA8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54A01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4 669 658,55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8D897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4 669 658,55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DF532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1 808 233,37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86C0F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5F27597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3106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E3FC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56E5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B87A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34B7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75E2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7F0C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195A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B29DA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57A4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60EE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A3C8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4B36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7804E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61EC2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ADC89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F558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3F7C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8EB6C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10 000 306,28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07097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10 000 306,28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023EB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2 307 604,52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2DE14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2ECD780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A04F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0936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817F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034B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65D7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FAD1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5428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ACE5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FCD50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85BF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18BC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073F3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1156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25FE2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9528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4028D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6AC4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F1DB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8591E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2 769 445,45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3C2AA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2 769 445,45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3C542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1 190 516,82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754B1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7BAAF87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83A9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12EE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45D7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5C5B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39F1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DF9C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71FC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DE94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040F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D970E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CDB1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11722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54B48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9E9D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FF892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3E836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43CA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AF1B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CA550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5 057 472,65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2CA0F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5 057 472,65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272E9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3 053 723,64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3440E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5326F20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0BEF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EF4F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D05B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4CFA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4582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A639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08BE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9203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A9EB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CAE6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0C3FF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FFC33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F134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6F681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F88A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E261A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C9A5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D66B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E933D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11 957 942,59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760EA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11 940 804,68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1BFC5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5 647 040,45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ABBAB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w:t>
            </w:r>
          </w:p>
        </w:tc>
      </w:tr>
      <w:tr w:rsidR="001A4750" w14:paraId="4F77B82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1F87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8ECF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C4FA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D477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EE15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C83D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E1EA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F7E4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0E7B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AA857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CF11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D4C6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D39E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62EA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C1ACE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14273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3038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F54F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FAFE5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18 648 979,43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FC401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18 648 979,43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32E50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6 755 896,54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892C5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30</w:t>
            </w:r>
          </w:p>
        </w:tc>
      </w:tr>
      <w:tr w:rsidR="001A4750" w14:paraId="4E06346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DFF4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A363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20B3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8897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385E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A039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BA2D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6E5A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8B78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8BF4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31ED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7A32B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F791A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9ACBD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89F4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6A629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54B2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636A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0BD53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12 882 805,98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FF2AB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12 642 029,53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17A8B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7 367 845,91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B071B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w:t>
            </w:r>
          </w:p>
        </w:tc>
      </w:tr>
      <w:tr w:rsidR="001A4750" w14:paraId="7A52742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15D1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18B2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9453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600A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8997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78BB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CAE6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FC43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AA3B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AF72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D5A09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7E655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02CC7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6BCA5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3EAA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23897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5EA5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0A98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8B9AE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4 612 760,59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C2CB3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4 612 760,59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FBC0E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1 928 366,47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23F3F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667B3AE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4037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905A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FB85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2F85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18CE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B34E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E726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B8E4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15A8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FE50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54FF7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DA68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D98E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34475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A1665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E0D97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04C3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CF50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5D26B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7 751 427,54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A40A4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7 579 932,77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2C56E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1 878 299,08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0E024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w:t>
            </w:r>
          </w:p>
        </w:tc>
      </w:tr>
      <w:tr w:rsidR="001A4750" w14:paraId="1ECAA46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8ED4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6A02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F8DF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9CC0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98B6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952D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FEF13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79D9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A6489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3CD4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BE87E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70D1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3095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E73D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382F9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86629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81E1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BC60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CEEB7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19 919 204,22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2CDDE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19 919 204,22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4A73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2 495 172,38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3C4FB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0FC8B77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12C2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CF32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C334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C0AB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85C0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41FC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2ED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0C8F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E70DF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1037A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345AA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86E0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5CD0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3BD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6F7B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CF289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54DE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D797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DED02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3 216 955,01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E505C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2 734 667,09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1C267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2 890 615,30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FCAEC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1C8B0C3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3347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4B73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966E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083D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3185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DAB5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7C2A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7AF5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3707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2DB9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2705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15E0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57A7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BC15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87B4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21AFB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5DB0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4CF0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6B96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15 886 808,53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F2A6F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13 503 787,25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FD0F3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13 662 220,79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3D08E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616FCC5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6057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03C2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3A58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5A81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2CAA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A615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A5BD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52CC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8C90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8477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753D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8829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D48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B8B7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60DE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46DC4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7C8E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6C98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12612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22 539 689,18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26BA2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22 525 812,13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BFB2C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6 120 308,77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3B0D0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65258C0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FEF6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4A39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81E2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CEA1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074A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C595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0A88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14FB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FD9F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CC4AA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58F6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E46DE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59D3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1C32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BAFDB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A523E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5E88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A159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EECE0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3 871 377,97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62E30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3 290 671,28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AD0A9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3 742 135,40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7D1F4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1F0022D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79F3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806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AAA0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DC0B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BD34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95DB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1FA0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4BB7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D9E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6AAD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A0D9C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CFD3E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02181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641B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8981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33083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CE45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3DAF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78AB3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7 869 481,22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4D916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6 689 059,03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D02B9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1 345 636,47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25B79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w:t>
            </w:r>
          </w:p>
        </w:tc>
      </w:tr>
      <w:tr w:rsidR="001A4750" w14:paraId="6092F38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45AB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C7F2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BAB9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7210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FC13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7737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99FB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5805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DF30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61844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1C0E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6810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4D8B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F1D7B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ED1FA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3D9D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27F3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A598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D75DA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9 972 117,02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31C27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8 476 299,45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FF0CE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5 955 684,70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9FBFE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61524A3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94D1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386D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CDF9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DC4C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6309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66D1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74F3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A33C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4F2B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42C40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6808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1838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38BC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A2A3B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6F0A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E28B5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0950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5EE6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BA971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9 488 056,38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42859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9 488 056,38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0B31C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6 854 435,48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8206F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79374CA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F5C5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AA39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5D6E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76CF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FE61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DD2A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B44B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D3FA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3B3F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0A8BC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A082D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C86B7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D07E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83FB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61ACB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2ADB9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3803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F113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95770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24 884 481,11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04603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21 151 808,95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ED31C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3 273 188,09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9B271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w:t>
            </w:r>
          </w:p>
        </w:tc>
      </w:tr>
      <w:tr w:rsidR="001A4750" w14:paraId="73473C1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83D4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741B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4B6C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80B6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EE33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47A3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A3C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EF6D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574D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5044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66A7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3BEF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6DE4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F04F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3789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A2A8C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3193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026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03535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2 351 460,32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A167A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2 351 460,32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12683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5 090,22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347A5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7FFFBC8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D842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8778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1C4D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D1EC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7D82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1374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7BFA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33E2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32F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A333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0808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3A46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FCF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8F41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CC8A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F7616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616E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C913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FE7A6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41 866 593,15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ABE5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41 866 593,15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54483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14 578 455,76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62A27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w:t>
            </w:r>
          </w:p>
        </w:tc>
      </w:tr>
      <w:tr w:rsidR="001A4750" w14:paraId="7F98D06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F110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0DA0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E514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41D4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8CEF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D08C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AA61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7D10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E756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EB88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DFE4A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547C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35D7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A6D53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4F2F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D2672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CD3D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C235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81204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8 889 082,92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C029B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8 886 149,90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0C6CB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6 132 930,64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B303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6866813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8020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666F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E065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B35A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9C9C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3695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0B32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9465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13F51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AD99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D5FF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C0B1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78A6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89FF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19D9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AEBED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DB15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CF8E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A98F4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10 508 614,06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EA777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8 932 321,96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F55CC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7 384 306,51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F43A1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1E029DA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7FF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92FB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C5F6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7FE0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DBF9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0F33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25E6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15A8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F3499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5AC7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98C2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77D8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A9113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0558C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2C555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D2AC2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23C4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48EF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24A02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31 075 485,13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1FFA3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30 080 473,05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CEDCD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7 859 489,88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FBA55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w:t>
            </w:r>
          </w:p>
        </w:tc>
      </w:tr>
      <w:tr w:rsidR="001A4750" w14:paraId="1D1CF05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67A9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E326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416D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16A3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794D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AFB6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F801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7061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68E0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857C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F6EB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44A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C56F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60120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9F58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1C93E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6373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60C8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03CF9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15 520 328,05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4098E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13 218 769,85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36618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14 742 383,55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487E2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044444E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3D26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028C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E249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2510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02AC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A028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464D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15CF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D5A1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9A767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BEBA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17A7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8EC4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1E54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8E95A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10512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0640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E827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3EAE7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16 369 093,01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B7C18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13 913 729,07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89328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12 094 174,02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63A1D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1505E45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14AB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FEC6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218D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512F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9FCB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4E05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2D35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5FFA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14AB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F6202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3D3C9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4AF37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6B82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6B50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FC20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8084C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7337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35C4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AD680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1 701 345,12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7DA71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1 446 143,35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7F2A0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130 782,79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7CAD0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70E1CF1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16BE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8F1C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41C7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9BE8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252B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F755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91B0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21FE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1A45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F88B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FC68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33F9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060D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42816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6B72E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241F5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D376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830A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2FBB1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4 851 858,47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28356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4 124 079,69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9542B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3 817 022,32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2CB32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49E7979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D34D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4D0F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4588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835F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F2CC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9084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2C00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0CB7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D6F3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4522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3E89B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364DB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4FE7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7F75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C717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EAEB9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5C37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B7E3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905B4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6 077 308,40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0B604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5 165 712,16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7A672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1 615 364,16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D5173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7AAC2A7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AEEE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FB71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44D8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2EF0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CBC1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BE9A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45F1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53A6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1BBD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513C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9B53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E006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5BFB5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C741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3265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6F97E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249C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8F95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6315F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13 290 015,94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4E692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12 179 612,90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245DB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11 881 491,26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2B6AC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w:t>
            </w:r>
          </w:p>
        </w:tc>
      </w:tr>
      <w:tr w:rsidR="001A4750" w14:paraId="3DEAA17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E5C6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FD5A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8F0B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CB77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BAD3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3DBF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DC1E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7E95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4260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7FD2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BFC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F31D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D0EF9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840E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1FE5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A1345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6224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10F2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24FA2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15 742 855,47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9CBBA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13 402 269,95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D7AC3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9 889 094,42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F69CD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w:t>
            </w:r>
          </w:p>
        </w:tc>
      </w:tr>
      <w:tr w:rsidR="001A4750" w14:paraId="532F218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4049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55C7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C16F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DC63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D62A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212A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64A3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D70B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D7FAB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B9C4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BEC3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64FB2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0473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C11F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D7483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FB1C1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7230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4C9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6B9ED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9 179 581,37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B947F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7 802 644,17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0BA35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86A9D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w:t>
            </w:r>
          </w:p>
        </w:tc>
      </w:tr>
      <w:tr w:rsidR="001A4750" w14:paraId="5DE0DCE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272D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FA73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3DFC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FA63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C6E5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4C65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E1AF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09B4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58AF3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46DE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E4B1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8B99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92AE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49CA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FC38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08C24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1121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3025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26581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18 932 463,60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0EAD3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18 932 463,60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190E8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14 548 906,68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EECD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69D6D3E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8874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F2A4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8AF9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A111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189B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0EC3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7442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3251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6C0A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CEAF1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2105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CEF77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F966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D2B30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2B01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D5984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3F12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A4D3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5FCBC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10 410 773,30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186D2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10 069 619,94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1F3F7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5 036 102,83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D18B3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w:t>
            </w:r>
          </w:p>
        </w:tc>
      </w:tr>
      <w:tr w:rsidR="001A4750" w14:paraId="072A4B0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8B7E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831E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3B92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8193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12CE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7C20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FFBE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48CD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04F0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99B0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0EFA2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A0AB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D594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C65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94BE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5E8C2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345E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FED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0404A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6 352 235,87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34150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5 399 400,50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1664A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5 078 778,29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20820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46A611A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8DDD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84F3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8C9F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4D9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B180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8EFC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754B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CE85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D5F9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CA3FF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05A3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50EBA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6C5E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8073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E04F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5FC95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BB29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3218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EBDD1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12 014 091,36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8D40F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10 211 977,64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02823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5 856 564,10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49AE0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50C48D8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009F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FE09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BD8C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CA5A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0887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4D22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1F26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104E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92EBD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6E370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41C98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DE27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9A53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8592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40365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72789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87D9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B284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9D0FA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20 744 783,11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6D499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19 931 282,20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ACDEE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13 943 975,90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EF19F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w:t>
            </w:r>
          </w:p>
        </w:tc>
      </w:tr>
      <w:tr w:rsidR="001A4750" w14:paraId="4EBD3F5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7611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8131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50EB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71DC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3738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8697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7F06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23D8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283D2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C03F4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48E6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C391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A99A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9BD9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EC98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ABAFB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802C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2DDB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4218B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1 949 482,47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BA3FB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1 949 482,47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2AAA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1 921 124,06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DA7B6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78E9B3D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34B2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C0BC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1CF5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FBEB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9328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7C83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BBAA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999B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F4D6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CFB9C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179A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7DE7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3444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3D65B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73142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D85E9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B121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6939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CC6FD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3 168 858,54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EBB79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2 693 529,76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EEFAF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1 898 756,28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1DB65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47D4ECA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A570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CCB7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9A25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9CDE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069C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9DB3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F778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D53A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2305B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9FD4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B12F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7BF1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F80A8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B9D5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429F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DC6FD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BC6F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159D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3EE38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4 488 803,68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AB001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3 815 483,12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2E601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4 230 422,91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29635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5537542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8799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1EBD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64B1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EAF2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636A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0562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B34A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4EE0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1616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596D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C8FA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36F2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0012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D281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BE22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399CC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4091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217E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06859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17 302 215,19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40200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14 716 470,44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1AEBC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3 289 197,52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D486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4E6DB1E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A43C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B5B1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54D4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56B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A93C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8E6C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E9FC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76AA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8649D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CB77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D8A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9A2D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BE08C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62E28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9A208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DEA4B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612F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7013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B9A84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3 949 275,38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7A115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3 356 884,07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F9585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3 511 948,98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BE812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7094AA7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4F95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1910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9A95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57E7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509C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8A47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DDB6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B402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D765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65E0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559E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AB760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DC5D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E90DD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C4AB1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E4CE8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D4C3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59FC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263A5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2 207 148,51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98CC0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2 176 637,32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D74FC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802 280,87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1B6F9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2A2B342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5CF4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0E0F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6310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8773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6A44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DCF6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D781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854C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CB770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A2862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01B0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D673C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23D3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7144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672D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55DAB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B430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B6EF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094C0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3 710 213,96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B582F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3 710 213,96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6D942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3 522 435,21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D9309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12D20C8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7CA7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39FD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CD6C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CDA9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EC1F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7DFA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0A72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E683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4CA3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3B43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A6C51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E47E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D662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89B1B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7422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4E4BF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C525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4A4E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B91E5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11 511 948,81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CD9AC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11 511 948,81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B71CA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10 487 743,99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D32F7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3037F07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3683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7138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991E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225E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9E40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1B08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1145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B44F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4B15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910BC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7DC0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3FE4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39D5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D1DC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F342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55894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8089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33D7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E56C3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7 292 038,85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74B96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6 198 233,03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F91BA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189 430,10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A6A5E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6BBE861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1078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FC97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4C33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5182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0668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DDC7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3735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199C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9C60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2B3B2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899B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2887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E57A5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939C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F4F5B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825E5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6B18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9918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4489A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384 691,56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62625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384 691,56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62F80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D0D66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A7565A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2BC5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4C42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A637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9A7F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0DED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6CFA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D4FD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0F7C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39BD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2543E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AA18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8A5F8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7F74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B147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09127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17242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D183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AF39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2B350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730 888,13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9E40F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730 223,36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2DE02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321 103,53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FDDF8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128B655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C9C4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8581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D275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F4DD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D59B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C9D7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662E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1A55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6146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DFCD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E920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A1F4A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3467F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8638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2C3C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27F3A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BA3F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1B68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8BB0C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603 627,08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09ACC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585 701,45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35B94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575 181,83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13114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711C1C2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BC183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FAE7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93DA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2146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9A2F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29D2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8F77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D7B4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345D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F3F0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6CF1D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8654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68FB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93AF5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BA9D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2FC21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35F9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BAE4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EAA90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1 858 576,44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6475D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1 844 237,80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08DD2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887 250,58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19995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467A543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701E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4BBC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9994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D827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5ED7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6F78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8122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0CE9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6B147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FDBAF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FAF2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2944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2DE7E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278A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077F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A2011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10DA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A3BF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F0B8D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39 613,46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F0AF9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38 300,94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8DA56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26 166,98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10117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053A6F7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FDFA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86B5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E398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57F7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BDF4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4CB7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3673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F9C3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D3A2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0C0C3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3E60A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0F582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B607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3FBF8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A312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06D9E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E177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ACF0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92029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383,03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7A09E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383,03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DB0C2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92,75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6F271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0AAC459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D252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30D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5CD5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8469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D60F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222C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0FB1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0D32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57AEA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D3CE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AE86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75EFB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7919E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E3095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E9E2F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B5C6F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9F07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F8A9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9952B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181 816,64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06D84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181 395,30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A3CC3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134 727,31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DD810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6620684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F737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1934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0B1C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6167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A0A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2349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BE6E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AD71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F4DD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E38C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9168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5C65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A77F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C8099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24D0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70039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46B3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6091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A7E85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1 605,41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886F8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1 605,41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2B4A7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1 365,79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D36D9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D0B1B9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4DB3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E56C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7463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06D0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7DFA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F303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C757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68C9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F867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A0DCC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42A1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3791F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E864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519D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1082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602CF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A976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3A32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AD2AD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1 035 907,75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50FFC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984 961,18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722DD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762 617,49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549CA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21FB0D3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2F71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30E4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BED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C30D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E91A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AC58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BED4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ED96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C474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B010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81C1E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F943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A79A2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D269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353C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6C35A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5467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05D7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367EC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531 119,28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AA045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504 563,31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76317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495 562,63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5549B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76C307F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36AE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DFB4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1E2B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6F73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BC2E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3FFA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8070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6F6E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F57D7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DA6AC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3E87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DAFF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981E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E84EF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2AD2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EB46C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0761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3B80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C3F0E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932 745,44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FD53B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932 745,44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806EA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20C21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787FFDC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160C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E240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C33C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F8E1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F560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92DE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6F90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036B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309A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9CCF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BFCC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27C0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0850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0E40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CF05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06E37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5155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38A1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8A147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23 266,09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3F791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23 266,09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15295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7 822,20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E0D60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2DC027E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375A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AA6F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82A3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BF01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B537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1805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9603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157B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1D58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DD6B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64BB7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79A21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4B69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1943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43818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CDDBC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7669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A7AF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169E2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243 473,84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D141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231 300,15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B8372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243 408,54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29B98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61918CA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C755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30C3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B959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AEE8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2B65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EB6E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5EE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9800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53084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70FB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7440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D711A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CDC9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A9C2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86E02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528AD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A637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B75C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547CB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391 735,73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40CE9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387 330,68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4288E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295 187,10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8A6D5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24CA26B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CCD7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66C4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9765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227D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3456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0F0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8078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8E1C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E64F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72A4E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2DC2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8607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ED09B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9B848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382C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093A9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1A06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7C28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1A2A7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367 338,68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DC98C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349 143,49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DD2FC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352 171,80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7ED55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3AF6F5C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3D28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3C43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EE0C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693B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2780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770A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CE30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30E5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DD8E5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AA64F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F11F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53E4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83F7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B707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9E24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EA2A5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6669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D6FD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C1D25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2 117,79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B018D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2 117,79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B6E9D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2 117,79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34E9B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6E6AA88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40E8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1EC2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29C0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CE32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6C9E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1898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ABA4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C458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94A5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A140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2FE81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E770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E050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8B95E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0210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47070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E48D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1ED7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342CD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1 738 645,82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A9A46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1 654 411,17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14CAE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964 561,23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8BE5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69D3871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D13C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FDAC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BCD4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43EF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409E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FF88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338D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C4D5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36E0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49DB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7877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8F59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6698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F30B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19A9B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8FD7C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5687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9AE8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E637C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318 776,46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F737F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317 779,29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2AFB0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313 024,87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ED6F4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0495807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F20D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0140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2134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F634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5310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A556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FA28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E122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F24C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79E7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C5844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6FF6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59F99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A02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CFF6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4260B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85E1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2B46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33DA0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23 285,72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3FF5E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22 564,69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C9F4C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19 781,14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BFDD3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16AC7EF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6EED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8D2F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5530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39E93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B5BB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E9DE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0034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82D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4A32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83FF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E276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D9F28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3AF80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49A7C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B5DC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E3785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8D58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9997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61582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816 114,72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80CC3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815 018,19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26CB8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228 940,50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5A84F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19DC2ED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8F34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DC09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6558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09C0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3240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DEBF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52A4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6B03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79A0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03AA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BF58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A85E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3B15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ACEA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9F1F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7FA34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A70B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6640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D5BF4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508 148,28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17F84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508 148,28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9DCFA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508 148,28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343B8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17D7C18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FDB9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C479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72C8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10C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9562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ED9A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3A11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391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CF5A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CD4A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B521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DDFC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24FF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6995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8DDA5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FDE50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489B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8758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4853D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487 493,22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C5366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471 100,41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C4B1F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26 204,96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ECDC9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1CA6498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276F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F0EC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9F02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3C673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5182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046A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834D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4CF5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7B16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0B66E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7720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1F24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BEBC3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4835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4676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3B624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3667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1C6A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2C295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475 851,55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3A187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475 851,55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C85ED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EC773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55E490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5FA4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2353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4010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C818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5C71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68AB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8C04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88BB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906A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497C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2EDE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1838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44B0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20E2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AF03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24532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95F8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6ED6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3092E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4 236 347,62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80B95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4 163 731,33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53ACB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1 749 433,05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14CF3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5B52609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259E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519D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0D64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E78C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1582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2B86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E0B6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C928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2D378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B8E1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C238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F0CBB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C50B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6527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A1A5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4EEC6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D155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C582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2BF93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341 152,17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04538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341 152,17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0428E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341 152,17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A1B96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63FEB90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502E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229B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C732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ECE1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9249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18BB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EF97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94AA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551AE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F67A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D56EA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0286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EB35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62C5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4C13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90676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DAA0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4CF5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75A13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110 002,92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B6267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109 370,89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EDEC7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40 183,68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9526C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2AAA6E4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0D15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02FA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468D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A534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EB50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7427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0C48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4C7B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1D2F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A211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8C4C5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5AB9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872C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B7E9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7C7A7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7414C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4F05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8ADB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193B3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432 851,77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013A2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432 851,77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215C4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21 780,74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DD4B9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25494A4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553B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DEA0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B1F4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0706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8973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19BE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BC3F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E6F2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DF0C3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E4A3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717DE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F9149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96B0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0F55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5F9A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B2EAE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EBAF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B062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CF1A8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2 791 366,17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39620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2 751 801,74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721D6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1 128 977,07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DECC1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w:t>
            </w:r>
          </w:p>
        </w:tc>
      </w:tr>
      <w:tr w:rsidR="001A4750" w14:paraId="5CB98A9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B271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BF36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9188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27A5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0FA4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1467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C514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B0AF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59AB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1170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240EC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57B4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A8BC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4423E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22508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78FFD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FB09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B700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A7F49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646 749,95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5E754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644 962,75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C628B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563 180,54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15D5D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097BB2E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07D6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C52C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428A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C45C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2BAD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AB12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F8BC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75E6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218B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E104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64A69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578F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3288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B02DB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D71C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7F659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68D8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55CC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8EF44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1 421 499,42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3DA9A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1 397 554,90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A304B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862 064,06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F913D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78098D2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8BAC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6951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68BF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8AFC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F6D2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2F73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D3D2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3B7A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E414A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8C1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224B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C55D7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A0561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133D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18B70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32ECB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B14D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FB9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7A6BA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5 355 016,11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81080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5 355 016,11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1E32B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4 515 526,85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8C4A4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w:t>
            </w:r>
          </w:p>
        </w:tc>
      </w:tr>
      <w:tr w:rsidR="001A4750" w14:paraId="502A791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7926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D256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4480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F1CE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85A1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A47B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2831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0A41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86BE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4FAB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7253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EF54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85AA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F30A4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DDC01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1F606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C29A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AFD7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DC166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822 685,00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534C7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806 967,20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A9918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183 752,96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3FC9B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44E33E7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74AB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E1F5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9230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4BD1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A477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8E0B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5CB1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0F80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C97EF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1984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00055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D9EA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F94E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3FF7F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1973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65B15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511E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0A76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627A9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2 453 195,87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070D2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2 381 896,69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90D13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460 800,91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B6CD0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w:t>
            </w:r>
          </w:p>
        </w:tc>
      </w:tr>
      <w:tr w:rsidR="001A4750" w14:paraId="6B195FD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DFF6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11D0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759A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BA9C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2073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FBA5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FE96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F21C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412E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9BC8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6202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F899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1B66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2C460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869D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BC15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453B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F6C1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7B86E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2 665 350,31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F24C6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2 609 462,88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696C7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1 353 443,31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73373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w:t>
            </w:r>
          </w:p>
        </w:tc>
      </w:tr>
      <w:tr w:rsidR="001A4750" w14:paraId="5802A6B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7DA9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CBF0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E0E8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555F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4D38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8BAA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2990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9B69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3041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58EF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F34F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3CDF4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4E66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B006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F198A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79DF4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76E7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A3C0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1BEB3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2 689 524,15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1BE0E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2 680 355,25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9070E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573 795,85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4876C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59B8A8D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C260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0A18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5360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A7D5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C0D7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0640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E431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4744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259D3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0E3A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E343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B2CC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6A49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9D04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CD039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0F5B4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2E49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BC0F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98B0D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1 075 620,23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C6192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1 055 011,10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BED0B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411 557,90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59F27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797E091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31E4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0A47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6398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D9DB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CFD0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780B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5358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8975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77BF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EF60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5F48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7F13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27AB2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DD4D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FBED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E5710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2CFD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01D0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B607D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820 253,58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57E2B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787 998,25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A0E92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634 207,36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1E891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72B76B9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300A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1B4B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1C8B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204E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6968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E244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666D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9695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0240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7ABA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4616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C92DF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F63C5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76CC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9D6D7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7E00E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F618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1BA9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7A13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161 643,69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FF998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156 997,94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B0FFB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138 281,71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4F1A7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1BF1094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A8AC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DC9B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4578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3561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FC3E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EC67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40F7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5D5B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79417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D1D8C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766D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4D5FA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5C24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FD763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ADD5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F2085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373D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4740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903EB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865 428,77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C2E9E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851 178,73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94A46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460 785,90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72E61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71082BC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FE6A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4490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7A19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280E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CB06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B748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6543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EA89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AAB1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70CA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05C3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3A20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F730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098D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819C8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5EBC2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6557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EAE0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A84B8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243 618,86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66B16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243 618,86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0356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FC7B0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0184233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8578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6C6C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8AD4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116F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FC88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200B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616E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D0F6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7A7E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53AA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D2EE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0D8DF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0B1B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2762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EF8E0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2794D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865C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A94D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1090D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1 592 331,94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9206B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1 575 909,19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18563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327 410,12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AFB37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5ADF789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479F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C611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92D7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7512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4EC4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CE30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1F7C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FA4A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172D7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373F7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8B666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E4DFB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66C5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A604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0B18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A98CD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8C1E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6E35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FC071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421 357,39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A82F0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421 357,39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220D0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5B3A7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151CC07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2144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4D6C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3E51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CA7B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E2D8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9527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0C22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A16E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270F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8C19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C27F1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93068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6F1D9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CF504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4751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0199E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798D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319C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3A9D1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8 088 525,25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A872A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7 961 758,64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4497C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1 668 866,90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7FEFB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w:t>
            </w:r>
          </w:p>
        </w:tc>
      </w:tr>
      <w:tr w:rsidR="001A4750" w14:paraId="5C875EF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112F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68CA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26BE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69E0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E4B2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94B9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AD6E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2F1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B4AA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0007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2E1FE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8BF5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5FD6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B355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E585E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4E783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6677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F6BE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FFED6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4 120 108,65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43E16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4 102 764,60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2B542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1 098 798,35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495D2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w:t>
            </w:r>
          </w:p>
        </w:tc>
      </w:tr>
      <w:tr w:rsidR="001A4750" w14:paraId="6689F9B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53BD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A3E8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1506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B2E5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148E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B8F1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1C41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0318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CD9A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B070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CAF4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0E55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F6D4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3F5CF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DF537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92CCB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C518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489B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71D57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4 768 478,09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16D42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4 726 144,32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D4BBA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1 754 744,80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308C7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2563893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3EA4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2DF8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A3BE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CDAA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0EF1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52E1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93D3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1E3E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42A6A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FFF14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D88C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951A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1DBE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2140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AEF4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F1F4B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473D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1E53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73899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2 873 336,46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73200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2 873 336,46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A09E2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758 392,96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DF664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0ECADAE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949B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248C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317F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EF70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A93E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DD96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DCD9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91DA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706FA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7900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0432D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1F31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B916B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A85F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589AF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3CD59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DB95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F56D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6D350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5 139 867,53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97FBE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5 038 653,57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A8774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27 343,81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F4EA3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w:t>
            </w:r>
          </w:p>
        </w:tc>
      </w:tr>
      <w:tr w:rsidR="001A4750" w14:paraId="703303D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3CF1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10CD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9527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0EDF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8F96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867B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47D0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156E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3CF5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9D30C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65D7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0192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70007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CDF2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E77C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94D4C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B369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DF54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AA78C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1 178 521,90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E87CE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1 164 372,32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0D7C1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252 289,95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5D8E9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2E6BDB7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279E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F2F3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6447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12B9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6B6F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AC1E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1637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4C75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334B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EB82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F6BA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026A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B689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B3FA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A9973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19EAE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563B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336A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969F8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3 726 915,90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74088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3 686 707,09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787CF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351 338,01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5DBEC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w:t>
            </w:r>
          </w:p>
        </w:tc>
      </w:tr>
      <w:tr w:rsidR="001A4750" w14:paraId="54E6852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CF26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0672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6FB1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F322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79EF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E1FC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B157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7E90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7664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EC46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5357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45AA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9C82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5902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BF722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8C335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9A68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9F23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2EC3D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8 091 523,74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1C466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8 073 547,10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C4DC5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3 016 194,63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44EA8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w:t>
            </w:r>
          </w:p>
        </w:tc>
      </w:tr>
      <w:tr w:rsidR="001A4750" w14:paraId="48926E1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8FEF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E03D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9F68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84A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C9D2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9DC7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021A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C92E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1B6C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2AFC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285B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39349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A495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F9AC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5D01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17FD0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5217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6271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A47EE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4 170 966,36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A5A75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4 126 948,09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1136E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1 027 453,89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75142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w:t>
            </w:r>
          </w:p>
        </w:tc>
      </w:tr>
      <w:tr w:rsidR="001A4750" w14:paraId="4FBF7A6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9626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62D8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2349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D3DD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D6D4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9BEA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7407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4558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1E3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3095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E691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7338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4437A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18767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8550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6C45D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BFF8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AB98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161EE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8 919 418,16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AB575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8 828 785,55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43320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2 084 448,19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E3D71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w:t>
            </w:r>
          </w:p>
        </w:tc>
      </w:tr>
      <w:tr w:rsidR="001A4750" w14:paraId="5F977FC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C699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0461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0F83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36EA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DC93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C70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0254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6E71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F4FA0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2909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4E2DF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4728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DBAFC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F2BF0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966A2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73E78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864C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32EE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F375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15 988 190,16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EE4A7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15 959 863,54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AADDB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4 229 247,31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07A6D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46</w:t>
            </w:r>
          </w:p>
        </w:tc>
      </w:tr>
      <w:tr w:rsidR="001A4750" w14:paraId="60913CA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0D1B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E5F3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8CC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BFE1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3087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DD38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D6B0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3788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7D0F6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C518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5222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F183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592A1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B12C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A351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D3778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9DCE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FCC8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B062D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5 713 390,90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CCFAC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5 713 390,90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BD2C8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1 728 728,38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625CD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w:t>
            </w:r>
          </w:p>
        </w:tc>
      </w:tr>
      <w:tr w:rsidR="001A4750" w14:paraId="4AB6DB5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D015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D3CD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8415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3491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B96A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483D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7E49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D8AD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7549C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9B81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CC85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34E88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C9569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0BA6B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0775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2EB50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E376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38A1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8E90A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3 180 428,51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503B4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3 139 959,16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FFAA4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354 458,90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342D3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w:t>
            </w:r>
          </w:p>
        </w:tc>
      </w:tr>
      <w:tr w:rsidR="001A4750" w14:paraId="2D0A58C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095B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19F7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477B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4D8A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DA39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CC38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A786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EF83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9CF2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221F1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0F66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E228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441E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4A99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FE31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CFB9C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16FA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933B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57399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2 510,62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4A15C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2 385,09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33242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2 505,55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FFAFD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6412A0A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FC73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DC72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206A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B477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554C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6AC9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C533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61EA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6B9A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1DF1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CA7F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9B99C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66E4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4E27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49E2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7B55A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91AB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6F2F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8943F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1 086 682,05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01C7B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1 038 866,27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5818B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795 869,53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B8FEC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694948B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AB40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DA24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B3F9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8530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9FDF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3CCF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F398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40D4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35C9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7CB3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F5DD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384D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0063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07A1C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D5CE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5BCBA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A009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8813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670F5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10 478 153,52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C53BD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10 095 914,34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96D91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1 266 255,60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13239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w:t>
            </w:r>
          </w:p>
        </w:tc>
      </w:tr>
      <w:tr w:rsidR="001A4750" w14:paraId="205DEEC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76C3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3BF8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A872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36C5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3BEB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B5F2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138E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4AC9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197E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1E1F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AD10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50ACC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00887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7FE59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98B4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53F42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CAF9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C702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C0744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865,63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3AD35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822,35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CA85E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420,42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EB12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5727499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9EB7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E882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E995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2BE9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B402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DA9E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F7B0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4BAD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3F3D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2C691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C846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5066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6739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032E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27ABA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F18B3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77DE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A792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9CF32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304 712,99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299EE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289 477,35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C1B51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221 462,06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4C535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086B1EE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3E02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EA96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A4CF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B5BC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0952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FE9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5E66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8D72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6C2E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2E5A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4F2F3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D1EB0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3233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FEDE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B5E77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7D924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6183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04CA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D4B8D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4 678 151,64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C4D70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4 605 163,04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79A16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1 825 230,91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31A3F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31119F9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8C7E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E82E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3A69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F145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F21D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71B9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F1BE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2AA8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981F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F848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07A0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99E8E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896D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2CDBE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C7D3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5B7F9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3AA5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FCB9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56479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3 418 103,15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05D66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3 298 731,23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FE359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2 998 741,37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5B6A8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103B965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2558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C2DF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F6E0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1E2D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C524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2866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F535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1A1B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A660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C45B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EE0D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76B0C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68264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9101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F197A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52E92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C886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ECAC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B00BF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379 852,60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C8351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373 636,84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A87CF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255 537,14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CF7EA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5DE8440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03DC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3F65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375D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0A7D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7A59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B9DF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C567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14FA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D8EF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627C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5E68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D84A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A9401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0D04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6DDC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D02C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4F8D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004D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A5AD3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883,15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F3510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839,00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7853E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177,85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37C75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0A5AB6B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879D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C2B3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64F3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CE0D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F7FC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AE2D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1CB2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015D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5E0FA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8C60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5EE3B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51EB4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BC8E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C550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B6D5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36BD5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0ADF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2034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86838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151 327,10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71539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143 799,15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9FED6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150 581,39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63F27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7105A6A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1FAC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21AD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F9F7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A3CF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5101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AF2A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05F9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307A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E1407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72B1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06ED5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CD18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2EC8F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DF99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239A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E3BE4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06E9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4A18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A5235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28 009,58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48CE0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26 753,96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1539E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21 443,01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5A94A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4A1CA01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D83D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AEAF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9CF7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DEC5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5BC3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54B6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F12F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BF64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7217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00CE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BF2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CF69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0501C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2321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DACA4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9020C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4631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DB94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DAEED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7 578,62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08CF7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7 199,69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0C1EF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7 565,47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0D951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4DC5937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376A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0914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5FF2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EAF9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7571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8AEB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74C5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BC4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0614C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575A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34DC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F8C00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EB87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AC25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1C0D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3B66F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E9C1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BDF9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22E76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2 315 640,20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14648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2 241 230,54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60C65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1 736 571,66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A6B04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591D424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B750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8D1D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BF26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27D7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7B67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476B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E347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48B7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A968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289C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043AF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57B8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408B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34BDD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62A8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DDC1B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5C9B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CE6A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EB25A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190 984,20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15FC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181 881,08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94079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175 687,39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F3414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7779639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854C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C944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5A90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74F1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4EE1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3923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15CD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7052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1B51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1BEF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C080B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166D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60A3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71BF9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CFB9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0F45A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F0A8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769E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A84B0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102 718,02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535BC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97 632,29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F4D47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96 759,48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876D5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5654832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EF57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081E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8041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6176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DF5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971B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F6CC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16BD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6BCC1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815B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B8D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A18A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57C1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B6A1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5B72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3C91B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AF1D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1CF8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847E0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53 345,31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E44F9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50 678,04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CDA39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24 566,74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0A25A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45A507B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37CA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5BBD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934E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2CD8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8C6A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CF30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7BDC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C8CF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BA6C0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CE01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1DAD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A255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FB9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79A7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113D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6D706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7D42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7BA5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8631D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62 504,57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321C5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60 155,76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76AB7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40 746,98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9C0CD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6A8A328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26DE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4557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281C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E3EB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DFF9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7992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EA85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02B5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F53B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F3DC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6748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5ADE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26DCA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ECA39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4E15C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A564D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1AF3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0CF1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9FD88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8 481,98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41AD3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8 057,88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9F2DF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8 238,80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B3106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49290F3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C1A5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E9E5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0C63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41AA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41ED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4FE3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D85F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C71B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894A9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FF7D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9030E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B1661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A6351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5021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2F88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8AFA3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D9F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DACE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34EAA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16 417,12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1BA49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15 596,27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85580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12 723,90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8E8FA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597BB7A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38C6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2CDE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5D19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B71F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2F7D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EDBB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35E2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40A2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B51D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3C85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C9AFE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6DD2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2DE7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1336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2D35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5BC8D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35C7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45F8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5AF3D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36 679,66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49082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35 983,44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CB591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30 325,56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25069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62132FA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40B2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141F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0074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7C9C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8051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EA0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1A53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FB34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0F5AD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1C54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F4CC1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4777C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CC23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68B3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C6039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85262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148B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2AC5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D5C5C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13 232 406,17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10750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13 139 433,13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654C7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1 697 121,53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32D49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w:t>
            </w:r>
          </w:p>
        </w:tc>
      </w:tr>
      <w:tr w:rsidR="001A4750" w14:paraId="53F2FD0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18D2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5E72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56C4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AA79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0D08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0DC8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C79C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D68F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4F02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18F0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D55A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F67D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39EB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02B5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07CC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48604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A3AB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F1E1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65001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3 765,94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C106E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3 577,64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32037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3 758,33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BBAD4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19E8CDA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E171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C356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E234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F759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3E7B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0B20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F1E2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9E09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D415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4651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A646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D96A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D13F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7959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763C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0C1FD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2D9F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45D3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BF41E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1 265 611,51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5088E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1 257 079,90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A09FB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79 516,39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1B35B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7DD7B3B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2764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3535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611B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56EC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B723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D3EC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274B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8252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A5AE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1630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3E83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56B6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B511B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75955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EEE7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3D6C9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7CC8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1E44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25015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2 601 724,76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B1019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2 601 724,76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96739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583 579,60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DD461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533D88B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15F3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1F27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2C89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B550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E1E8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A45E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C225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2A8F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C254D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3D59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ACDE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D935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E8F6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5041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E24C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AFA13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C843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CA9A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9C66B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2 017 099,46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1D571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1 935 511,12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A2FAA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517 412,57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77993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0823EC1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B244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F2E8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CCAA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A444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D79C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980E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716B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253C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9C2A5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125AA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2D62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2330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FAFBA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94BA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C7F2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B1CD9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27F7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42B9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C65A1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39 135,56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7B42C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37 178,78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BCBF8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38 825,55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0B861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641D9E2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25BA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6324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8348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7F86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4A2A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5BFA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9BE3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7B5F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11A61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1EB0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7660B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6A41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5BC0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02E42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F8A9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81F5B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BC0B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130D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02E17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1 665 158,90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8FF82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1 606 037,62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2FE84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EECC3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37F1479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48B9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FF45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09AA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E42D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9FF1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0A6A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9B24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C476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00E9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07D7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938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34D2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6D5A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35FB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EB1DA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DE0DD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C536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C078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CEE7C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7 492,23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9FB00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7 117,62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31402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7808A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41636E7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5419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657B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400E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6720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5C4E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4342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6A5B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4AF7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FE127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1698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E80E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7984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CCC0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026C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FE089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9C72C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ED1C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6C63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2394A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7 717 095,26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B605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7 461 774,80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7C3CA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3 860 753,31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30ACD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w:t>
            </w:r>
          </w:p>
        </w:tc>
      </w:tr>
      <w:tr w:rsidR="001A4750" w14:paraId="4D2A1B8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9204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D2EF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467C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1638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7A51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8F44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30CC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2436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4CDC2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A732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49C41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F3E9B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5AD3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7189A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BBB5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2BC89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BA8F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12F6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99C1E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581 101,13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B119D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578 685,32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38C2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121 981,95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89310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67C3BFF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6DEE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604E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AE41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13E6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883B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5AB3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ADEF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C2BC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D413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0B249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87486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F1CD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6B03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6636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544BE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F0A18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7286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A836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31B40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823 986,29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D37BA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822 102,85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3BA81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32 164,52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AC158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6A9E329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A7C5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5207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E5D9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421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4660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DDCF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7C58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65CD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8AF0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35DE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B37B4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8D5F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92FCD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FAA3F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7014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C8310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0CDB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4B3D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7285C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899 562,60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83CE0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854 584,47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83EA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809 478,95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C69DB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29649AB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0726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51EC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F00F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83AC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8C2B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5B65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5609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A83F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8C90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91ED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4798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B14D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B5EF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A60C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4CD3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53DE5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8552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AD4B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375E1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9 094 421,87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20C52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8 816 257,71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39847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3 282 335,09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9B219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w:t>
            </w:r>
          </w:p>
        </w:tc>
      </w:tr>
      <w:tr w:rsidR="001A4750" w14:paraId="3B3E870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F1C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561C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92F0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2B86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D069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7E4A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0870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BF1A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595BE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2825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377FF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357D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189B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08E7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A0405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D0F88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DA88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A788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1A78A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3 150 531,55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930E6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3 110 385,73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9C9C0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716 870,18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1A6FC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55A388C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CEBC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1BE9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E692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84B2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D22C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005B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B1AD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5364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4E0A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F1B8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386C9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AAB8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635A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80DAA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5180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C438A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BE84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DF02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6C409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6 213 863,32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F802B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6 046 504,69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8D9A2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2 674 211,96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5F71F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w:t>
            </w:r>
          </w:p>
        </w:tc>
      </w:tr>
      <w:tr w:rsidR="001A4750" w14:paraId="10D044E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C37D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B1B8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F407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DDAD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5045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83C6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6CAC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20F6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93A9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E7D7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3B8D4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A78A4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708E8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19790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442E0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A57B8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80FF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E31F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351BD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3 077 722,31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7A413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3 030 531,54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252F6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1 246 087,94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985A6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w:t>
            </w:r>
          </w:p>
        </w:tc>
      </w:tr>
      <w:tr w:rsidR="001A4750" w14:paraId="243DF59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EF5F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2CC3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6126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094D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ECE6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6039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9408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2999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E02D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4836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5640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EB62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22B9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2804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30C3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CA43E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9C96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52A0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F1854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5 122 235,84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9252C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5 114 943,79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7E644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743 587,17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DAA6C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w:t>
            </w:r>
          </w:p>
        </w:tc>
      </w:tr>
      <w:tr w:rsidR="001A4750" w14:paraId="685D208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038A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D234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3A16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8A6C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7802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006C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40F1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7D88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DFF2E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6A6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D74A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5E02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855DE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70F2B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1C11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C5018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D820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7548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69176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2 796 043,10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B3AA0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2 702 806,28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8E9FB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1 889 893,87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91184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w:t>
            </w:r>
          </w:p>
        </w:tc>
      </w:tr>
      <w:tr w:rsidR="001A4750" w14:paraId="4486FC5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B4BD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E99D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5B7E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1407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7FE0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CF39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DE15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E70C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D636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F3D8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BF06B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70E8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8EB1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2ABF8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0156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5DBE5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5CA7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99E3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C239C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5 494 203,02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2F4DA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5 444 027,42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C2C8A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1 093 080,72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985F2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w:t>
            </w:r>
          </w:p>
        </w:tc>
      </w:tr>
      <w:tr w:rsidR="001A4750" w14:paraId="64AA935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8C41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ACF0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83FB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4E60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D3EA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DB60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187A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282B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1A8F3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F616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B75E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BC27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060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D05B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456D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73EC5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3FE2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CE5D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DF9AB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3 816 809,87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3E21B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3 672 920,23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A1144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2 275 179,40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9469C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w:t>
            </w:r>
          </w:p>
        </w:tc>
      </w:tr>
      <w:tr w:rsidR="001A4750" w14:paraId="5F47B15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E261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D15A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8A3D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760A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716E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A2BB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F090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E2EB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7A88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D664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CF72A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6DBD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FFE2C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ACE9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7961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A6C6E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297D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CC4B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7E732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10 908 861,53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15396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10 766 315,49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48C74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3 763 903,59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1240A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32</w:t>
            </w:r>
          </w:p>
        </w:tc>
      </w:tr>
      <w:tr w:rsidR="001A4750" w14:paraId="155AF23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6B52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589B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5606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345B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97B7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67BF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2AAA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D90D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E3571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9217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8A4E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F507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2E09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3236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562E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48744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A126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3BAA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188F7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121 816,45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5053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115 725,64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E5531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121 570,34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B2545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1C13D2C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0AE2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A2FC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CC88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97B0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4D78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0BE0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ADD5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DE74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2FC7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10E1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A6A08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6A55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64E1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2612E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B141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29B95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B723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DFA5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E08F9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950 112,48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F13F6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902 606,85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19A74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260 320,75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32773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25D5F65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8990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8BB6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E97F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C0A8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0E32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ACF6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8740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D25F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B5BC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1E40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AA69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9A3A1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B405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49F4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40E5C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BB57C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2299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5D01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09341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4 689 416,24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1FDC6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4 602 628,28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58276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873 851,50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ED54A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46A2904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5765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D360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1D6C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E0CE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6E11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9A25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9E06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697C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E3ED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165F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6CED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DD9F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3FCB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80374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D50D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76095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50C8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2175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92D22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991 362,52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955DC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941 794,39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3BE1A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481 491,02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4BAFC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3EE371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84BA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01CB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F2CE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D5F8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A05F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89EA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E546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D50C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59DA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1CCD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FA17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57921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8BF1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C7BB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62DEA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042AE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D79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4A42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EC442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286 174,68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FF888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271 865,95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2650C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283 907,76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F5CE0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6BF7653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C539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3958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0DA5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988F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B76C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C98A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DF4F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F946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21D3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B215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E001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9AE6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87E3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36677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2D52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C0BB0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D4C1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06CB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AC90A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485 870,76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3534D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461 577,22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384F4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47363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586D936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F216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4746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6A7E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7AD7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B8E9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E272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479A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F2EF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D4CD8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DD5D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4F5CB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A45A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283D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C913B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06A8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8C5F1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282B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271C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876B7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49 448,71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335D8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46 976,27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98941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76BE4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760D72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BD0E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D463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FDF3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7DAA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0F4D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2964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F137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EEA4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24CEE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22D1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C29A2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A1C2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A8243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834CA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2116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658F4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35E4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86BA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242C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5 262 649,91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B7834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5 146 837,57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336E1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2 416 665,16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125C0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71766A2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29C0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B827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D709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A614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7544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DCB5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2AD6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8202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B156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6352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5349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3D81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966E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096F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F8D6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3C3A2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8F0B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B491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3099C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5 907 970,65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88F5C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5 689 793,35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49EF3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4 590 366,85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6B10F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w:t>
            </w:r>
          </w:p>
        </w:tc>
      </w:tr>
      <w:tr w:rsidR="001A4750" w14:paraId="34BB67C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D280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8959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2A78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656C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0345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98BF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ED0F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74BB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4A42F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6F3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F356D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5824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C19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AC69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45A5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EA302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4657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869C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3B950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1 683 081,13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D1453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1 614 136,86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58819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1 363 055,89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6FF29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2984398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89D3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7840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4C0A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2D9C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CE7F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0356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1FEE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0406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6E19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D561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028EF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33FC0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57EE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5A4F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A50E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3161E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85F7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7B34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A0138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2 008 657,26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1B189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1 965 152,31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8BF35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1 573 236,76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02FBD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135CC3A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9FC2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F141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728C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7B68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6DED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35B0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C72F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7F58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73F7F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FD0F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561C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9CAEE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EED59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5F8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9542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12DC4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98C8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4C53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38F25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11 048 652,85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B6A76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10 746 125,97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4147E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3 481 675,74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6F495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w:t>
            </w:r>
          </w:p>
        </w:tc>
      </w:tr>
      <w:tr w:rsidR="001A4750" w14:paraId="52E5346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CBAB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7E22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0A67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4275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9CA7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CA47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2E8B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9776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A76E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542B3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0B83A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C746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E402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4D68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9E20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63F7A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1FA9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A4BE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2919C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4 320 584,17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CE051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4 311 849,49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A50BA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955 554,09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BC110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409A5EE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17E9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5824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71D1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6EE5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6A15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BDA1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D731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8C4E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B29F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AB75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B6E5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8459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62D5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A5C3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51A4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19555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EB16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D7E6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C14F8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4 504 916,48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14EFB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4 452 668,24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3E35F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2 425 617,10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9652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33F659E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36FC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8203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CB7F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EC6B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EF89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85AB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0B72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35DF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D06ED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3807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77BB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6BEC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5FCC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3313B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885FA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CB1D8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39A2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26B6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35847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4 294 187,79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282CE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4 183 019,63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50CD5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2 333 783,05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E1D6B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19BC973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E4F5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ACDF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15F4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42BE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94DB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BF14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9414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ED25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D0F7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A860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9B58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A343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707F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D1C33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3BA9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D2BE7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E165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10CD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B6155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15 379 484,72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5D68E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15 363 307,39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8D0AA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3 871 456,60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DF7C9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w:t>
            </w:r>
          </w:p>
        </w:tc>
      </w:tr>
      <w:tr w:rsidR="001A4750" w14:paraId="365A8F2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01B5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AF1C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F75E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F864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3FBE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7461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D890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1BEE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A846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B75D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78B39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8E0D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96C4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04C3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DB085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DCED7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8FD1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63A2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5005B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5 853 563,58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F8E23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5 789 992,82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0B985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3 267 744,54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DF660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w:t>
            </w:r>
          </w:p>
        </w:tc>
      </w:tr>
      <w:tr w:rsidR="001A4750" w14:paraId="4CDCC87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33DA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4259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80D4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6259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FF20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8C44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3D02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98B0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B8C6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A2AFA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396D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1CBF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D9CE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E63F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2607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0BB3E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0212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8D2B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BBFDB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4 060 906,71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01D4F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4 041 517,14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54B08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2 472 001,62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04CA9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w:t>
            </w:r>
          </w:p>
        </w:tc>
      </w:tr>
      <w:tr w:rsidR="001A4750" w14:paraId="1AD7D18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034D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B790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2204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0CF4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086D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4C8B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A0D4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0F62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541F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3EF1A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CAC79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56C0A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2951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3814B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7F65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611D3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AAC5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5A8B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9C78B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3 560 061,54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D0620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3 485 846,38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4E1E2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2 772 291,81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E8B0E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w:t>
            </w:r>
          </w:p>
        </w:tc>
      </w:tr>
      <w:tr w:rsidR="001A4750" w14:paraId="00B2610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8F18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AD4B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4230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52F7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DE83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6A84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5CBF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3097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244D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B82B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66A1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593D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96CC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21CA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6953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C82ED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BA83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619C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B399D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7 246 817,59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20AF9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7 087 652,40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FDAE7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2 624 587,86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1BE1C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w:t>
            </w:r>
          </w:p>
        </w:tc>
      </w:tr>
      <w:tr w:rsidR="001A4750" w14:paraId="0D366CE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3FE3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FC80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E943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CE96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6BF9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4144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EAD0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4CD2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29E9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E4BD4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3DD5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2B32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4F46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5C50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8B64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90DC9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6B46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75C4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F4E7D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3 358,11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6FF57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2 854,38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29549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1 655,80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9FD83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4CB3E0E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FCB9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5AC1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C61C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380D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59F1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A23B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E3D8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025C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A7C8D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D0460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1B72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0A510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D343A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D703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AB81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9EA1E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B724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FAFC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A7002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511 352,00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BE08F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434 649,20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6C124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476 365,09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05059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310BA0F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C895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20F7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C155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EBE4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9E53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E770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D4C1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1369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C1C9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4DDB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DAF4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F4B2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6DBB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BAC3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E017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F8597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8D88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B094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2DB04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4 502,87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D0C55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3 827,43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30BA3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1 685,43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6558C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29D3C13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2BC3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F626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22D7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BBA7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06A6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20FC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163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AFA9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F4A3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22C8D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7F74D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B301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59D6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8E12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63D1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57E8A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85F1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9521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3A56E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197,25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256A7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167,67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72ED3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121,08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032CA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0FE4880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A7C1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C5B4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A48B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87BC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5D64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D628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ED63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1B20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BE45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84E6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7C59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90A5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2B7D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81D2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672C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18B12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51A1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A8C9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39988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43 846,91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9CAE0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37 269,87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CD5E0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43 036,50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9CBBF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4FFD626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43CB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D4DF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A025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D5F5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2978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F0A4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F510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9986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C655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C8AE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CB5A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526EC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70387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33BA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8499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05A24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2E74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335B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5466B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370 843,27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F44AC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315 216,78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E569C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360 793,37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185EE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3749CA8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B553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540A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2EBF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80DB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7E7B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5F75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346B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FE0B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15CB3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230B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7B134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9F05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9EF0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8C6F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8C910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A55EF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38E8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4B77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3DE36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1 583,24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4AD54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1 345,76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E4778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1 580,37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CA707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51DD26A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EB0D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7E83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7D3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FDE1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C9CF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3891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2EEB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17A5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3EB8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25BE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0A20E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9DD1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6F9F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3BED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0C7C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FE90C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03F3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AC3E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DE4F4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2 217,93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956CE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1 885,24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7FC6A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F44A8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122DA84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2041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7D1F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1DB4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905D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56C2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778A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0032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A277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D6A6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B112B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28BE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1071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D01E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2870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73C5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6E2F0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0DF4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5A99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B55C1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196 345,97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9A377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166 894,07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4EC60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4 732,56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0F75F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6FE59AC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9E59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DA9B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9C6C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E9F4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6350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00CC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BC60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E064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6D36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C24D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12ED5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28524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EA9E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DDF3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C342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D2429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512F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8845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F01E6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941,36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CBCFF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800,18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F6933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458,23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7BA13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3966274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6F49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7081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2B38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1C41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1A44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CBFB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7B31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2B3A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5D671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8F4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C6F03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F95B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3ACC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D2893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E7CE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DCF56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BF49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76B8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9CDBA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1 329 675,12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A46D1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1 130 223,87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F8EA4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442 292,55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3FD1F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w:t>
            </w:r>
          </w:p>
        </w:tc>
      </w:tr>
      <w:tr w:rsidR="001A4750" w14:paraId="03DA780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FE8E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AE13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3896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F744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1939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ADDF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74F9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A56C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364A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CBA79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9D9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3C59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4637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D65DB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593C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9283D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D9C8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E5CD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0E279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276 263,35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1111E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234 823,84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E9EE5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191 310,21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6A5F6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61A2B09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3BE3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80B9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5CA5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34E3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102D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A13D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B8E6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7438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983A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1099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EDFC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EC631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A1F1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CCB30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FCD7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E9FFC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0654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E593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63709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2 437,17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E24FC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2 071,59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1A7A3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CFD81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7292A4E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5D8B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C987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5390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D3DA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79E1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BDF8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F3B7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DDD5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6421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5DDE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3F5D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ED4BA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7CB04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8316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F168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5070B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0066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6491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3DE55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730 919,05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95258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621 281,18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CEB3B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511 240,55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D077D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1EBA4EB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CD59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F93C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939A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9909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0827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D0B1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3306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8772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3418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A0369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5B21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2547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25535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FBE2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3FD3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9B526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B4E9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7DE4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A4F1F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5 037,15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E485B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4 281,58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EAEBF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2 483,70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6C245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7BDDF52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6A45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F27D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C998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E37D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589A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1DC6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6130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81BF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9129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E189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53BF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D4E4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4E3A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29BE7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7DBE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F81BA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4A9C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6E66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584FA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295 195,85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F56B4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250 916,48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223F7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139 362,01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E89D0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0E3DB45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13D0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2F18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D71C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7F9E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02B5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06A4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12F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F279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32A4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ED47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ED1B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3D28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4399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5983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122D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678A3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2E6B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E1A9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20A42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34 354,19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46735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29 201,07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C39E2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1 687,87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973E4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2C6E672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3B3E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DC5B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A59B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5D13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D1F9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543F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1417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DFA7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2973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520FC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33878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412A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AC4FC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7C9D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A27BF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7B07C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E53A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F2B9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D2D78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593 626,76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A3B67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504 582,74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9B5A8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536 580,05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EBE2F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79D45A5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7946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A2A5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A86A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1302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60BE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776B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1E3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33E2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91BE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5370E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1E771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CB00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CFA40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3E2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AAF92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25613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0FC4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020C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A8DC1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186 015,19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0F0CE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158 112,89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70035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179 043,26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3DC5A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4412050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9B2D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26A2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253D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B515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10D7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364D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44DF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48DF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BEC2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46A12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A2361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018B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4B35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52AE8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FF3D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F86E3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AA07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F953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06540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191 546,10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D1B52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162 814,19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1E9C1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57D84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9FEE8C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5785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9A33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A556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E83F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DA4B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86BA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BA7E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98CC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FCF25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E97A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078F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194C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9DDD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58EA8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2B08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EA4D1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9C25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5777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91D36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814 180,17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671FC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692 053,15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3C0D6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179 085,91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DC2ED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55B7F44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358E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96C4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F8F0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4227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FBC4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B4BE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066B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4668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2ABE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E074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EF3F1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5406C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9608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D292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3A5A4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A680A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A17F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ADB0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67651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196 207,53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9E8D9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166 776,40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A5F9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42 261,73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23567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274E0E5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244A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4DB5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25CB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0707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B0F5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C1AE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3FFF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292C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8FD3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B093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2077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9FD70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08D0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4032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CDF3A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09CF1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5BB6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78D9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3766B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580 375,37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6CD24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493 319,07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CBA61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538 827,80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AEB47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7362C07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8953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4FC0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A7EE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6EDD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4331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C8DB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A06C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6DEB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EB62B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360F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0023D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6BB3B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DB422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86ED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5E9A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56713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41C7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909E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2F85E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607 160,89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2FF74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516 086,73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2D75B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466 003,45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0AE0E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012F234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7E07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ED8A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DE73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F648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3D33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FD21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FC05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5E32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D0FF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F14C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0E21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31C4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477A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205E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C772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73000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D61A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C8BB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C37C0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253 754,08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792DB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215 690,96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ADEC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242 293,11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A06AD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6BA67D2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683F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4944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CF09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A66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F90F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C499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44B3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B0F0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F4C1D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BE11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A4E5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F7D6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F80A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B6D7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6D299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E1504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D0DC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96C4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EB0A3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1 597 766,47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F30F3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1 358 101,51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9B50E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621 819,25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7CDFE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w:t>
            </w:r>
          </w:p>
        </w:tc>
      </w:tr>
      <w:tr w:rsidR="001A4750" w14:paraId="1E90427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1C32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B765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CAF7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8D34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2859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0912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2968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93DC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7BCB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3773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56049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FAAC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B126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31C5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6DCB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1DBB4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A707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C6A9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73F2B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545 876,18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339CA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463 994,74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0E107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392 114,07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9A252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5E77DC7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531F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DF1D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7779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8458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4471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D397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5D1E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6528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D6FA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465F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D58AC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397E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C488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C2DF3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FB5B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FB320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BC3F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DBA6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81EB8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995 604,06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3661B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846 263,47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4F1C5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715 984,35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00242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7B38EE3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5265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1095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49A6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8427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DA24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C22C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3CAE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FF47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54D24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13B58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26C2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0CCB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E8E0B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0E0C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BD3E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11355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381E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FAC53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6DF0C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895 282,55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BAFBE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760 990,18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5E9F3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825 692,75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0DDF3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3913315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1868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7D88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F948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6F8B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46D0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B182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DD88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C278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A68B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3C87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39A0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C73D9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932D6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4207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2BC0A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8B52C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F2D9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8A56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2AF42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162 936,65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E61BF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138 496,14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CBC6B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80 340,23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93619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5B6767F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5901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908B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4B26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1178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4521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24CF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2BD6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C149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1F85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45EC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86A8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0A6D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16A6C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0908B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A142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8CB44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EBC5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103F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5D753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166 721,71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6773A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141 713,45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CDE83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163 860,79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51CE6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53C522C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0CF4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1F11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E117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5F99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83D7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F68F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F282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7E26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8B9A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C0D6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E601B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DBF91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EF78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E68AA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62AF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F43C4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B9AB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F4B4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C22C4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280 129,40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29649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238 109,99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0451D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21 088,62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C56BC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217653C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D463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F3F7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5D07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F7A6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BB8D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2FBA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0301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6578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CDFC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5522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2098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8442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0924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C403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B62E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111C7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7CB0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8296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E6443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965 795,95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D2EA1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820 926,57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6A2E9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662 090,27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8B563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032D9F2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7868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4869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FCFE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B77A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DC86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28D5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9A14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0BBD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83F9C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11E9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45F65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092C4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F42EC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B36EB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AB6E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B3313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7358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1070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B6AEC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1 367 386,14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5B578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1 162 278,24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39334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956 187,70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70F9D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w:t>
            </w:r>
          </w:p>
        </w:tc>
      </w:tr>
      <w:tr w:rsidR="001A4750" w14:paraId="6E3C235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3F39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99C5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3D36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6CB0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CAE0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1F58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8808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CB48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B6F4D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DAC80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3951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ECC70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9C25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5922B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9552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7B427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B221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BE19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DBB63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510 138,78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E95F0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433 617,95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E5DB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361 608,88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EF43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57A0DCB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25C6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32B3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22EE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34CB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603F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6255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6BFE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0A18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568FA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D256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5811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A028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381A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4FF2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1348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BE78D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2E19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9194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EF7E8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886 066,06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D619F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753 156,17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AF34E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522 788,34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8C8A4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6BEF0CE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414B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099F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370A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95A1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55EE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AAAD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BE2A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70B1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58A4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DBF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59D9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079F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78C5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367F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D4B1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9F094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32FC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FA60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4FE43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760 699,10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F30BA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646 594,25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1351F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543 016,20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3D8A4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06B2D41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CDDF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F271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FCFB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3C22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F2EB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33BA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8820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590B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1F96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E327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6F91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3A1F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CBAF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1144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6FD5C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68C58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6D9E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6C87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878B7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698 774,60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FF509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593 958,40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C2A4D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588 156,29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39AD1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19B8362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7ED3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73F7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F6A8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B3A9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8BF3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0175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06FB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DF21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25517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B44B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B405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3408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401C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8477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D836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A000A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46AB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1C6F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E7DB6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341 860,03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D9023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290 581,02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36E53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168 212,46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04B59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4A1705A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035D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139E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A5CB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8D13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34A5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ABC0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1722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A455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7153E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AC08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A2D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4842B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33FE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B2CD4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7997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BA9A9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C92E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0CC5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03674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999 017,03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9DB2F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849 164,48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E83D1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584 696,44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7DA45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489FB3A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40EC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C293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AF41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7A52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CEB7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7047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7D0F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BC12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1715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AD11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78B6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09ACF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3C648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EA6E9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A214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E7946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352C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F079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62EE6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1 216 574,32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61C1D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1 034 088,17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55FA5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672 239,92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71E65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3F15F9E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BB47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C56B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FAA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3551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8285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3E54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3E3B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6E2F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2BF5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7CEE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E4D8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649A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967C1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23235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10C3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16193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225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FA52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37124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2 044 515,50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C4183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1 737 838,18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E2A0B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804 137,15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3C946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w:t>
            </w:r>
          </w:p>
        </w:tc>
      </w:tr>
      <w:tr w:rsidR="001A4750" w14:paraId="5BA7168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21D0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35F7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7439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D1A2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4F45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232B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50C5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B783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34C2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1AF0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7ED03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05A9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4AABA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A74D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59E2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632B8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8907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FBFF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9284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632 961,34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F0AD4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538 017,14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33A9A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290 042,71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FF212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3460D65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1818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73AF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31AA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53F9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9497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7B45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178C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64CE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466D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D2DB0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2A4C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BA2F8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BCF5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202BB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39F2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935C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30D0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CA53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FCE5C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748 190,30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0850D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635 961,75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116B5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369 210,86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4FEDC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2E7C04B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B77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E82D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142F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5DD7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1F9A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87D7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6551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020E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EAC43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752BB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1B1A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C9B1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9E2B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E6F5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62570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B167C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64A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C506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8C2D2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477 229,54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ADA58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405 645,12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B352B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131 241,11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7995F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65266C8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CED4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AF86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D879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CA8A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1D53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24E1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D97F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F156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997CA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4F22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F9C4E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0421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7958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44CC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7414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34E14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B3FA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8AA0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319CD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119 674 952,72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5A16A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118 843 027,18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22FF5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13 704 100,51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ABB40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55</w:t>
            </w:r>
          </w:p>
        </w:tc>
      </w:tr>
      <w:tr w:rsidR="001A4750" w14:paraId="4F74BE7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1F28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59EB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BE1B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4416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31F7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E03D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ADC6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A60E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7726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0A80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02B0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34CC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A1DF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0F4F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6A0FB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E978A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C6A0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F7A0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D98B3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588 523,70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BE913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539 452,57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D531A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300 241,15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DEFBF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w:t>
            </w:r>
          </w:p>
        </w:tc>
      </w:tr>
      <w:tr w:rsidR="001A4750" w14:paraId="05F2DC1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BCD5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5633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0017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85B1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F37B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DBC1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9D69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583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E1A0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D094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CE7E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D1A1B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3639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4526A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E855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35DBD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3F80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204E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6AFEE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1 991 261,10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C0E74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1 839 370,35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76BF4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86 783,54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94F11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w:t>
            </w:r>
          </w:p>
        </w:tc>
      </w:tr>
      <w:tr w:rsidR="001A4750" w14:paraId="5491B78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F186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B4DB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46C9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BD02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2168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BDB9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85B6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AF05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8450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FE4BE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B3657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4954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40BE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C960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79C1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0BEFC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FB2C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DF02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6261E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7 551 412,61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524BD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7 548 118,13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34FD3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1 221 067,17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E29C4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23</w:t>
            </w:r>
          </w:p>
        </w:tc>
      </w:tr>
      <w:tr w:rsidR="001A4750" w14:paraId="2080F36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3A22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49DF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1377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CCF2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8841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41ED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5356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23AB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748FC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BC96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E9FBC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6C710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3930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F8FF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6A74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F6A0F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89B7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6333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C92A2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540 397,64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6312F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464 860,44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DAECF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382 051,76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C2714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w:t>
            </w:r>
          </w:p>
        </w:tc>
      </w:tr>
      <w:tr w:rsidR="001A4750" w14:paraId="37B4FCA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05C5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7F43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427C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A4C8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B8A4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7F8A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DDDD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7B8D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F6D6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8BFB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4A54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911A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AB51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51E9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776B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5D463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5B77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0493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A1A7A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893 218,71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A9122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823 897,12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291D6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588 623,35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59F91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w:t>
            </w:r>
          </w:p>
        </w:tc>
      </w:tr>
      <w:tr w:rsidR="001A4750" w14:paraId="00DF50A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4DA0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022F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F54D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B375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B7E0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2F1A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26FB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87C4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8B8A0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39C7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A3134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2883B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51DF0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E681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025F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1FD2D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E956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9A14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1B88C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1 763 345,82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5C2C5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1 504 229,30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1ECA6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428 704,12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48548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w:t>
            </w:r>
          </w:p>
        </w:tc>
      </w:tr>
      <w:tr w:rsidR="001A4750" w14:paraId="2197496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25E4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B9B1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E3D0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149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6192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45E3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3947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69F7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5B26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EE95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DB9F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9137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0B35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14BB8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69F3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BB7C5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9E8A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2D4E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33B36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8 209 089,61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758BF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8 207 135,19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86987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1 745 437,68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94914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w:t>
            </w:r>
          </w:p>
        </w:tc>
      </w:tr>
      <w:tr w:rsidR="001A4750" w14:paraId="1AB6D37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E70B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B49B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C398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C7E4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8697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7F61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BFBB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8590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09152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7E1F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9643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B9AA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D3A4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661CC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6B8D2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13299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2EB1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58EE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B4FBF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10 777 728,70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32728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9 811 297,77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6018A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434 261,18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9FA62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w:t>
            </w:r>
          </w:p>
        </w:tc>
      </w:tr>
      <w:tr w:rsidR="001A4750" w14:paraId="474F935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DAF1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6D4F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9EE7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3419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C362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AF38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0963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49FF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CCDAE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F74B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2A91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0F958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E943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C5BF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5DBA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BF21F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86A5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915F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18569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5 834 798,39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BEB18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5 831 728,77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AC62C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1 535 982,87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55454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w:t>
            </w:r>
          </w:p>
        </w:tc>
      </w:tr>
      <w:tr w:rsidR="001A4750" w14:paraId="6CDBB10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D4C6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CB33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7751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7FEF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0870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C0DF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566C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9AB5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347B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8138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5DED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6E6E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A4F8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D9E0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7EF1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F8C5E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CE64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FDD3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4FD5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18 799 646,53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97356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18 767 936,01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E807D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1 507 317,99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8058C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33</w:t>
            </w:r>
          </w:p>
        </w:tc>
      </w:tr>
      <w:tr w:rsidR="001A4750" w14:paraId="1E05086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240D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350F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9647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4FC5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5F2F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BD71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AFB2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5116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D3FC7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889B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C706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4E00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8283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F058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9154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56D31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EBAD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6569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8482A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4 625 800,58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9489B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4 624 046,89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7538C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150 160,88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0F322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w:t>
            </w:r>
          </w:p>
        </w:tc>
      </w:tr>
      <w:tr w:rsidR="001A4750" w14:paraId="46DDCE5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1FE3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7808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DC14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0C70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49DE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F44F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A0D8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967D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4D0F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5B47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CA569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67E8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4E1D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D77C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CF439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60C7A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D83C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9F0E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F1B2A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6 987 646,33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601DA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6 307 693,23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5EF0E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1 036 924,59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4CA83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30</w:t>
            </w:r>
          </w:p>
        </w:tc>
      </w:tr>
      <w:tr w:rsidR="001A4750" w14:paraId="274FA8E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42F9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6BF3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6D5E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C74D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E38B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5CDB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6B58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2439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B555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9BC0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2FBA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1A5C1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4BA9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C120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0A150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D50E0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86DD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F71B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F7E80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17 987 923,78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8D61F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17 832 577,05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F2DE6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2 858 523,61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49C67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w:t>
            </w:r>
          </w:p>
        </w:tc>
      </w:tr>
      <w:tr w:rsidR="001A4750" w14:paraId="32A3551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0FB8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3084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60DC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0AB4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C2E1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6097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9D57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3B90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2EE9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C3BC3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176D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C08AD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9ADC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1592F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B4F10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8FF38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7DAB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1ACF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A4C73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88 511,17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7C88D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87 711,51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9A687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13 648,19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A748D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w:t>
            </w:r>
          </w:p>
        </w:tc>
      </w:tr>
      <w:tr w:rsidR="001A4750" w14:paraId="4A97DE0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048D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AEA2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ACA4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3D21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43B0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E7D5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F2D8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56C8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5BAFE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778AC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13E3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FC9BC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F250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188B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9AD5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07F04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99F4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51B6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D96F3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14 678 678,28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8BE76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14 174 485,83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38EEC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4 155 630,55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2DF18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53</w:t>
            </w:r>
          </w:p>
        </w:tc>
      </w:tr>
      <w:tr w:rsidR="001A4750" w14:paraId="7219FD8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2E64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E2A7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4187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04F3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0188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F09D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CCEC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95EA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5534B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D3269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D5D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80A8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C24B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E5C0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26CA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3221E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4C74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0F4F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661E9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8 342 823,27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AFC66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7 716 994,28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5BC89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3 211 121,37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2C35D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34</w:t>
            </w:r>
          </w:p>
        </w:tc>
      </w:tr>
      <w:tr w:rsidR="001A4750" w14:paraId="5AA3CFB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1FF3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BACB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2482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BF27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5726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5DC0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B022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314D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7350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EC76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9238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9206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094F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3163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BB50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02617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6217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3055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3C837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3 393 070,41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8CEDC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3 346 382,59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8A10C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252 146,15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B2925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w:t>
            </w:r>
          </w:p>
        </w:tc>
      </w:tr>
      <w:tr w:rsidR="001A4750" w14:paraId="6D89291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658D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E6F4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3659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1B34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C4F5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02CB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4339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138E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3E44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D59A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845C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D81B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A899A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1C3F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BA91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67894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0A69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81CF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F98F5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1 425 389,31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FDC1F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1 383 715,78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062E9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832 997,31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3724B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w:t>
            </w:r>
          </w:p>
        </w:tc>
      </w:tr>
      <w:tr w:rsidR="001A4750" w14:paraId="1002802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FB68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E5A3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C37E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DBCF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C1C1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19D3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CBBD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39C4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32B8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DA64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59C4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C977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FD3D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2AAEE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84BD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5802A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69FF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8949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E2189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5 890 550,26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D72DA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5 205 561,74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FE573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1 212 636,78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6508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w:t>
            </w:r>
          </w:p>
        </w:tc>
      </w:tr>
      <w:tr w:rsidR="001A4750" w14:paraId="21E6C70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FAC6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A8E1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DE60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3873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B30F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5EB9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086D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5A48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A05E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68F3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4C2B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3EA68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8650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BF63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67A7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8432A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98D0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8259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A59A1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1 632 492,85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14B7D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1 477 075,99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DDDDB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404 274,72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8FA62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w:t>
            </w:r>
          </w:p>
        </w:tc>
      </w:tr>
      <w:tr w:rsidR="001A4750" w14:paraId="45754A6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6DC6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74B1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CC22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4E10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DE3D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EC47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8E4D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4665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A430D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F252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46051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3E57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B4F3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0005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ED3BB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19765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DD8F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D2DA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144A6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4 088 979,28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77CB6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4 082 680,80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C2204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811 670,02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5D398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w:t>
            </w:r>
          </w:p>
        </w:tc>
      </w:tr>
      <w:tr w:rsidR="001A4750" w14:paraId="29BC2D6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B376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E84B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B108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A9DC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6B0B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AFA8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D4EE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BDE2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B3EB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58E4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322A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8718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C55D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9AD2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87C1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17D2F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0480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C77D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33D41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4 306 428,82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5D0DB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3 952 673,30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E2F8C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530 493,62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6E839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w:t>
            </w:r>
          </w:p>
        </w:tc>
      </w:tr>
      <w:tr w:rsidR="001A4750" w14:paraId="2A77E61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2581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DE1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F7C3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1D7A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DF8A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D436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49BA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74DD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5797A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624B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F243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17EE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18BA4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AEA9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BAE6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2A5BA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09E4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99EC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0B092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6 817 956,69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6C274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6 808 064,20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2C2C3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2 065 860,93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A8BD6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31</w:t>
            </w:r>
          </w:p>
        </w:tc>
      </w:tr>
      <w:tr w:rsidR="001A4750" w14:paraId="4C6914A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C23A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5A54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7364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E67F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B5FD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B90A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C92E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136E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95C7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1A745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EF144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EA22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29AF1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2E88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34A89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34B7B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79DC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1A4F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5BF26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4 887 352,34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6EFB5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4 801 969,43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ADDD2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2 565 811,87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08F34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32</w:t>
            </w:r>
          </w:p>
        </w:tc>
      </w:tr>
      <w:tr w:rsidR="001A4750" w14:paraId="387951B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491C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CFE8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26B6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32D7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78EB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F41B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C1E8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0262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8C91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C7C40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B76B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A101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B9C7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18C6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72E01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0C173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E293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3456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D40A2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1 285 053,50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955C7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1 279 401,93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084DB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552 099,04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9955B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w:t>
            </w:r>
          </w:p>
        </w:tc>
      </w:tr>
      <w:tr w:rsidR="001A4750" w14:paraId="7BA2751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4017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C5AF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FCDE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E1E5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3375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3586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84E9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F97D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4EE83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2E6E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5F6C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E092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5C9E9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3D74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A95F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BA130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787F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AD41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B87F3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13 105 088,79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F41A6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11 592 506,26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A66DB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1 144 628,03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CCB0A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37</w:t>
            </w:r>
          </w:p>
        </w:tc>
      </w:tr>
      <w:tr w:rsidR="001A4750" w14:paraId="2A360A4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7420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19FE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510B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328E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8DF7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4CCF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C4FA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D632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52F9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2C10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9029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961D2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EA07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3C6B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013C8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7B7D1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7A3C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5E01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7DE1E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7 474 037,79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513DB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7 393 707,10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B8FEE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2 247 460,88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18B07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w:t>
            </w:r>
          </w:p>
        </w:tc>
      </w:tr>
      <w:tr w:rsidR="001A4750" w14:paraId="45C66D5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3488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5441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5434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687F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EDCE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12CE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871D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9587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6F28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6FCD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3C94A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FBF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FED2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DD2F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7B7A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27F06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3D6C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7D9A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9499B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3 257 492,75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DAE2D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3 247 704,99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3D439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194 169,22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580BB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w:t>
            </w:r>
          </w:p>
        </w:tc>
      </w:tr>
      <w:tr w:rsidR="001A4750" w14:paraId="051D57D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5D27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BD65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F9F2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D823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DDEA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681F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9149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CF35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3A3A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F47B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3B8D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B5F5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99B6F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0D7AB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29E6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72CD0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30BD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DF82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8FA76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15 986 207,28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168AA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15 586 009,29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D1761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2 623 548,27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AC394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30</w:t>
            </w:r>
          </w:p>
        </w:tc>
      </w:tr>
      <w:tr w:rsidR="001A4750" w14:paraId="1C45601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BFBC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A217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65F8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0245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30A6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63D7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3DEB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762A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4EF1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969B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D8441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B8B7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650D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BB64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FF67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41899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4858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6697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C77F1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6 701 858,67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63784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6 523 442,62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09733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1 487 006,30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94D1E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w:t>
            </w:r>
          </w:p>
        </w:tc>
      </w:tr>
      <w:tr w:rsidR="001A4750" w14:paraId="48BE6A2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8500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643D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AA56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D176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080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3DD5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33D7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F17B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11E92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2AE2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4C88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0D2F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E119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88FB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33A9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F1C7A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8561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EA2F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2A6FD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6 990 213,40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1185F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6 850 555,20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4E278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1 427 800,58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505AF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w:t>
            </w:r>
          </w:p>
        </w:tc>
      </w:tr>
      <w:tr w:rsidR="001A4750" w14:paraId="32093F6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FC46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1FA9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A5C4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6775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1DAC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7D20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51F1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B452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BF8D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D45A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5608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82F2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AB10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B520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7D94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46F01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75EC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0219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A66E4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4 784 158,25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E168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4 475 072,19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7192C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2 908 240,39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194F7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23</w:t>
            </w:r>
          </w:p>
        </w:tc>
      </w:tr>
      <w:tr w:rsidR="001A4750" w14:paraId="4B97871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D2F3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E259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81F3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6445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BA2D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73A4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8896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F5A7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399F5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A2F3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60504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F434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7F4C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960F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E62D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7087B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148E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AE24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CA455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3 866 767,96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D25CB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3 805 401,94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3BB0F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492 184,42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0107D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w:t>
            </w:r>
          </w:p>
        </w:tc>
      </w:tr>
      <w:tr w:rsidR="001A4750" w14:paraId="63574B0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268D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0D0D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C065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14D2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D7B3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149E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139B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52CE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D5B08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E0E0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093C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6DFD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9A7C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9C01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E9DC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C0072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DF91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D336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CCDA8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2 218 286,84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E9208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2 116 612,20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92861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115 385,14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2EAAB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w:t>
            </w:r>
          </w:p>
        </w:tc>
      </w:tr>
      <w:tr w:rsidR="001A4750" w14:paraId="2741D83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E70A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7CC7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FC15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BF01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ABB3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0872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0DE6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4BBA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457B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AC4C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111DD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B346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9460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3B9D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08E1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BDAB0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580D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052A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425DA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5 833 876,44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0EA0D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5 756 783,98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3E062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878 874,63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7E745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w:t>
            </w:r>
          </w:p>
        </w:tc>
      </w:tr>
      <w:tr w:rsidR="001A4750" w14:paraId="1E90D06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1183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F3D8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B77A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F58E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68C2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783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B4FE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866B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E308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C4D7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79784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078AF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6A08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E47F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FA507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ECEE0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7410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97D1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3BF13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9 348 049,37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A25AE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9 263 585,07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85E3B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1 920 778,79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7D221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w:t>
            </w:r>
          </w:p>
        </w:tc>
      </w:tr>
      <w:tr w:rsidR="001A4750" w14:paraId="70A9019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98AE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76DA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98B8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DAEB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93E5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CD6A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7A17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F37C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026E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4AC90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0F39A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24B9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DEF6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A5C8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060C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15D3D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6C70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15EB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F05F2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6 466 680,88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7F633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6 345 598,44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0EEF9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1 101 178,06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0ADC0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23</w:t>
            </w:r>
          </w:p>
        </w:tc>
      </w:tr>
      <w:tr w:rsidR="001A4750" w14:paraId="5737DEE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AFDF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2D11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01AB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2F96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BDB4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BABC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5B3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46C4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E65F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F8BE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C1B7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A030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602AB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5410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16D7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62C40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07C6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5C69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59907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12 385 534,26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0791A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12 264 891,70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6C640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4 233 685,73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4633A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w:t>
            </w:r>
          </w:p>
        </w:tc>
      </w:tr>
      <w:tr w:rsidR="001A4750" w14:paraId="42E92CA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6F83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1ABD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DBAF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E874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BFAD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AD4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2DB2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23FB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653B7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A6F2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C494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849B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5CBD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DF1B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4090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EA9F9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F97A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EA3D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51EE6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3 800 631,02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34258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3 731 456,75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0C81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595 084,28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5A0E7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w:t>
            </w:r>
          </w:p>
        </w:tc>
      </w:tr>
      <w:tr w:rsidR="001A4750" w14:paraId="51E7817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635C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D73C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34E8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C943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3D06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412C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6203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36E03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45C89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2E5F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17F55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2CC2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1B9CA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5633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F509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71C5C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BD4D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4357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7FC14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6 016 846,00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26B87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5 885 856,34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7F170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1 305 958,69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A4308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23</w:t>
            </w:r>
          </w:p>
        </w:tc>
      </w:tr>
      <w:tr w:rsidR="001A4750" w14:paraId="5DBC9AA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5E8F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019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A87F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31B2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8CD7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3C54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912D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9BD6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7D30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BC19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26E3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F08F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C255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66268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E1F2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2F345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F709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317A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2454A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10 145 034,92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D0AE9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9 843 727,77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C780F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3 317 025,36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AC86D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w:t>
            </w:r>
          </w:p>
        </w:tc>
      </w:tr>
      <w:tr w:rsidR="001A4750" w14:paraId="42BB96B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86B2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84F3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8AD1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9B97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032F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545E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AB65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69D5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3170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C0B9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9BD4E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438A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3719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8A9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24A3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9ACE7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EF9C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490D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8E223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12 873 375,45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C3B39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12 873 375,45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CE256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1 173 854,94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7E20C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1C0E9DA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925F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5804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A8CD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DB64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9CAB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EE1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A573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428B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E146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5AE6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4138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10AA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7692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D4CE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F59D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A8814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7487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6E5D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12993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9 555 306,28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8D590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9 555 306,28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9C5CC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4 536 640,01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9FD08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63D17D2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C335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EA8E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6EB5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2438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A491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6530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062A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8952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3F2C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8CEC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5E42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1E0EB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2776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ED3AD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F747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802F4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A3A9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B1A3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DD01B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10 994 460,01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969B4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10 622 155,23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CF9A3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3 494 276,05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5BAB8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2FA9002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BB2E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F34B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AEC7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1B87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1AB9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3A01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6922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5736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DD3B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49E4E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E050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7A813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BC4BE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B817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7454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D893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E58F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B05C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C9073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6 526 619,39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26996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5 547 626,49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D6F44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654F8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017E8F7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77B9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19FB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C6FB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A345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B90C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152A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0F94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C93F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8E02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F0A1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81FE8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0F83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3861A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06C1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3434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E1036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4D7E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E8E8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2875A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56 971,03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37923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56 971,03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F21C1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52 301,71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2C171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2D164ED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51C3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D29D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FC4A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CFE8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1C50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3A4A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44C0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A1CC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3118A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8C5FB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41CD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68DF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64A51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1DB9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611C4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86373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0123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A8B8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A8B64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3 060 734,60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66153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3 060 734,60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49B5A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C9AD9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7C10918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DBF3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262F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EB15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AE3D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8937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16DA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C42F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5581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5D3C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DA019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7B81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1C4E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FA65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1C48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0E049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D205A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3046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0EF8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669E7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4 008 561,82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DA669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3 808 133,73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9E988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4D6B0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342DDB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AD11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9308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CB3E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39CC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5829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2C0A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ACF8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CDBE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11F57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029C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2FB6A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7E37B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2C89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B6FB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CB7A2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19C0A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0066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6F50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79395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1 207 443,88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9A119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1 147 071,69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A22DF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1 041 844,19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CA419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ECBC0B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3FFD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EA6A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FB45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981D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AD53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5E01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5C3A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3E13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8C5E9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16DE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52FA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614B7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998A0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4FD88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3355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6B312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4A8F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682B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56E61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4 943 644,33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C6C77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4 917 253,49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E0084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387 093,94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A9C3D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34DFD20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ADE9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D561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D20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6CC0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3407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1424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D159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6EAE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241C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53DD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75E5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FDCA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48D9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CFD8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ADFF3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2507B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A517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7AA9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C861B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216 031,20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5A7AB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200 976,55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23476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30 675,06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781C3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63DEC95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896B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EDEB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663F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A0ED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C9C2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3DA0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45A6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0316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8151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20BB3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BC43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7AD52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50CB7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9B07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6B32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6EE7B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BD30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EA30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600C6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4 803 805,77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C7DD8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4 803 805,77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893F6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380 151,52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53473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075E6F3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DDE9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60A6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E1AF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2644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2B50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B3F9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7E57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DDD1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754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24400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B9EB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7BDB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ABD4C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0FEF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6E72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24832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C7BD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B4B4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86AB1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13 686,98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5EC24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13 686,98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4F589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1 646,24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05461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133A2B0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DC83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A59B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4E53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EA4F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EB6F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327C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DFB9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DB823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2067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2418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C11BF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5BB3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FC09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FE33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1635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08F35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6D2F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CF66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8BACE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4 990 964,24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744CF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4 990 964,24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B98B0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248 959,23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17699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676729F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91AA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5411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3472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0C0B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3146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5F15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D9FC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71A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A009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A66D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B52D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97EA8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0CBA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588D5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33F1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BAA3C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2AC5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F599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15A5B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40 649,21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8340D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40 649,21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5B260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414,60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CF0E6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1AAAD74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14E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ED95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7B62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8FAE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1C29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65C8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C1D0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6D22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D07D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68E0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7456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1C03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CC78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35745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BE3A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57F7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57B4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BEE0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C20BD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7 651 273,19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4CC69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7 651 273,19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6C65E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1 760 877,91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8D315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651E755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10D4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A583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BC06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6002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5C68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11B3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1BBA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EE7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5FEA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B7F8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CFB4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3FD9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8A8AD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FDE5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49EA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C3D58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E4AE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03B5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56FB0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3 901 520,94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E8AA8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3 901 520,94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E31AB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1 392 851,46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83D8B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65CED26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8985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D408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962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56F0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45DB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FCF7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B34B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5B9A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3620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79DC3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02C7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7CF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CD2D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530F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96AC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59D83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C91A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194C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A937D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6 482,63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CF930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6 482,63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8A40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29,89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C864C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672D500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6B78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0A70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81B0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5FE9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889F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5DCD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9BAE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84C5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93A4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1C78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36B22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5EB4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2C58D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58043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A6BE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031C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E329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AB2F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44F9F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10 850,02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37852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10 850,02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FCEB9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E6A3F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BE2AC6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6550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BECA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6DDD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D123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3B93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8CE8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AF00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B24C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36071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B95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74E1A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016AA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648DB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9D56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0305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F0625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F8D8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A30C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1873A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13 287 632,43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1A513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13 287 632,43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AAB2F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338 603,04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A0EE4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5AD531E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FCE0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4177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9021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6CFF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A1F9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E46F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A7E4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546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D827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653F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3A2A0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6B9C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6EE0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A08F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AF94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E487E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3E65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DB4F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919B2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7 154 699,25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FB0B8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7 154 699,25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F60F6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4 513 795,05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B91E8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70739D4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E762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C7FE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6AA6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8F90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9605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6019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C64D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981C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8309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18BD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37034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8644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012C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23115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5D4E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A72B5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372F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1E96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89643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34 305,10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D67B7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34 305,10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4C04E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4 404,76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662A5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67E4F71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64A9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F84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4FDA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8E5F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F98F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F55E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3FC8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0398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EB267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2EB3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9E09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E3B4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92BA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113C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43E0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139EC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BEA8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63A9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6E253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4 916 091,95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97095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4 916 091,95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4D745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1 886 304,16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74261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2D24502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E858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8F0E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3BAA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156A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B591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A61F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0290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7D39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1E043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94C7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B202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0935D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6317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98C5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DD65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7A0A8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F375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EF84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C8280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2 497 929,82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B4CBB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2 372 807,69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F9162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1 119,87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D2F59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362EB3F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2418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D182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9784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B1C0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2106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1228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B04D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8C50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F5F9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7B35B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C83D5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E706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E2143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2F97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E4D7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25CF7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94DE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1C24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C1D4B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5 515 735,23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096B6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5 317 731,93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6A5E3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141 447,73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ACE08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58FC9F8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BB26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CF74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ABDE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8D06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2DF1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8DC8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3F4D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8CC7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C57C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4643E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A86D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7068C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6F8A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10220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F6BA2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4FCF1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C99C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7827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7D635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7 942,61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583AB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7 942,61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D0ACC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825B7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5115293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80E5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E0B4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66B4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1CE6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C160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B0693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C267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A73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1F067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48B2E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049C1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E5ED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E6BF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530F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6BD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2677D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CFB0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AFDF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278B4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210 857,28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1754B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210 857,28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1B0C7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B8F17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23BC3C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DB16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0A28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D209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CB42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BCD8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C798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3BDE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DBA1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C5990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8D2CC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FCFE0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AA44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01D4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3E754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25A9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E7D14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559A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082E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F1832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1 255 321,62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41062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1 192 555,53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9696C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2262F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5A9CC3B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24A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74E3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413F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3441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B4AB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11B2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FD01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230F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1BB6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3382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341D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5383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FA28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DFFA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A38B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1DBEE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3280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70BE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5753F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277 203,60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3E0F1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235 623,05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D5BAB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14 196,37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683A9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6C76875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0C3B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500A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AAFF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284A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CCC3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6657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2473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724F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72FC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4F28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CBE5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4192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A35EB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7480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67CE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7BC5D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621A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9241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F43EE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4 105 732,38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1EECE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4 105 732,38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74305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6F575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F6BAD6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33BD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0137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B8EB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3BEE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3C26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A22B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5D5F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260C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AF7BE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3182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7B32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5E64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4636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B8A0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EB08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AF6F6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519D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53F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2FFED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4 941 569,45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502C5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4 927 057,10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C1BBD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1 123 557,63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50878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4315900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E7B8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9966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F9B5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A8C8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1C18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D8D9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1B26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94BA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BA40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3651E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F03E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8BD7C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E176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8C40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89CE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B3FEF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49A6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89E7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83B74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113 942,07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1AF03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113 942,07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7F3F0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104 603,42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A10A5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21093E3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443F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49D5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8EDE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04E9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7748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3676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6E1A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04D4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6B28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F035E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5017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A2D2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70B27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7C33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BEC10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FF09F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2D66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CD90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38E98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25 821 526,41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62E7C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24 582 774,88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62CF7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3 776 457,26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E63D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2A0A409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A4C1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A555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C038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4421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CAC7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5535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FCBB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B038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7E99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C2B6D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ECCF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ED2E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1E2A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4447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7132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B172B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8B5B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34E4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329DF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13 126 502,70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E30B8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12 806 223,66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3D60F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981 678,29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BD4B9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05F6B86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5BCA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764E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BAD9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25D7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BE06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07E0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4234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E881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BB68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A11D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02CD0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7F314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920D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2503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1036B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0F5FB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D714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354F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42B29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3 950 576,41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CA9CF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3 753 047,59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F422C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1 403 950,81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E6A93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1E583CC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0C8F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DC6E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94CC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8586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8582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E053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EAEE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BF20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43B3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576BD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CFFE8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6547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8648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9B80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9E93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86167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199C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9A1F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C11E7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5 429 704,49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BA453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4 973 176,62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FD6F1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786 893,22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9AF28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7FEDF2A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2171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FA94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1C12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F8E5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96D0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C05B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89E4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1678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22FE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7E909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DD52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684E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90E5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B5878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1C3F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C1960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A42C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476F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98571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7 040 936,50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52353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6 473 136,75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CF943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2 069 318,35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75954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08880EA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82F3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CCA7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4FE6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5179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B0F6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DC5D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EDF0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3D3B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2EDD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E37C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3814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84A8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3348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7973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61A7C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6DBB2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B0D2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FE0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C9449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4 206 610,77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585D6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4 206 610,77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04BD8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3 121 704,36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E8581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541681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A5C0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CF42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2F9F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0A94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F9D1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60C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AD8B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D4DD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4D7C1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9DE21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F813A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16D2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9A04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B563C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C10F3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71E05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B738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FB8B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10790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1 749 802,16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010A3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1 662 312,06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F2C58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297 501,86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9110E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E99289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4351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8E76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5441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5933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26CF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E1B0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31F1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1B7A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42D28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9461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68D7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23F11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E58D0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5FEE8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4E98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40DA1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FC24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09D7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8E93B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6 420 651,87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C6541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6 328 877,06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5949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3 217 467,70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71ECD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7BA8C7F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B5F8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0743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C705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1FE8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2532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1912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D8FA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08B5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2B67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3DE1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EEE1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3F4D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97E4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298D7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25A7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9610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FB5E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782B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1F8B6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1 570 380,58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33591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1 460 944,91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EC9D9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222 984,08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65ACF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38DAA52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0CE2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6CF9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9A31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63F8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4D9A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1FD2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E561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E1E8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967E2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7304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7204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25BFF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42FED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364A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CF41E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20014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DDC9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9287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6F7E6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8 738 385,66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5166E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8 569 097,95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E6515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239 837,04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CB35C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4A80A44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FD9F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D555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435A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F01B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694C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A47C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3AFC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E5F3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ABB9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F4B4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CC14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394B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07ECE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1824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4D44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5383D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F5C6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C30B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8A982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15 677 122,59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FB179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15 677 122,59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C58B8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625 238,95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87457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3194E46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2AD4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1B2F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FCD0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E03D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A407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BBF0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0DE2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B3B8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C3791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092AF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C133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D7CD9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F785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C3C9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2669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9FD7F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2E2A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12FB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404FA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1 902 776,88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3BC15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1 902 776,88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4BEA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319 004,90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C318A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52BF24E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0A3B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A4E3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C39E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ABAB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E952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08F9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585C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F37C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EE80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C14E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F534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E4FA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7CB30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EC7FC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EE37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D322C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EA15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55BC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3E347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861 385,56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701EB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861 385,56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57FA2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830 316,67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24543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6B74435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F7C6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7B7E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A824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9CE4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F8B5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5556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EC79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0AA1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E512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0604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F38BF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4E160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AF7EA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99C4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2380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FDCE3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DD99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55DA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B2F44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647 312,02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51B13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647 312,02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09578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6 611,84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6F1B3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2843248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48D8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9CA8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0497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47A4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87F3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87E8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F8CF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4186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E180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0878A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09FA4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D384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9E8F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F6C5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FD19E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D8A75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9778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F51C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61F80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124 125,39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74C3A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124 125,39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822CA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25 114,86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F8578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750ED4F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DDD9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EA87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4D06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07B5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D3AE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DC85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0612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F5B4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2506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6D4B1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E6B80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2DC1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651B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E65C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84272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DFD46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E4FC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B260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299A2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227 263,52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0C77C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227 263,52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5B04E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87 797,12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D8D2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33A3E77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0C77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5306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3527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2E64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D3C9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F030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8394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F5EE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BFA5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35F4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E86E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D1EB8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513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FC7DB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7062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7E993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C9BE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ACD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87F1E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2 547 918,96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58613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2 547 918,96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9678A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31 161,19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9ED02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6FE94A9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F4B4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C22E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7FA0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4BA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B6D1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9E5F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D03A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5F9B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ECE1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8E44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DCAC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CDF0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9E85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6B24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65D4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86704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8DA8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8577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3FF35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685 241,36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67F77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685 241,36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8CC74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C4BF3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1CDA354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DF95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7108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6553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4E5E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82ED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D4CA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61D7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8970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A363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3947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838AF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77E2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42CD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D63BF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C84C9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2E04D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7C35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AF2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FF87D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549 728,75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0AF83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549 728,75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E1D7F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307 736,96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26BAD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330D016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3AAB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D5FF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B2C3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0FF1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A76F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6306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069E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083C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FB57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5EB9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ECF1B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02182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666B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3B23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856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7CF6B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12FE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CB19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95755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1 864 324,28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C3351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1 864 324,28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D88CD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1 859 997,84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9F29A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0657C57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FC50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A31E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C5C4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1037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2150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0E9D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C5C3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E286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45AD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0AD21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2A74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D1A7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0F52C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7D05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30AC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524BC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32B8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D4A6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14CD3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2 139 713,36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112E7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2 139 713,36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2F63C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1 015 927,91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13315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1BBBAF0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3F6C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3817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E142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AED4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19D5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2D4F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445D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BB29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22199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3D39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CA6C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BD98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7DC89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851B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7725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D3AB5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6145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A8CD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EE2EF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14 523 378,04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8C7C7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14 523 378,04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90C18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5DCE2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36A50E8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35693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134B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56E1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264A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F449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B510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4B31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BE71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19D9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BBA2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4A96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8194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250F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DCD4E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E1AB5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78071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B5FF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106B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021D0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6 116 322,26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20A0E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6 116 322,26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C9DEC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1 612 621,46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74C48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3048966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2BC2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D5CB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FBAE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74EC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A143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A02D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10A8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1B97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93B58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A7DA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6609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887F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84845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D6F6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C991F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F293F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2361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65B4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CBAB1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10 305 299,04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6F312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8 909 226,10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BC731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1 001 452,91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970FD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57A7E7F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BFF1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A25D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F568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B6C6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FC1B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B5A7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F51B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3E3D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CE0E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053D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12AE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AFFE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BFDFB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F6DD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A8E02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AB7B8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AFAC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6995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AC0E7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19 214,98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B4836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19 214,98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214CB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89344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0D718E1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7B4D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5E75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BC6F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079E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5AEB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FF06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9650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A762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738D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01FE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9206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1282E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34A1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218D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382C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FDF82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2715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7604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84628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126 663,80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C45F1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126 663,80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808F8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0E30C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3D0896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640B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125C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7CC1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2031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0649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3485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F704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66E2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FAC1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E5B3B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2B41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8082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1CF7E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5FE20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6E7F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241F7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D793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4891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F5B8C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2 148 351,06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BE46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2 040 933,51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A2287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839 243,40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F6F98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1D4BA1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337B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2028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BDD0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F296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83CA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F0AE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509E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E626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5844E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58C9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2DB34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4498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9630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D377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A44D0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2B92B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A8E8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EF24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5EA91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284 712,25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89793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284 712,25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FC5D7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999AC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7551E5F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F4A5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8C7D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AB42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2C8F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7A99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64B6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C357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F3AC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2672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12A2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EBCE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6018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A028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4BF1E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8C52C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4FB18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5A1B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D906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DA063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2 771 844,24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2CE63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2 633 252,04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887FF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619 933,55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A29C4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1EE9CF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F052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9253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A894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5735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B1C7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45C4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A1E3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8FD0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3204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D5E9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6495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BAD3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3DC5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CACA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C562E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715DC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26F4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6F89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0356D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4 456 183,01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27981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4 456 183,01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02EC0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245 721,91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26509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65B4B73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08A4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A758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02B5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03DD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482B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B919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227A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C319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B8433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F84F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017CC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1C06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2E74C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4315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8C03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5D9CF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5C16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E6C3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2784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775 658,09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FDD9E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659 309,38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9C1DD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39 723,61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30EB0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554C321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E6A7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BE75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C0A9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3917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390D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D90F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3939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649A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84FF4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41D2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2EDFA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4786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F90A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22FC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3805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47367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01AB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24F9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92C5E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2 809 993,11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F7D0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2 809 993,11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2D036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1 213 231,18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E99D8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44A7507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2A2F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727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2F72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581B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361C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F66D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C9A1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5659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BF7FE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9AEC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64699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32E8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0B3D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4C78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C884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7CD4A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F72E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AD02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33B7B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4 150 263,30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1A990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3 942 750,13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6E77D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1 922 644,97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F75C9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00D4403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C6AF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5281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427A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5B1D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8AEB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6ABF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B31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B69B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7AFFF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BB5F7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4AD1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65DA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71D9A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B8D6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129AB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C5ABE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60A5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C628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FF493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2 163 965,46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A8B62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2 163 965,46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608A4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1 986 607,67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A486C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68F38FE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B12E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5FB1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34B8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93F4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2545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E85E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8998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A81D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8D1E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CEDE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4594D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6B00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0F46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073AB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64C9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8050F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AE8A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1036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FAB29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8 342 490,75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A3043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8 109 077,44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E5308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1 086 884,96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84A67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1CA27FF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E56F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FC43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BE4A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3813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55B7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658D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FB6F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E480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2231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C8BD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1DBE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1264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AE19E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242B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9748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CB53A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5553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6515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EE318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1 047 526,89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EE5DF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1 021 945,14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96708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21 836,21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6757D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333C7F3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1325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8ECC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5AE7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68ED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66C1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1D3E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0032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A95F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B51B7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EC51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02FD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B584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60E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7CD5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2900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0EC36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6B37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47ED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5D7C5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11 924 724,78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78CC8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11 787 950,38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4C5C7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1 402 540,78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835AB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4F8B214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E84A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887A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C97C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A9A8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A057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5841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C977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0891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B2C2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CE03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7819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76E4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2A86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6F48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2C4CA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8671F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CF31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A33A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0CFC7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9 596 784,59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3D5FA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9 356 413,50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8C6DE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3 599 211,80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60182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3158F6D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8789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B1DA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2396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6111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DA15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88B6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C5F2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F111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4636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A1EA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A77B5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33CF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A128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9027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531C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6B6DE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6485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7369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B1DC3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4 704 531,40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591C9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4 469 304,85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AAB02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1 595 547,23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33FC0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0BD797C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0306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2204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13EE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9E83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17E4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9EE5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C5CD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5F42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83278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907C8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050A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6330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567F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54FD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9680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CE224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059F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CDD4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4AE2A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10 736 594,81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E54A8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9 470 817,34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67EED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2 481 991,82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42558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43A4FE1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E653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12FD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81A5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B6DC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3881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DDB7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C8C4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24D2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9A52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5AD69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E6D7E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F4FD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AB0F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8DA1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6A45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F07EA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386A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4A09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55D99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450 973,78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88BD5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428 425,09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D54DE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371 503,74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1AB52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7DDAE56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B3F5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D908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2882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356E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D0F8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D1E1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D755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0121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74F6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1CEA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6EC5C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A6E2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40961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CBE3B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EB2B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023F5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4548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F634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55C4C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13 591 372,15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6B6B8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12 674 806,32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07D97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3 022 853,27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2EFE3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3C7A1C3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9FC2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008A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CF8A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09DD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7819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7F44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7B11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5BDF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9176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8DC9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6CCA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94E49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12FA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1E2B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8AAD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412F9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CB1F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91B4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D6D3E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11 207 262,54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8CC6D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11 088 405,17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B4481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2 417 224,33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3DB5F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5682178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9879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831D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1943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44AB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8139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75F7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A951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9816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997E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8836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B080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40D3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EC8EA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29981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BBF0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17E1F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4476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9542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17397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14 831 372,07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03802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13 797 813,05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57A1A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2 105 960,73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E02F4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2997841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CE39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8426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CAC0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5A5C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951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AA11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6935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277D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17494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6455D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3DA9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917ED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BBF2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51C2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AE110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D0D4F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881A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60D4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B8225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5 139 546,21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0AC17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5 000 929,02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ACEC3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1 410 996,51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EEC8B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675A3E6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3AF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50D0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590C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3A38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9FCF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EB32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008B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00BD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69F2E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997F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C713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460E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476A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C2C5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1CD3C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F4F8F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010C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4D52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53875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206 368,96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7BCAA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206 368,96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195AE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187 786,66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C136A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6364733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18C3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137C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A87A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79F8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35D4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1387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49CD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612B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DAC4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B01DD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7495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46A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8E70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8EF7F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CC47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97C5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5441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5B8C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32D1E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9 982 134,80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AA667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9 982 134,80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292F1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1 082 271,29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00024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05130D5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44C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1FAC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1BF2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44BA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AF14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13B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4E0D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72E9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85EFA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470A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63B7E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937A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DBE3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AE6A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38E3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7CA36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94A0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CDB8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3241B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4 519 938,50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0F581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4 519 938,50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B3C2D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45E94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51087ED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F417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2CDF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787F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B3D6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2BC3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F9DE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3EC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1F01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84A1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23867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EAE1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E6E8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60E04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844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AF4A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C074E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50D0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6911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CED22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4 720 612,39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60DB3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4 720 612,39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C5A30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47 526,69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0CB85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636432D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F65E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9C41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9680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D79B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6EA6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E723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4295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617C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E0A1B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A8BC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5A1E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4261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AC0D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9F83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796B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30735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C4E3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5040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D4190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962 304,28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CFE4E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962 304,28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8C30F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194 707,46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3FCB3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42A406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FEE9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4333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1B36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0E47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D0FE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C16E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C4FF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85C9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5E80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2317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3EFF3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D2819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C2E4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D2A5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2B1B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D0401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3780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3E40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3E5BA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1 799 288,84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4DE82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1 799 288,84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CF467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695 106,59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CFA64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41030E2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F607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9680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C1AD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17A0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6FD9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06CB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CB3E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2801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C0BEF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6B9B8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3A0C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F37E1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38DF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D931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577A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029CB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4234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E8CC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0CE5F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2 629 692,49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DF2FA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2 629 692,49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354F8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12 123,85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399B2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717D9DB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42AA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A198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6C28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6CD4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2B23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08EC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5C34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5170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550E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1378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10BA1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BFA4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27D8B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B1C7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4391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2ECFB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E2DC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2EDF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38313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3 976 581,98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C4A19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3 976 581,98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78B1F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1 647 398,16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5037E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4B17C6F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1764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65E4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006D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7665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1826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7A1D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C47C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E567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C1F7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3125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65E75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69BD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9C20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8F21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005B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B2199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8D09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C49E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FBB72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7 242 073,45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DAEC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7 242 073,45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15F14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1 760 986,85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D763A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0698549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394A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F196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22B3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3C9D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6D10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26E4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188F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48C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BD443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EF7B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545A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1A9D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28D9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2BCB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1B7D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AEA95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3E0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DBE9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8E34F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2 433 545,21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93209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2 433 545,21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55ABB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1 033 577,82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A9CFD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690C45D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F0D4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1FC6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1053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5A9E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8DE8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2C53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972D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685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6D04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4CEB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F382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E3B75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FD117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94F1E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1110A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B963B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3407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1287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E1A32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9 197 203,07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3D11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9 197 203,07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D3FD9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672 608,62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B3568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174B130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E176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86E5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286B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B430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C339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93B4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9221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1647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BDD5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B046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8024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0256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C78FF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EBE79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20E11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687A5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2A11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F325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01F5A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4 811 829,65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3995E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4 811 829,65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38C36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90 154,26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ACB29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53D9700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26EA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042D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62DE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0182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F62F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8809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E342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87D2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AAF7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E193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E12C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748F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A784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A179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B6E5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94DC0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C916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66F0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12725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14 927 223,95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BA3A5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14 045 269,55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5E072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672 973,94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456FA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7D7F7D8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AC6B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A12F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ABF0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486B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6348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EB2C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204E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8125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950B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EBE4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3633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585A4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CAC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E34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E5410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FC5B6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4A1D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542D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57103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9 886 873,95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16C0A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9 657 675,66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E9FEB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178 539,49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DCAA5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560B436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FEBD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A625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026A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C140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E6DA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5D95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3A28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392E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C92AC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7A42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4F289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D428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1A11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755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321A0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1CC76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1A53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0300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32C57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7 368 412,58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CDFE2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7 045 515,68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9B361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179 414,34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77051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7056407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25D6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B157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71A4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D350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CBFE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F250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167F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20FD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AF0A9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361B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C6CC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A736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D85B6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37AD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FA7B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5238D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5A7A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1F17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DE1EF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4 371 080,97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571F9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4 371 080,97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636AF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89 459,71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0BB61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5AD67E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F4DF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40D7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9B22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7D06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7416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844F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EA21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0BD4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D76F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EFBB6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F593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17F0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81C62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9C9A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E56D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B244B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02E1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A0D7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7CC8E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1 844 656,36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340D1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1 844 656,36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E7675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46 742,26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74B76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5E418B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7CF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54BF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52DB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C474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B4E9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7924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67E4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C458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7FC7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9C5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E3B3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75B79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10C67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9B90E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1228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A4223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C1E7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E4CB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5C04A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654 450,87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2BA3D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621 728,33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39E7F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16 638,80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83EB3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53DFE04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95F0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37BF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B9A3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D0D2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29F6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D850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9671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8B7F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AB18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DAB33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1B24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4D2CB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B840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7DB3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525C2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A5AC4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CE88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5FB0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FFCDD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8 244 640,62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888A3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8 244 640,62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2A78E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79 624,50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6C2BF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107A8C5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ACB2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4BB1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F7B8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6780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A75C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99E0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3684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7411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C5D4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7A25C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0863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EED8D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0069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D26C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A7E0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4F585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FDCE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F991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5A540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4 336 462,44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56C7D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4 336 462,44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3C820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242 567,35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543B7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1269EE0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67AB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3852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B10C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3678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BBB9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D97B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5E81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A234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B76F4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347F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02F4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7CC0C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FDA2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522E3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C43EA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A4C04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70FF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188B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E1F0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6 899 216,51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A28E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6 683 940,31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BF6D4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2 232 372,00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CFE3F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694EBC5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DD2D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34DD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2591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540B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4DB8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B106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5AF7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E0ED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006D5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6FBC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9FA4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7714E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6997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DA12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FB57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5A938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D9F9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56FF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827B4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2 604 177,86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C0DE9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2 213 551,18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28015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133 367,20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C9946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6BD7D8E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9BFA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E1D5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CE1C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3369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5A47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768F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79BC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506C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4F927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B2861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D011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2EE0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679E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4465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ED6A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2300B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DF1B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4172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D3990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421,25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A2A8A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421,25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2C623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368,75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C17CA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w:t>
            </w:r>
          </w:p>
        </w:tc>
      </w:tr>
      <w:tr w:rsidR="001A4750" w14:paraId="7D09A70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A7EA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E9B9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7F9E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FB02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920F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6732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12BB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AA50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D298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2106E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131C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28A9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EBCD4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2F8C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27B4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363D9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E691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7BA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2F702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48,46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ED528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48,46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846CF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48,46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54609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1BC86ED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5926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2546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1ACA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E771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E854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ECE1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9195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2BB2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5BB1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BD641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B693E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562B2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C1CC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CD90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20E8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9229F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6003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762D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B7388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8 872,84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FF800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8 872,84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DFA4B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7 662,81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BF23A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53C9A09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5174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E445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5327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3108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143B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3600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ACE5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EAD7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48CD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05C9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059C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62D8E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2768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E700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043D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B19CC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D943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0A2B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2BBBC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93 564,53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CFB1D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93 564,53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E631D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13 541,06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2C98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6BBF6E3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21F6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ED0C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FF14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D113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E795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6455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2CF2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7197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BE31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7969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C77E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43AB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09D6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7E81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3D91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F5B00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6FAF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A7C8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CD1D2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150 828,56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E5523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150 828,56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905B7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121 562,24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11C50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1638DAC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F555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EE6C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D07F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C04C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3FB2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B1E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BC6B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858C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60CC0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804CA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08DB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CAAF7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A50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AD65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1722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867C9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67D8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D726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DDE86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1 051,12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295DE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1 051,12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055B6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733,80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8FBC5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37C13C0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2DCC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008E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7833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6441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3D45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971B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13F4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9D73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67B5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9C8D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FE90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03D7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764EC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B932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CBF0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E44B4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2848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77AC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29F35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105 680,14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6880E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105 680,14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252DB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87 605,58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58FBC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0335716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2957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20CD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7718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E7A7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169C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72A9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CBC9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EC5E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EE39C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2AA4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084BC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4F47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6804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72D1E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EB97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1C6C3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70BD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1E9A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2336B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114,59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F65C6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114,59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39A0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109,22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7A059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773B35F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4B9C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B774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0273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055B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A433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4BC8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5A5B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794F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FD2D2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B98E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95F4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D561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0B70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FA07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EF59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5A692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8138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5B31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88E72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82 198,79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18C9D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82 198,79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031A0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80 657,04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0BA81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0CBC5B4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9241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F57B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A0E9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3447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B0E1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B841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C2CA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CEDC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F84F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071F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590B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283F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0F55A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56254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E23D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636C7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44A0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E003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E4522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126 102,02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300A6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126 102,02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0C6E7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70 617,69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F6523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60D67BC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056F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8901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FD08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3D36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5DD8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4880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6BC1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F01C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8D99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5013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162F0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1790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0451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C85A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4D52D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6F973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09BB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5E9A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4C4D6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5 321,94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41C7E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5 321,94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9EA2D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2 578,16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D9D53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242C05B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5723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E6F9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0D64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D3EB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FA44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156A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0C4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A985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8645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29071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02485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9DE7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C904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AC91C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6073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494AC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C5E9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8DDC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5C6C5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13 185,03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B4B3D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13 185,03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6463C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11 225,08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556C6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7455F1F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E4A2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47C5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7696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7F19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0BCF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2C67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966E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228D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A85A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AE7C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E355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5FDD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B25F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F834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FB5A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CA880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D17D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DA25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D01A6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717 709,66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91444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717 709,66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F4F20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486 387,82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F5735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w:t>
            </w:r>
          </w:p>
        </w:tc>
      </w:tr>
      <w:tr w:rsidR="001A4750" w14:paraId="7584604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30A7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962B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124C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1215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C804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7331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2D97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26DD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1DEB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DE86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EA03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95B0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97643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ED3B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1422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76419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BE28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36B5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D8B9F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110 690,41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639C1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110 690,41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66EF8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84 097,41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00B09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6C5EAB4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6F98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36A2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FA59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54A3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0F94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D3DE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FDED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85CE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521C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0E62E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F4F8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FCBC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C864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C421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358D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8518B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1310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77A7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6AEAD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150 424,98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BFB9C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150 424,98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47F82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121 262,63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08457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w:t>
            </w:r>
          </w:p>
        </w:tc>
      </w:tr>
      <w:tr w:rsidR="001A4750" w14:paraId="15805FF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DD4E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100B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A458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DC90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A2B1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7466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8215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7C37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61B2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116C4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746F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DFF3E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9CF7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E027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5727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9D901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ADFF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3470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C1FF0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208 398,54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6215A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208 398,54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E5544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116 219,12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DDF80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w:t>
            </w:r>
          </w:p>
        </w:tc>
      </w:tr>
      <w:tr w:rsidR="001A4750" w14:paraId="69F6BB7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EF18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9234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0676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0DD0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0557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F709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3429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2412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3D5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869E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845C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E527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715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F26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655E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DDEEC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1D47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57FC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8D1E2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69 613,45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CB876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69 613,45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16593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61 925,31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68F11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5C0D086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831E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2D2C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21AD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1A6C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009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12B0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0D60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3372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B53DD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11E0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BC3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F3D2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F0FD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35868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7688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4EAF4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A7B6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03AA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BDEE9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84 168,99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780E8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84 168,99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D2E11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67 899,60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12B74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w:t>
            </w:r>
          </w:p>
        </w:tc>
      </w:tr>
      <w:tr w:rsidR="001A4750" w14:paraId="02584FF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088F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6840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833C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BF2F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9A9E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CBD1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23B0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35A3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C540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36C5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4D5C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D6D7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0CEAC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987C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EF5B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9EF05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7750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66E4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4A099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222 662,26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5EFCF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222 662,26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1C378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178 722,64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8BD43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w:t>
            </w:r>
          </w:p>
        </w:tc>
      </w:tr>
      <w:tr w:rsidR="001A4750" w14:paraId="6DE2F7A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FFAF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0A66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0D72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EB06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6B0C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D366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FFDD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DEF9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09942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866C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0F692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417E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9C92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A3EC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BAE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343F2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688E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2D70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5003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281 831,14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A1A7A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281 831,14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A966B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179 532,21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D66B6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w:t>
            </w:r>
          </w:p>
        </w:tc>
      </w:tr>
      <w:tr w:rsidR="001A4750" w14:paraId="0E43C97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42B1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A36F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0221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BF25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2164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0749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A7B8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62FE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D725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C167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BB0F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558A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AD9B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27AE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52969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691F5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E319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62A4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56045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629 244,05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F1E4E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629 244,05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E78DF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553 935,11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3F30E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w:t>
            </w:r>
          </w:p>
        </w:tc>
      </w:tr>
      <w:tr w:rsidR="001A4750" w14:paraId="5E14E37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9583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DEA2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07C0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6FB1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E665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CD0B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4A29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256F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2248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37A2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70D5A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C227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6AFD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294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BF10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AA508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E0A4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1027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D13E2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110 035,16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4B06E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110 035,16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53F15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101 058,40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5E0C9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w:t>
            </w:r>
          </w:p>
        </w:tc>
      </w:tr>
      <w:tr w:rsidR="001A4750" w14:paraId="184AD1B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67A0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76DF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6A8A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5F64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9615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C32A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391B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E536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6D2A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00BD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825D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3F3B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E54C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C6430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0614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42D95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9820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1D85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9BDA5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207 100,38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13EA3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207 100,38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0CF2B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133 226,90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C7E28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w:t>
            </w:r>
          </w:p>
        </w:tc>
      </w:tr>
      <w:tr w:rsidR="001A4750" w14:paraId="68A14D1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5BAC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FF0A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4B7E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45A0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193F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B64B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8C95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5D87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1A0E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9B8D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9EBE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0276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7AB0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D4B00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72A27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D05EF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D8F7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AE63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396BD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208 957,21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EB52E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208 957,21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D73CB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196 724,78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40C3B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w:t>
            </w:r>
          </w:p>
        </w:tc>
      </w:tr>
      <w:tr w:rsidR="001A4750" w14:paraId="2B49829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1892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A6E2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4729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0E4A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43E7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18AA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5998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31C4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5CD2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1685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105B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8F85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F93F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162A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7BCE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B7875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D034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8963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BBBF9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1 311 349,80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B2726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1 311 349,80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DCA6A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1 119 398,71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F1189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w:t>
            </w:r>
          </w:p>
        </w:tc>
      </w:tr>
      <w:tr w:rsidR="001A4750" w14:paraId="24A6778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22DE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BDB4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B241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7D1F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2936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0BC0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DC54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90BA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5D38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48AC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0A59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1300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15854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741A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8E48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6D523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F8BC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518E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CF665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360 242,74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97032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360 242,74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60FBA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128 307,29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A34BF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47CF49F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4481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30EC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F830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6DB1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4CE8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3AE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B79C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E9AA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4AA1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13AE2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0DC9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FC80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EDA53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E8A62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3BA2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D1262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B161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F6B3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3F2EF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605 346,60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F8C94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605 346,60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4DF6E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546 635,73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0563B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w:t>
            </w:r>
          </w:p>
        </w:tc>
      </w:tr>
      <w:tr w:rsidR="001A4750" w14:paraId="5ACAB3A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560E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7B23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1870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A549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0AF0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C81F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7759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BFBE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0172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8D63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2960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64B1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07CEE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98BA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359B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979F2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C161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CFE0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EF574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494 995,86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F4645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494 995,86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B90DE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281 513,81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5743A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w:t>
            </w:r>
          </w:p>
        </w:tc>
      </w:tr>
      <w:tr w:rsidR="001A4750" w14:paraId="36832B9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5A2B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441C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017C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944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91D5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A604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F800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3481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45DA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D98A5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9D50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2F96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9EB1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F227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AA86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F6B0B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E679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E264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3D408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216 647,49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E1424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216 647,49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B953E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154 633,09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D5574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092A01B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2D35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7C68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C878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CF6D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A3BC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9609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03F4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CCFD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1CCA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8AF4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CAE4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9F45C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455B3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C9C2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29EB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4A891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7A82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DB7A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E9C65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666 442,07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6ADCD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666 442,07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A6C06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507 119,93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3108C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w:t>
            </w:r>
          </w:p>
        </w:tc>
      </w:tr>
      <w:tr w:rsidR="001A4750" w14:paraId="42F1785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90EA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89B7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4684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450D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2721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2B45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1D4E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5D1F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8946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6423D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BF53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05A77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F64D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0A2B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3F7B4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68BC3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0A56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A5BE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79BA9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177 065,17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F8FF7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177 065,17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6D4E5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106 729,55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6294C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1684674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A2A5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BBCD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B9ED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E167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4070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375C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F1ED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2EBE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4197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51EF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4C545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4C2A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16BA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00B7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9AECB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78B28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66A5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DFC8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0C341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275 625,95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37E58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275 625,95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6D06D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226 645,07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AD4D8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w:t>
            </w:r>
          </w:p>
        </w:tc>
      </w:tr>
      <w:tr w:rsidR="001A4750" w14:paraId="0D2B441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7AAE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84C4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81D3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8AF9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8566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B61B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5C96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179A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82AFA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9964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AF4E0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51D3A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31FF2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16E9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037F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38C4F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E8C6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0821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06048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220 497,46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E7777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220 497,46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DF0FA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184 441,23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69854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14696E1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E123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24F8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6312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D151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3206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27C8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3A46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A0EB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6FD33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06FAE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D4B3B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0062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C6368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27780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3425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9020A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418F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2AB3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26070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339 846,20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E8407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339 846,20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FD82B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265 415,86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8CD23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73872B4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B1F1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971A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E7FF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4EF1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A170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6391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E489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6F5D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59AB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2791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03DD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5E8A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EABD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6EE21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E44F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C7852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BF5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110C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2A1B5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415 718,59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67D5B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415 718,59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7F745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227 347,29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9E64A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w:t>
            </w:r>
          </w:p>
        </w:tc>
      </w:tr>
      <w:tr w:rsidR="001A4750" w14:paraId="5B2A61B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937A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D77C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C284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5228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E938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3128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F84C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94B0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496F0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3525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E4D8E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631A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EDF4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BD1E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5401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D8F94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E082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0C49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6D315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325 646,06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0B593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325 646,06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694AD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274 573,53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68DE7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w:t>
            </w:r>
          </w:p>
        </w:tc>
      </w:tr>
      <w:tr w:rsidR="001A4750" w14:paraId="6B58EC6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F309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B725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1862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8281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BE0E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101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DCBF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B0E5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5D46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6001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235E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E4C60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8DB4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457CE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D4CAD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763A5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A860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929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4BA36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16 041 728,83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C8628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15 670 177,77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7808F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1 834 358,00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FDC41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55</w:t>
            </w:r>
          </w:p>
        </w:tc>
      </w:tr>
      <w:tr w:rsidR="001A4750" w14:paraId="2FD1F47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7195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7168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BEF1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34BA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D560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E7BA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FA0A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6C28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4BBF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F77E0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AA0F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0F8C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9B9D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F33F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DFC5D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4AC4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4219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D276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251ED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38 273,40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1C318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36 041,88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A5271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2 101,04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DA754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w:t>
            </w:r>
          </w:p>
        </w:tc>
      </w:tr>
      <w:tr w:rsidR="001A4750" w14:paraId="7EB2C9B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9B70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28D2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3129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05F4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8C1D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5C71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6FF0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957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2799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329AD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6AE3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AF24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0C72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A0A8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5F24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0BF24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5A48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9AB9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C7526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16 321,44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B1E74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15 105,38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036EA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1 142,85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B8FC4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18A3DED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F16B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C2E2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749E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F826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DA38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C92C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C409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A191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6794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AF37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FC005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A71A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C3845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B930C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9067E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EFED0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65F2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15E0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56AA0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675 900,80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C578E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674 906,52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BB1B5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935,25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14BD0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w:t>
            </w:r>
          </w:p>
        </w:tc>
      </w:tr>
      <w:tr w:rsidR="001A4750" w14:paraId="6AA65AD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A924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FBF4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DC7A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5FBA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7CEB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563C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6BBF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A2C5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7AB7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DCFD9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F853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990B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676F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297C6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96B8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352B2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C5B2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65E2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B902D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3 502,23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AFE90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3 240,59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8C488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243,08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C639D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3671AFE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F844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60EF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BF9E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33CA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F884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09A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6633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E0B6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BD61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436C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A74C7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2D27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4D80C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51E4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A6A2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B262C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8345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02B3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C5C7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10 534,20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64E2F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9 838,96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647A2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654,98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AFAC4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0546763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7732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E787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34E9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DF22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46C7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55AA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8467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8F44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4EFC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341C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318F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61C2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81D6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1192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33F4E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47DCE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F325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FECC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EC6B0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5 654,59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D22B8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5 233,44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DDBBC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396,13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79AF4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53536EB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32B9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F619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48F1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70B9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7D22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8E69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7A53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ED63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FE789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6504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6BC0C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CF77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2072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DF2F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2596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0A9E7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6CF9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AE0E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722FB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649 340,36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9E35B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648 466,96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7E541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821,56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6DB8B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w:t>
            </w:r>
          </w:p>
        </w:tc>
      </w:tr>
      <w:tr w:rsidR="001A4750" w14:paraId="028A52F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CA30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BA35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9FF1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0C64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8879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AD77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C244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C706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58CE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F13DE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E137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18A01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C1D1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8AD7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67D8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D725A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CCA9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88A2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C84DC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11 980,72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5D90C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11 088,62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88244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840,16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E530B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26DE9D4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9DA4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CDC2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A185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8512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2965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2457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4506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1292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855B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1D41B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6F1B8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7F71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30CC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18B4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C8D9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48BAC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3119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A8813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733F4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78 366,47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4E73A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76 994,68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B6F19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1 291,37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5EB1F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w:t>
            </w:r>
          </w:p>
        </w:tc>
      </w:tr>
      <w:tr w:rsidR="001A4750" w14:paraId="6FAACD4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44CE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BB0A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7FC6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FDCF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1D97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5566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5832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A6BE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D536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981D5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AB95C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9D21E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2B2A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0B8E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62ED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4F1F4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70A4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5A8F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4505E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2 096 927,10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0056C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2 082 693,10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0D93F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94 318,91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F240C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23</w:t>
            </w:r>
          </w:p>
        </w:tc>
      </w:tr>
      <w:tr w:rsidR="001A4750" w14:paraId="29D6A99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9315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9CA8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EFDF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6A27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82B3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1B17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4FD2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4644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AC9F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664A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5300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520C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B8DF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6626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ED5D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1E405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97A5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A47E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90223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464 867,86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7DFB9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464 084,14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2A892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733,13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BA1A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w:t>
            </w:r>
          </w:p>
        </w:tc>
      </w:tr>
      <w:tr w:rsidR="001A4750" w14:paraId="4E59E8C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34D8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6B2D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B821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F587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514F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6B76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ADC9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0F1B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9D24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9224A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93F1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A6AF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B4FA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06D5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34BF9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A68CB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708A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705C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8AF15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8 610,68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58AB8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8 012,62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B96AF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563,57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48F7D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751C432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43C7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50FA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AF0C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7BC8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B56A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C8F4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6A63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8A22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65C6B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848B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EE82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1413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3818C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1B480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A74E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7C289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2D44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A500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1D725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809 526,80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B8960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801 139,55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6142C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605,75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4B558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w:t>
            </w:r>
          </w:p>
        </w:tc>
      </w:tr>
      <w:tr w:rsidR="001A4750" w14:paraId="21524A7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4A05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B6F0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2845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F6ED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F08B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2752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9313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72C7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62E7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5807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217F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29B1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99EA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CB709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AC2B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0CB0A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E140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6895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4E938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11 864,39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7E831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11 507,01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7525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1 829,46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9F60D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w:t>
            </w:r>
          </w:p>
        </w:tc>
      </w:tr>
      <w:tr w:rsidR="001A4750" w14:paraId="6C508F5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0023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63B4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06D0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71AD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125D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AA50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CEAF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3D65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637D9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D686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E7BC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43EA7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8745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90905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FF58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00F3A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8FE7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A626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2DA5C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576 979,50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3CC33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569 788,00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1AEB1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8 300,68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BA2CA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w:t>
            </w:r>
          </w:p>
        </w:tc>
      </w:tr>
      <w:tr w:rsidR="001A4750" w14:paraId="4820CE8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98A4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E002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BACE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7E32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64BB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7298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624E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5E4B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9657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9BDF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E6603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06118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DAF8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00B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3C98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A9AEB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A03F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AA50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8004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55 362,87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5EB42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51 443,89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31FD4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3 630,07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CE871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5F508F1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9FD6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FD8B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E006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5417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25DF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F058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86EB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F3EB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8FF4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9856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4D27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E22D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068F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BD7E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AD6DE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5ECA2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D34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4844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80350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352 782,03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7F61F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349 577,77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DE872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4 079,26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F3495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w:t>
            </w:r>
          </w:p>
        </w:tc>
      </w:tr>
      <w:tr w:rsidR="001A4750" w14:paraId="63B0297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8DC6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FBC3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8A79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67E0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152E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B75B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365A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4790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86C50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4222A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38D4A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4234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F350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5541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AF50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B9821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C134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F5D1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7E767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11 881,92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93C0F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11 038,70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5FC39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772,13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DF403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2F9BB0A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33BB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9DE4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609A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0549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E308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C626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AD56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CAE8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36C3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F5E23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F4D3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54E08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3643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C2C9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AFC2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C8FDF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C492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3040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38561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37 221,23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4C53F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34 980,66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3E758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2 080,43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30E3B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6BB2DA3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D3D4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170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BF87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AE1A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38B3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5377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27EB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7454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D1712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EF6E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7CF1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57CC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59D2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EE8C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8E87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E363D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7A21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5C33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32AB5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19 181,66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E44A5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17 824,49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0624E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1 258,25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C3B99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76E0EA7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6AA1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CD77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6308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40F4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F60C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4C2F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D86C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DA45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B4E1A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419A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C2FBB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3F94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41A5E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85C2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74CB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BA1A5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9214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26DE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3028A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39 766,56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958BD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36 951,80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221E1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2 609,56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E8CBD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5F95E51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90D9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F451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EE15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B58C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EE8C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8ADB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2399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B215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F77FE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F338E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DBE52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F278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012D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38A90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B96A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284B4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DBAD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AEB7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C8352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40 639,04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B9E3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37 764,05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E077C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2 668,61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60973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3ACCFC3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832B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2D8B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57B4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815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2225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0702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749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D365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E96A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9C98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A360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BA66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EA8A4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C748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3D71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39B75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3C4A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0D35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BE798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62 486,72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49435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58 065,82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A9B1B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4 101,80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142B4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6C4F675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F39C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C887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FFB2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8196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6E24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75DB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6259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049F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5CE8D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5D03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66BF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C627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EAC4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73A0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F163A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883F4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EF6E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763A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A0651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91 123,03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54270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86 718,20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6A56E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22 510,90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95364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w:t>
            </w:r>
          </w:p>
        </w:tc>
      </w:tr>
      <w:tr w:rsidR="001A4750" w14:paraId="7715E8C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3CDE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3A84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E9D7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03A4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C0D8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4481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313D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1E64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093F8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D7E3F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51F36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F424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2AA5B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2420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F89E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D889D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2C31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8530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9D27A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35 641,31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069FD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33 115,66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2EA5B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2 328,71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992B1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1D82B04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8F8C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1C80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7338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3C42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D952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32A2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9B6D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C9A2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64B5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8CF7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1164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54A4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274F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13AA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75B1C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33241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FC9B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D3AA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39B24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30 239,99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7A1BB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28 312,61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875E4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1 790,07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37C4B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2427143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B110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CCF2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8141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AEE3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5397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EA09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7F9C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A404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42757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A22F8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051B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F6AA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EF3F2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57BC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DFA1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4C288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BC63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4B44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915E2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319 869,39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D5562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296 127,63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57168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2 919,63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07CBE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w:t>
            </w:r>
          </w:p>
        </w:tc>
      </w:tr>
      <w:tr w:rsidR="001A4750" w14:paraId="14A7330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083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1259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0E5E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5238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3C85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D70C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10E2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BC6D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C684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DE48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8C95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42A4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BB15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23E6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59ED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02260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79C7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E6E4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D6C1A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436 647,37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D1090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432 273,26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53283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26 027,21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3A3F9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w:t>
            </w:r>
          </w:p>
        </w:tc>
      </w:tr>
      <w:tr w:rsidR="001A4750" w14:paraId="7F8D5BE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5D0E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F49E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770D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5B9C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962D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6052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5729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EE1E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05162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306A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672D0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371A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09C3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9E66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C6D5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F4184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53CD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048D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A602B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1 433 241,17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C2685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1 345 218,44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2AA1D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82 033,94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8E5CD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5F73AA7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0ACA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1A16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D6E3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D49B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4BD8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BC62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20E8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805B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3600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ABAE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576F7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5D0B2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8234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2AE8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19C3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67B4E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93C2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9F7E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C3C0D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670 144,15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C922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622 176,43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3BF1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44 621,80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B51F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071E02C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5EC9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5AB2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8E13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7E7A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2E35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CC0C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0E07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4C73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08D5E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036B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3E9E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63DD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26747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4F6F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733D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03D1D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9542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16A1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40E65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548 045,96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D2111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508 826,45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E7807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36 516,02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393E7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0E44585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5DFB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98F5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0A1C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035F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7EF0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DB2F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B4D6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9502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89FB7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80DA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3BD1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D046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3907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D642D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CEE9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E58FD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CB25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7C0A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AA1E4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143 819,54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5808E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133 498,63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5A0C2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9 491,25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90777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04B933F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FEC7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457E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0208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0CE4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A3FF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9AB7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8115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11C3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77AB4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F3421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3AA6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2470A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029A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ECEBB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1B00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EB491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607A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57F7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CE997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446 612,00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E2FCD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419 187,81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0AB94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25 573,18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734F6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26ED121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0BBB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1EB0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774A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810D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E93D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D857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AFBD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FE5B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08917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C07D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96F09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97CD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C4FD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376A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06AB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F9BAD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812B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675C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5FFBE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232 183,03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5018D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215 571,25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D70D3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15 466,69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21ACC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1AF5192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DB31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1837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1DDB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6BE8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D12D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C73D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941D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3629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E436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0E7C0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B8A4C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9571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26AF1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17F5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300C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598EA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C2B3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7881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FDED8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481 362,27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8D620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446 910,04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F588A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32 077,36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88ECE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54DE0C4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D2F9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A993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7996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8BF6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6C8F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D63F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497E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9116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2A116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EADEB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6E9F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E4BC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17D5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6828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F83B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168C0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05DD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1426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06B1A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491 918,15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D91C7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456 728,71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25FD2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32 803,18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6DF85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55B4985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891F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F2F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45E7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BF93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820B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0F28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9E48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55D6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224A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9161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4F8FE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50A0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2C494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0496B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15D2F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4B900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E0E9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681B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E7244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756 372,92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67819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702 261,79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E3A13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50 420,55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ABFA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5877B4A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4659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D691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213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DE30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F9B8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20B1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38E1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37D3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CB84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9B47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0D5C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9151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EE13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5D99A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DBD9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3F9AB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1F21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427B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8FAB4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1 129 000,32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A9F62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1 075 085,77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54BAE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289 836,69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92815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w:t>
            </w:r>
          </w:p>
        </w:tc>
      </w:tr>
      <w:tr w:rsidR="001A4750" w14:paraId="643ED6E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5A35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BB7B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7059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1888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4BC2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81CB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62F9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10AA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6E9B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3F6D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5CC75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596F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0C53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E9F44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4E67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F3A27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AB87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6786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A3E68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431 417,05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D0FE9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400 503,42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C5119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28 625,05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3FF8F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1735861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C808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EF9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ABF4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D072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D7A0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3864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63EE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C5E2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88ED4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02EC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255D0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6DAA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20D7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F2D83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5C754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0B84A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ECB1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51AE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957A6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363 286,30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85962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339 695,61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DE8D7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22 003,93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E50D2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069CD8A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6668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C363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CBC7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AB18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E2E2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16A4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A089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BB3F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8EDE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16C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50E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20C19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B04A0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14A5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2265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944E8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9657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A4F9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042B2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539 655,04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F7F24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405 022,36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172ED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23 651,26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6DE2A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w:t>
            </w:r>
          </w:p>
        </w:tc>
      </w:tr>
      <w:tr w:rsidR="001A4750" w14:paraId="179903F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2FD9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B240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5C14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8ADE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7535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97D9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7186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4E43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82CF4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5649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49FA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24D8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9B87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A466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FC4D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45933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2DD8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DD94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A61CA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5 552,66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A668D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5 540,53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10099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483,58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4BF23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31</w:t>
            </w:r>
          </w:p>
        </w:tc>
      </w:tr>
      <w:tr w:rsidR="001A4750" w14:paraId="7637622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3949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C2FE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9A9F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DB83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4A39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7DA9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EA29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4F7F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C88A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6322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23F6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B6CB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B186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8627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98CF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4F9F5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A007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5327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10E81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1 601,42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A3AE2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1 601,42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5D60D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753,76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59F5C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w:t>
            </w:r>
          </w:p>
        </w:tc>
      </w:tr>
      <w:tr w:rsidR="001A4750" w14:paraId="4E25071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BD8A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79EE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C1D6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5DB4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EB43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96B4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965B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368E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0C24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E95E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D046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3683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68197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69C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D3027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12310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EF89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8BEF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80C10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26 905,55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79E02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26 905,55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99952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7 635,05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FB061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6CBDE31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8E68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4B10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B477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4DD8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7BC6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89FA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4BEE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1C47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E895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A982D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0D11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59B9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408D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8528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6A1B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C0156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0199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7B42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AC9E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1 711,35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10858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1 711,35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DF410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1 033,90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CE206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46DD892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BEA5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D680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12A9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F44F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99B0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15B6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12EA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BC3A3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1370B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D89AB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B41DB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E501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278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752D5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5A5F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0A5CE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9B51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9EFD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633B9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52 543,55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F1784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52 191,86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9F272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8 608,63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AD352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w:t>
            </w:r>
          </w:p>
        </w:tc>
      </w:tr>
      <w:tr w:rsidR="001A4750" w14:paraId="57FF4FB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E3E2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6AC0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6160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D270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3E26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5298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C364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F22B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7CD5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129C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1C88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AB59A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9B26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1348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D37E1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99718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A435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9EE5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C6288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3 633,75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0C64E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3 633,75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86F64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319,65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A3339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011E751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134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6FE3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8377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84D5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0E24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9493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EDEE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E29F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FF82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3FC1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FE5F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9944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E53D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6C02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AD21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EF896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7740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01F4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316C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2 487,98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8DDBF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2 479,70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3C360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1 076,67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F14CD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w:t>
            </w:r>
          </w:p>
        </w:tc>
      </w:tr>
      <w:tr w:rsidR="001A4750" w14:paraId="54D24B1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7F56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333B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7577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810E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0AE1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7CE2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F8ED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AEE8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1E4A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15CE5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99629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689D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6E0F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4BD5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53A0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4AF7F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1674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7A63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37F3E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19 528,83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956FA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19 394,49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E998D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8 208,40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98250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w:t>
            </w:r>
          </w:p>
        </w:tc>
      </w:tr>
      <w:tr w:rsidR="001A4750" w14:paraId="1A26410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98D7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9311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05A4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75C7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6201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DBE7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43ED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F375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EB76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1C290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5E279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219B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4641B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53532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AA0B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7FBC9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73F6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B440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22C7E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1 345,78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5CB21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1 335,79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28811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841,85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ECD7F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6453D6F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996D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163D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42EE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BD22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D2B5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8749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2250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70BF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72AB9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2CBD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7C4E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E708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3B192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4112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6B274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CF657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73DA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99CA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F6FFA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23 984,74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B9830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23 984,74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E47E9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4 981,29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D8E84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110D8AB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69AB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EADF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9906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9F2C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6F43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7858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F44A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E684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75D6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C128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28F6B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8DE5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B5FE8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F17F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B7BC4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C00C6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A970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4968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29654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5 902,58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1F5B9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5 892,80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0997E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4 823,32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166AD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w:t>
            </w:r>
          </w:p>
        </w:tc>
      </w:tr>
      <w:tr w:rsidR="001A4750" w14:paraId="7BF56BC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8FEC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707F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D1A6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E8FA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ED7E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1CC7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2FC8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2F00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3413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D5967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FB1C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859F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4E9E7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21C5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96EF1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5E728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5DBC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20F1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D1D42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89 277,40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C4664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89 270,62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4C61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87 223,42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7FB2A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60B1BB5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34E3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18AF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1C0D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2BC3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F97F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A56F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B7B5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BE87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50AB3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C5F3A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20A2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F5FE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26DCA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EC98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9089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FD87F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56B0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CB81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21973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18 563,81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B4447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18 417,94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B2AD3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18 310,02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AC151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26FA6C3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6DDE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0AA1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EF96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769E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9D77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FEC2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7556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952D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08DC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F41B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D171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0A51B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ED2A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78CF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AEEE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FA792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0625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D4E9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00909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1 955 456,34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B80FD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1 946 235,32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4508F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554 928,14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75E5B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50</w:t>
            </w:r>
          </w:p>
        </w:tc>
      </w:tr>
      <w:tr w:rsidR="001A4750" w14:paraId="6B4048B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16E9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0C8E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C142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1813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C05F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2288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DF23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7067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4BD1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B149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5CEB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B1EC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C6D2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735F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147A7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AB9B3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6DB7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1987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60C20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1 216 225,49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00F26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1 216 225,49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60C53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316 269,21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7AC0B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w:t>
            </w:r>
          </w:p>
        </w:tc>
      </w:tr>
      <w:tr w:rsidR="001A4750" w14:paraId="2278BA3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3216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488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10FE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0DD6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ED96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A42E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AAE3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F58F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7E9F4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B206D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BC62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19F6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2396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62DD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E568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E4304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1E13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D376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825AB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89 368,08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DDEA3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89 368,08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6EA5A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12 303,79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D6E76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w:t>
            </w:r>
          </w:p>
        </w:tc>
      </w:tr>
      <w:tr w:rsidR="001A4750" w14:paraId="166099C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8D32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D6C3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0665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6A0E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BCF2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A419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7D57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91FD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B210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38D35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1173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7C37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662A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84159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3E3B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8B9BF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EA8D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34C1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001E2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458 407,15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927AF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458 407,15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842EA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446 343,58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FF475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4C8FE4C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F7C0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AB9B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7BB4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BB62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B938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BDCD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6F78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6559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211E8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9CABD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78EA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BDFFA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062C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DC40A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A949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83A58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7160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935E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8C8A8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891 506,31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AAC9B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887 239,41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0935B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94 292,94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5E0FC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31</w:t>
            </w:r>
          </w:p>
        </w:tc>
      </w:tr>
      <w:tr w:rsidR="001A4750" w14:paraId="3B791C1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4961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3A64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2E20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97EE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B88B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DABE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D1FC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DBBA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91C0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A0DD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53554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FB7D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18E8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9FF0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D949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DE8FD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084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39E6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4B9BA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766 119,41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9E4A0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766 119,41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89CC0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436 459,67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64DCD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w:t>
            </w:r>
          </w:p>
        </w:tc>
      </w:tr>
      <w:tr w:rsidR="001A4750" w14:paraId="4689B1A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368A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6FE1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3B32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1A31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EDD6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4832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D83B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6984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071A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A1ED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238E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2CC7A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F4CF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DB70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659D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69523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83C0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875F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7A7AF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772 528,40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CC8B4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772 295,56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08276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373 166,93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DCFAA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w:t>
            </w:r>
          </w:p>
        </w:tc>
      </w:tr>
      <w:tr w:rsidR="001A4750" w14:paraId="1B1B7E0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709E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7F1C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7B0A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50EC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8497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BFE4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BBF3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6F35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6F5C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4CC2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C0DB4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AA45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4018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ED3D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53F9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A7BF0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5775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3A54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C4845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2 455 014,78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164CA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2 442 669,30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86B7D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887 612,34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46CC6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68</w:t>
            </w:r>
          </w:p>
        </w:tc>
      </w:tr>
      <w:tr w:rsidR="001A4750" w14:paraId="5684753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BEB5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4F4D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4DF4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9C52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23A1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042F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8D51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6DFE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D612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9B87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BB7AC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62E3A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C533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66AB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CB26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8835A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801D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557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1B7A5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257 071,20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31BCD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255 066,20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265E6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168 262,22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001DD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w:t>
            </w:r>
          </w:p>
        </w:tc>
      </w:tr>
      <w:tr w:rsidR="001A4750" w14:paraId="4E2446E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9202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786B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C037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1D55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719D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C24C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F518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BCEF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367C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56E8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32A2F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A1BF0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2A7A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B1712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4FB0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41600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0D16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203F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2008A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1 702 264,46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F8BF3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1 693 403,09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CC850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615 021,19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178A6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w:t>
            </w:r>
          </w:p>
        </w:tc>
      </w:tr>
      <w:tr w:rsidR="001A4750" w14:paraId="32B2F29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C04D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617C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EB6C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B5BB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F0EC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A146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2D9D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0E49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37FC9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E21C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74C6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E8D47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2C88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84BA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F3B6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A4FD0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8C3F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6912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081D6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497 358,11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5E178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497 105,12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B92E3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430 561,35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2FF41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w:t>
            </w:r>
          </w:p>
        </w:tc>
      </w:tr>
      <w:tr w:rsidR="001A4750" w14:paraId="4B9D00E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11C5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D41B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23A6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B031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590E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8E7D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6E7D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C481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A65C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3BABF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4197D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6A32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29B3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C91E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9D383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8326B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141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E211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D439A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432 427,32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B4AAD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424 741,77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0BA90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138 613,65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60CCC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w:t>
            </w:r>
          </w:p>
        </w:tc>
      </w:tr>
      <w:tr w:rsidR="001A4750" w14:paraId="787A4FE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3970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8D32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D997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A362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0406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85D5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5A2A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1440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08D65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13BE3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7532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1C66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90DC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7A23B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B8BC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1634F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FB1F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EFAD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EB31C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1 058 648,00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E1112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1 058 239,82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5B128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699 034,52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E2A25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w:t>
            </w:r>
          </w:p>
        </w:tc>
      </w:tr>
      <w:tr w:rsidR="001A4750" w14:paraId="0BCCFD4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580D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FDB9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B7F6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73E1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96F6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74C6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F258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2DBC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ACC6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42C5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9F0E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0A5F4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F5C73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E93B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9FCD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A7D37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6794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B15C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278DF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9 790 865,02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7E16D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9 753 003,02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40303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2 944 292,65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5B71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79</w:t>
            </w:r>
          </w:p>
        </w:tc>
      </w:tr>
      <w:tr w:rsidR="001A4750" w14:paraId="794541F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1CD7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7F1D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A6DD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7DC9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97BD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4B3B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766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387B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EB03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E14C2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33A87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D1F8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2F88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9376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3151B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18913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883D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A4AE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B4401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3 582 820,32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0BA99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3 577 333,77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74F93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1 669 860,79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898F2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w:t>
            </w:r>
          </w:p>
        </w:tc>
      </w:tr>
      <w:tr w:rsidR="001A4750" w14:paraId="5893BCE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FFFA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34C1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02D8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3E85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9017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DFC9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402F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6ECC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B5EA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EAE9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0B2B0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7DCF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810CC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D4AA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A679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8BA04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91CC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5637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8F977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3 063 900,12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B242B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3 063 900,12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B7215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1 053 429,00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86771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w:t>
            </w:r>
          </w:p>
        </w:tc>
      </w:tr>
      <w:tr w:rsidR="001A4750" w14:paraId="5A620E8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C35E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FE30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A090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600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A11A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7274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F654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176F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1ABBA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9EF1A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A88B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EF0C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C2EA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A17A9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E87E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3A41F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02C7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A5A6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EC87F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1 164 094,27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2804F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1 164 094,27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52439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954 280,29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F851A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w:t>
            </w:r>
          </w:p>
        </w:tc>
      </w:tr>
      <w:tr w:rsidR="001A4750" w14:paraId="52241CE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D3F8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FAE8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E59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ADEA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FFD7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F118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3388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02CD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8D85D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5431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0704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418EC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E75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B045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74DE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90EB9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AA18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8480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3CC72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3 849 208,51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B1D1F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3 833 000,54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D057D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733 053,53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C73AB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w:t>
            </w:r>
          </w:p>
        </w:tc>
      </w:tr>
      <w:tr w:rsidR="001A4750" w14:paraId="1C5689E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759A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A26B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1494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8E44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D4B0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750D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9E12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29AA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77BFB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02A4A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74487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0D63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9D2DA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EC5FC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22B9B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3BA7A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9C7D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96C9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BE2C3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2 755 198,40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B4051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2 752 302,55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341C0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1 142 980,15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244AC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w:t>
            </w:r>
          </w:p>
        </w:tc>
      </w:tr>
      <w:tr w:rsidR="001A4750" w14:paraId="195F1FE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F4CD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7C10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863B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A7BE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3BA8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AD90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8EF1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DFF0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1AA8A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C5116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3A0E4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42ED3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9464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EDC6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DD60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C6112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8C97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F1C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D4DEF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2 495 888,98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7A904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2 485 432,22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FEF3B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1 437 637,28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D8F5E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w:t>
            </w:r>
          </w:p>
        </w:tc>
      </w:tr>
      <w:tr w:rsidR="001A4750" w14:paraId="60B39AB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587B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8B69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521B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FFDB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8D4C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CB173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47BE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7656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E763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D05C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7BF4E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6F0DA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6C4B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97CE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E370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59BC9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A467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1391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BC2C2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3 943 768,01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F66A6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3 928 733,97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5D890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1 540 467,76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5F8D1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69</w:t>
            </w:r>
          </w:p>
        </w:tc>
      </w:tr>
      <w:tr w:rsidR="001A4750" w14:paraId="5B4F10B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4455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90C7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389B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A3C8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6036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0606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40F4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E1FB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7BB2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77E80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0CD00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963A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3F98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DC80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375B4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B61E9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C078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DF55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D5957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2 925 444,96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D4F38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2 918 535,51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8FDD2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1 353 355,94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233FA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w:t>
            </w:r>
          </w:p>
        </w:tc>
      </w:tr>
      <w:tr w:rsidR="001A4750" w14:paraId="3E02E4B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4104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6177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3AD2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B782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2021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B5AB3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7760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B886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092D9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2672E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24C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0AC2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E3A8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B4D0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A6FDA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5E8D1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56C0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2134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E5D64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4 331 999,56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59312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4 326 457,48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C0D36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1 067 932,12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B15D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46</w:t>
            </w:r>
          </w:p>
        </w:tc>
      </w:tr>
      <w:tr w:rsidR="001A4750" w14:paraId="64D7D1C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0D8F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52C2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0355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000D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07CC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2DC2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7C7C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C6A3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6B07A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10DC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D863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6B3D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1841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8429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3BB9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458BD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117A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92E6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99894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2 870 910,29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349EA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2 864 980,14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B6F3B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1 856 381,78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B069C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40</w:t>
            </w:r>
          </w:p>
        </w:tc>
      </w:tr>
      <w:tr w:rsidR="001A4750" w14:paraId="77E5B07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96FC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518E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C4E7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FB20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11AC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01E5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438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8FD6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215A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99D0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F286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1401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7D74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EC82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4A494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EA996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B4E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C874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1A30B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3 720 463,65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CC645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3 713 887,48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33510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1 739 755,47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B83C1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47</w:t>
            </w:r>
          </w:p>
        </w:tc>
      </w:tr>
      <w:tr w:rsidR="001A4750" w14:paraId="710A7D0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B0BA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FBFD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3CEB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2AAA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DFFD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00DE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553F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7B53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51BC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CB48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A6E2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4965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C62F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0878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0EC0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FC476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4CA7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D39A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E4753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2 453 494,75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70B08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2 452 124,32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3192F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1 723 044,18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DF2E9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32</w:t>
            </w:r>
          </w:p>
        </w:tc>
      </w:tr>
      <w:tr w:rsidR="001A4750" w14:paraId="2C963A1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6AE4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CB4C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4EF8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AD47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9008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95773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0C4C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DC05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BF6F8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277D1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F7BC4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FE6A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5301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63CD7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CF1B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4E08C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B4B8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1415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8A8D0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4 355,27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51D74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4 355,27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BBC6E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263,20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CA9A8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142A3F2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3FDF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6357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12B3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8A9F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1F04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0CEE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1A65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A583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A5D19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66D7A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6B68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865A4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42610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90764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1723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A72F6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D1C8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F741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97B49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340,36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F80BC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340,36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E9967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340,36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3ED2C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AA324D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C530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D52D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3E44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DB03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2A64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6497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1FE5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B5D2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48EE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FE2E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5454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36559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7E9D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669C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802D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66F19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4F10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375A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8C66D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1 508,92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5219F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1 508,92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BA630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75149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51445D8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CA2D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4D7F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11D4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1D73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E3A8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D24A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81FC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CF03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C355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B6AE3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4718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8C70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B99CE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C47F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4B77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30AE8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A3E0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F069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FA134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28 420,48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C152B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28 420,48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8E455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25 262,10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06E9C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17D76F1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C4C7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30FE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B097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B3B5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3B34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543D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D4E5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7EDA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9631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EA3B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0441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5CF6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6164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4BFB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0B3DD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50F2B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7BDA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757F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496A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1 914,59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04E4A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1 914,59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C3CB6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1 852,39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5F233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4DC51F5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CDAB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387D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384B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A9C8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8D3C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6654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D19D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9A49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F98C9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947E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BABE4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2269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329C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B89B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2720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1DD11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EB07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9D79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569D0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1 142,34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D3743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1 142,34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1ECEF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1 142,34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F7495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6C3EC0C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4F2D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8CE2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EBF9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DBA9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0F21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7A87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AE67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D736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4D5A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87CE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FC75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2626F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B293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E480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24255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B97A6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9AC9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31BA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DDC8A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3 438,00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66A5D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3 438,00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F55C1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144,64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DB75B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027FC03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762B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7435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3629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E0FD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688C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D5B0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EB78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7673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41EFB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9667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0F298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B8ADF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F747C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89961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4F4F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AE056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129A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AE0B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E98E2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195,35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FFC8D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195,35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C7881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195,35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C9A7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0BAAB0B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FD11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9D3A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E97A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1D82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30E9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82DE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9091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200D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B2C08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9059B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CE08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2488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84E6A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91F6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AD580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17746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D8E4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D9A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ED598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632,42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906B4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632,42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71725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292,72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3B655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1FF7133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4B14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4F3A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8A19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05B3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BFD9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1612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BF9F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4FC6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7B77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AEA1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6ECD8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D09E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5C52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CD9B8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D552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D1AA9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8B14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AC35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82F53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394 415,06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05540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394 415,06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76959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52 750,20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54DEE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w:t>
            </w:r>
          </w:p>
        </w:tc>
      </w:tr>
      <w:tr w:rsidR="001A4750" w14:paraId="06D47ED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A9D9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FCD7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D4FF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4D34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E657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B3AA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ABCC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DE3C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C5F5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62F2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0048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F83C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2B2C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6283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4B38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B54E1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8184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CE7C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91411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8 961,46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7B56E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8 961,46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C14E8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3 052,49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ED975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2A77879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13A0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1375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938C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8313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8A24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9ECE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529D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68E2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D727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07755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2E66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21DD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3D8DB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728C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7F67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C4073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564B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9AA1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1F457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8 344,62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B865C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8 344,62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25800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4 138,41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AE36C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w:t>
            </w:r>
          </w:p>
        </w:tc>
      </w:tr>
      <w:tr w:rsidR="001A4750" w14:paraId="4FD32EF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9A9B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560F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99EF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9488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4715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0B54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B93F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BD94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047E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7153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ADEC0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450A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C046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6B6B4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0002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67E67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00D8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739B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19092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106 345,58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81CC0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106 345,58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7D09B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73 782,31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EAEEA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09239CC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BDF5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777C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F162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51DF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E4E8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CAA0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88AE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AD44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2F65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42A2E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6FE2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48119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D77B0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97F66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D51A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7798F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3440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A9C8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8F5B4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148 976,44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AECCA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148 976,44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EDEC2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39 872,84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8A351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w:t>
            </w:r>
          </w:p>
        </w:tc>
      </w:tr>
      <w:tr w:rsidR="001A4750" w14:paraId="52BEA88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426D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805C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6537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18AF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08C0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DA92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29B0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6856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282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F34B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B0BA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0068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B5AB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8BAA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1481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BA625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5BDA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E02F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7FC55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298 063,70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C37B1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298 063,70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5525C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297 556,82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97EF2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072D3B7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53F2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7B85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C1E4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7458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64DB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41BE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4699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7643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E20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FC0F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F94BB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DB29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D650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ED74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9EA2B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D61D5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30E6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1050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DAE9F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125 373,02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4DB4B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125 373,02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1BAFF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39 967,19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3A99D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w:t>
            </w:r>
          </w:p>
        </w:tc>
      </w:tr>
      <w:tr w:rsidR="001A4750" w14:paraId="281DDD7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4EA3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DCFE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0AEA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C3B5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25F2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E254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DC6B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099A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6DC7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9720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D5E3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785A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21EE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D69D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70E7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601AD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F328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5991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20803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27 616,73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E39BC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27 616,73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DC7E1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16 539,36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DEB6F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w:t>
            </w:r>
          </w:p>
        </w:tc>
      </w:tr>
      <w:tr w:rsidR="001A4750" w14:paraId="5732B23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C555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7594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CD43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B43C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8402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6B7B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6A53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0A50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BFC3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C94B3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58B3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FACD9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ADA21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30722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98DAB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0AE14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70B8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56AB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050C6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50 011,57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BA7FB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50 011,57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C3B92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31 987,92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A2BCD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w:t>
            </w:r>
          </w:p>
        </w:tc>
      </w:tr>
      <w:tr w:rsidR="001A4750" w14:paraId="3692D73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EB87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A6EC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CB10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4825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4A0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2052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12C6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51F1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9F09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3EE9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A3D22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C2C9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BD479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70C84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C0CD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A8A70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1DB9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622F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8BCB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144 074,11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2CC3E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144 074,11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650FE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20ACD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5888137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566A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2DCE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59F2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C3AA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68A5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97CC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8000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ABDC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3F38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603B1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C8B0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2857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AEAF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82AB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F79E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8CA5F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C869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907C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0E951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120 684,19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7B386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120 684,19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2F8A1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83 279,36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D1FA9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3A883F3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6023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348E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4DF5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C337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3CE0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782B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225D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78AA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2468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BA36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DB57E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C81F4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64788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71950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6E5B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AA959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39C0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8EAE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C3A6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12 583,98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D5C8B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12 583,98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81279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7 305,52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D9687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178D21A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EE19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53C7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08B3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C954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C0A8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FC46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1C26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EAB4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0A3FB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3A7B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AE8B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37F7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19D4C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0575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7945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67759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1672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309A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9ACDF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43 230,69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DB429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43 230,69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972D0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25 894,70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A6E43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76A5D8F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5151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AA8D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4EC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D178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0FF4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16F5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D909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3B79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AE33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F794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0892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FA1A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D15FE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5A35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D5B6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BC92F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5E8A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E8FE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85C4B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2 382 194,43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D974C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2 382 194,43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62DD4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828 080,71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CFA97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w:t>
            </w:r>
          </w:p>
        </w:tc>
      </w:tr>
      <w:tr w:rsidR="001A4750" w14:paraId="091DD73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81F4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87A1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57C4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1CA8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8838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E0E2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6410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DE18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683CB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ED1B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564EA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1570C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938C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821C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87CE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0E564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106A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E053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D72C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224 348,66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8A251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224 348,66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BD146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23 406,92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C3BC5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75996D0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D5F8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B1D8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C482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D32C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5973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BC6A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3C26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ACFA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0B57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2404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C5AC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6C238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9AD2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969CA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048E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E5651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6421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675A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F8E01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730 696,16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BA2FE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730 696,16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CD287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462 359,95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96D5E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w:t>
            </w:r>
          </w:p>
        </w:tc>
      </w:tr>
      <w:tr w:rsidR="001A4750" w14:paraId="62DD411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F8FC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F08C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59E8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3AA4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BAA0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B21C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F79C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46CC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17599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D3FC1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B1E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52CE4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C007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E7032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71BC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547F6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A936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90B5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811D0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470 625,04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43B3A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470 625,04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4F7E7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295 129,23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B32D4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6CE2CCD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177E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6672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4B2C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062E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2B03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2039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4CA2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05BE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4251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C0C76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AF0D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9FA8A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161E0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89F8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116A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3E06E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9C1C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FC08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D71F0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1 219 776,35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CD499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1 219 776,35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8C489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483 565,42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C8DD6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w:t>
            </w:r>
          </w:p>
        </w:tc>
      </w:tr>
      <w:tr w:rsidR="001A4750" w14:paraId="72EDB90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D99A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0993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60A5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B827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C234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75E9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8AC4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A865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5D4A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FCA47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3F43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0980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9E8B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6C60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C357B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09729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7E7D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A90A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FB2B5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1 707 304,28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BB812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1 707 304,28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55898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1 020 595,20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8914B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31</w:t>
            </w:r>
          </w:p>
        </w:tc>
      </w:tr>
      <w:tr w:rsidR="001A4750" w14:paraId="544CDE7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E032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10C7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C972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2BD8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10B9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A349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344B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38F1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96C93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B248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A2A9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5D6F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8A12E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0501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0888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65D39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7287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C1E5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92BEC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612 143,45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ACE29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612 143,45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7D3A5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303 465,91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339E4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w:t>
            </w:r>
          </w:p>
        </w:tc>
      </w:tr>
      <w:tr w:rsidR="001A4750" w14:paraId="0FA9274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005E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37BB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0E24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9FF3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47AC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AE8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6A5A3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14F0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58D2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8E76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721A0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5E5F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9212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DA0D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3C5E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07B17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2FED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BE29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39562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1 081 812,13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AAD0D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1 081 812,13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1A843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650 577,74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4E65E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w:t>
            </w:r>
          </w:p>
        </w:tc>
      </w:tr>
      <w:tr w:rsidR="001A4750" w14:paraId="16AAE0D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5514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0CE5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D7D8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8D7B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C9F9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806F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50FF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5765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E3B6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D845C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F984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555C2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BD50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CF0C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2C9E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C67AE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6629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4524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96BF0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1 208 504,37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2A8E8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1 208 504,37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AA08D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20E98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492CE38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7F7B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B4CB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FBA5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046A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7B8E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03D5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28CD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53F8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7DFA2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F20D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F01F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F5A5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E87E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389B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A8E0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CBEB4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0CEF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5D7D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93B58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725 603,92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A84A1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725 603,92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2F683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401 119,89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BCE1B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w:t>
            </w:r>
          </w:p>
        </w:tc>
      </w:tr>
      <w:tr w:rsidR="001A4750" w14:paraId="7F00EAB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20AF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FA4B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20BA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AE22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7537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F1C9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C7CB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C5CE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8072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A7D6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EA21C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1E3B5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D82CA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35387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C4F42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D6F60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A922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8CB0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5C25E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128 193,26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26A4B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128 193,26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8A219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81 549,45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36F27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5C70B66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3A4C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8BE2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89C5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7C84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F7C2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F4C3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F790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5EA8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4207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0ED5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26CEF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DDCFA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73831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7A0D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55C4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65766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7C61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BFDB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5A264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156 461,80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7C3E4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156 461,80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6CF4C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103 458,93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F6E30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3DACD91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1230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E09E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3DCF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4D4B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6747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2DCE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5864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12D9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39C2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E656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87BB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26821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5903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DD5F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B7AB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2CB20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B6BA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25E8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49F80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2 862,26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BDA01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2 862,26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B2F03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B541D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59575B2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10E9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C76D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CD4D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14F9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B48F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0224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33C6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4258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50271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F91D3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E36C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BCAAD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F2E0E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AB06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1A2F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8B824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11AA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B92A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ABE0C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1 446,02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D9FD4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1 446,02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D5F98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674,02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D2E2E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0CA1B1D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500F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726D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E514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4AB0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6185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4D39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A013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2016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1515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DEC6C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7C5C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EE66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ED2B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AE0AA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DACD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03FF9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71D3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C4CD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1CCE7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872,18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29B57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872,18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23C1B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CC674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493127A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2FF8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6F0B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1CCD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0BC2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2C33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AFDF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195B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DE50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D2F7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784D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4DC0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7D1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5DEA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02D4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A811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A5065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F1D1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F2E9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E6E79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1 283,08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4F59B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1 283,08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31440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1 266,80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0BA12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280FD4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CA57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9E01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B67E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0F1F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271D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A380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9604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3B4F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576D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1FB9F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2F09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9BF1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98549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F1D5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A34A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7F185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D536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9384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50C4F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5 724,51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A0932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5 724,51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3A99E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2E550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134AC1C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808F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05DA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90F2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AC66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D54C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DE39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5AC2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E1F8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17D6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F23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9051C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9EB7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F3AD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58CF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1A95F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F8DB6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051B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0033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BC8A0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9 351,39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07265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9 351,39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560F7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9B8BB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26F3C6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F86C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652F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C8E7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722E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6C86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5DD6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EFCD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AB99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258E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EA92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F2651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1C6E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B50FF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32CE1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188A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76705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C1A2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73FA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6F887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7 044,50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D2C93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7 044,50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7E459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3 783,46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402F9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61E37D5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6E09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78D0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E9A9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055B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8FBE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8C37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27CB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A5A4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B099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F9D6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99E9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A41C8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E64CF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2474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9EF6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584C0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68D3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B29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FC115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2 345,20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31475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2 345,20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8A923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1 993,96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176DF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1825237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4C6B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B80E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0053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923C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3983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6B59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65B2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D33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32BF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FB59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94E8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A54B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5800C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21DD8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3D6A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2E691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8249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3B82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F80BA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5 545,62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E2E51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5 545,62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7BC01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5 545,62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85A55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0F04DE4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CF82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D9A6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DFCB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8FCC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A3C3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92D0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4ACA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5358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7F45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9A95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54BAC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8D96A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D9F1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01F5F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44D8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343CF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139B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51EF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57124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8 217,28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65007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8 217,28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CEAFF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406F9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6717B09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D0F4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41E6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4658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B3F3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8114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0491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40D1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BF15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9A35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FEB2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0E6C3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5B25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C1E6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BCFE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7C76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E0ABB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27D3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E448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B9E13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37 549,70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02FB4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37 549,70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6F11B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07461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7963960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DDCC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F351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934F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6814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E48D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26F3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5B4D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A9E4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B26DC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2998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CF04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FA54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83A24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F5F2A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6B07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1CC4D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B8B5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0FA6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6FCB6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73 314,72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DB36A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73 314,72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CBEDC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72 384,34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6C8CD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7B9572E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8066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E0D8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D353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3465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1B1E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7C97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C423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9BC2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8E2F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C3540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7C14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32BD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959F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0CFC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3BD4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51781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782A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1283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51B68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108 718,78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D3FB2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108 718,78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5639F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FB9BD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4E38EA4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65B0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2F36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43BC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9078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796B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1D4C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13D1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DAC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ED15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69C4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9595A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9B10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E5E6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BF63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6159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AD542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82CF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5513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EA50D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90 449,97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2C884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90 449,97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75A1E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D1E48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61C1632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8195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4A1C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2A4B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AD59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447D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8DA9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A2DB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CAF8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B468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08F0A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04EB0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B9DD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75AB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578C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3672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CD082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BDF7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DAA8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75D73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97 749,50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CD96A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97 749,50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A017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56 049,49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B7799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4A04EF6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50D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D690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6E5C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ED72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5D37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3346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25C8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7812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66F3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94852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C598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8632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55A8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3870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3423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3BF63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60F4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934A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92531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25 808,39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8AFED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25 808,39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6025D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21 943,11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98CD3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315E3F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61F0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5553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684A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0FE7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2A4A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8A00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30E0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187F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F2432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081F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B6824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1E9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5FE3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9D08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592E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490E4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B69A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49F6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71438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83 184,23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37DCE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83 184,23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23058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83 184,23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97E41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0B81A3D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D6D7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222E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4D09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7450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4E5A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F350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7529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BF7E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618EE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B54C4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3C178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5FB1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1E92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D3EFF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AA2B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602DF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D067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251C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B01DE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20 544,65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77A84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20 544,65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7F1D0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899E1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566CD74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77CC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EAFA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9D6A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1E8C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F4AE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E4E1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B917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B52F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DF9DB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B1B9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21F1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30AF0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B7F2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DDA5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1AA4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17722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845A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7DA5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475C4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1 047,25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AC5E3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1 047,25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A7744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535,81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2534F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w:t>
            </w:r>
          </w:p>
        </w:tc>
      </w:tr>
      <w:tr w:rsidR="001A4750" w14:paraId="1B54F13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8B44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C0E2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BA69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6A62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4037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A6E4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A4DE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EFED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7E2CA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834F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98EB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9CBA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9E273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5404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2F76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DA3BA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2FE4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6ADE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D9541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1 199,19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7C9D3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1 199,19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A77E1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628,68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9C82D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w:t>
            </w:r>
          </w:p>
        </w:tc>
      </w:tr>
      <w:tr w:rsidR="001A4750" w14:paraId="776F7A3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B777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6B32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7F50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40DD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7D5F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B32A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72F2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D89A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AE00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51EF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4F36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E031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CD55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679A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A5D6A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28D5E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A1F3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00A8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3F69F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13 985,89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D1BA8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13 985,89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ED4F3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2 434,80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04D51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5DCF58A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B180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A90D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74ED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C679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3773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5643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637F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2CE7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B7058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5C107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EF97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8CD7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293C3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F6C3C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C232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08730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3273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7CE4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5F720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3 062,14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A7960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3 062,14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331F4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2 325,18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448C8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152C36E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87F2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5E42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2DF2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B449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77D7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8EA6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A630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9DBD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6AF0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9433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761D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5F83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4E170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D6E6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67C0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523F2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4CBC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E415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11338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9 018,29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F2FA7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9 018,29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7E9B9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7 325,25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22CD5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182E99F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4333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2A11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E124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3829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AC52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E861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FA5A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5DFF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2BAC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94C1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CC82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A913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5F702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5F16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DE21A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BCF1B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918C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D6BC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F8310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14 243,07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7DED9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14 243,07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1103C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9 777,25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CB23F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w:t>
            </w:r>
          </w:p>
        </w:tc>
      </w:tr>
      <w:tr w:rsidR="001A4750" w14:paraId="6D18597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D447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C620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C0F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2DDF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D12C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B2EB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0A4F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A386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61E9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4843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5231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32CE1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186C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0CC3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A913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4CDB4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84E8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D612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A348E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3 095,33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2FB8D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3 095,33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D275B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1 461,26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FB632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w:t>
            </w:r>
          </w:p>
        </w:tc>
      </w:tr>
      <w:tr w:rsidR="001A4750" w14:paraId="321CA50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2D09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DF4E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C9E2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067F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58A6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06F1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6823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2CCE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E9C9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F07C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DA3E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212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B2CB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3A27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0239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5AE70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5CBE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1527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AC275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16 831,92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6D4BC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16 831,92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010D1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8 746,62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5F6E7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w:t>
            </w:r>
          </w:p>
        </w:tc>
      </w:tr>
      <w:tr w:rsidR="001A4750" w14:paraId="5B7A9E2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F44F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8C0D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300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57A4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4FF3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37F7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1427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4181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1459F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CD0F3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CE3F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7433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E8ED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F5AB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BA81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03BFC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E15A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5FDA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547A5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357,65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E6E3A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357,65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B85B6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232,78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97614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53AE1FB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1135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411D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0ADE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147E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5459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EFD7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2EAD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C975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BEDCC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2938B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7143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45A1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5455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7410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A9B1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0C564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5660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CD24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F5259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16 625,25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AFC00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16 625,25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6608B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16 344,96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69DF7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6DA6346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044A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B5D2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5AE9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CDE5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F67B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E388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EE70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55AD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FF4D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5F05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59402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FE81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B6AA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C258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D784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0CA69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60F8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33D9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2D12F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932,42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3C8DE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932,42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1CB56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663,47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680C2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686A41C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35AC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15B3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A38E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A12E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8F94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3260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A05B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F3EB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AC69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630F1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470C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A6EE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0AF8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FD77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E2AD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17D44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3872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9155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8E2F7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8 442,75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BEDFD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8 442,75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9EE4A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6 402,24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B6731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w:t>
            </w:r>
          </w:p>
        </w:tc>
      </w:tr>
      <w:tr w:rsidR="001A4750" w14:paraId="4C2913C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6B26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AFB0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25F3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EB0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BBD9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92AB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BB14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1B0A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5D199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ABAE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579B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059E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9D7DD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F0B06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ACA5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48B06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A4DE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EF0D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F40EF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78 528,55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EDC86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78 528,55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2D1E1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53 840,83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E8EF1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5DD7481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E9B4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CCFC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0FB3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702B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3C5B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89CA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319B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37B2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CF9A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765E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233B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BDD6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C96E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B3B7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9670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5A25C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68C6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92CE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15376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205,45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FBB15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205,45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CFAD5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158,35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3A1F7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4CC179A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F67F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9325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2133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C4A4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F55B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C6CD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BA08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F03E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9E27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6FBA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5541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B879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13535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7244C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C50A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331DC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0AA2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014E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31094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7 963,02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3D4CB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7 577,71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B41E1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256,86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F2E82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0398ADA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6614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1B28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DF87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50C5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A639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F619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4812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F4FA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47AC0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A02D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ED9D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BE08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482B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CBBE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51D78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C60F8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4DFA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982E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3CAD2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624,80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CC9F0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600,35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FE40F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488,94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0F00A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5F0920E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49E4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D7F1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C74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1CAB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E3CF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AAEC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31EF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B08F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781D8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128A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52A09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E8CC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F0A0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5B3A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E9EB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0DFAC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5AB0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28B9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61686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606,86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EFD9E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576,52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87C85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1C8AE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717763F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3FE9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F74E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8D75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DAE5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B235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BBF3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681B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EE3F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083D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2EB2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82B5A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7EFF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22E1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2AC1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60A7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F59B0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4843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5E63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11415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1 914,95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03D74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1 914,95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65CB1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2D934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01C0ECE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436A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5C73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D636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F512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CB28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EA0A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9762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B29B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02D24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4B15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8DC2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794B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5689C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F02C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C6E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74EF2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07C6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5F5D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A5378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399,29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5126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388,22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3D81F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38,82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AEC4C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6952552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4D1A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F057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550A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8421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FFE2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9A23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5E47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EF82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7D71F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8AFF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6D573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B8A7D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0B8D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2F943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5640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FECAC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B559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3697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6B792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1 105,69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14B96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1 073,75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192FC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206,27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BE30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05B0CD5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9A3E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601D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4EAD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521A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E1AC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9D05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ECE5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1FB4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5B85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2565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DAC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C80CA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9B85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4CC1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B3D3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C5C34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E10B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917A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05F64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18 256,23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C71DB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18 256,23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CD1B8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A6D11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252FA83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C1E5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8120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DACA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9557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3852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BB2F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19B9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ED93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36E9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B8DD3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0CA3E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F90AB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1C1B7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56851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3D7E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19B4B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3735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F98E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CC74E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2 304,36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AC868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2 189,14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B191A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2D9EB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CBE8E4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55A4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9B07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81F2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5062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D460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8203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CE95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4E38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D83E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ED890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AF7E0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81D4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CB31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35CE7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3F81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6940E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EB16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D415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39272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40 756,31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A01EA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40 553,21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C4761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F3E5A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0721B83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6482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F1F9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0CC4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EA64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2F9D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BA7F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B3CA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699C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AC73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E9796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E391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464C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F10D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A5D3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A9FE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84618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9EA7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9648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6AB80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1 363,57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226D6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1 318,78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CB331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633,32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733E1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248D019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A426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6DF8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D2B0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BF1A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6794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C2B9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5475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20AA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277E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1E52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44D1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2B22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E68C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A408E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F671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6AC8B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A274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5304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D2655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5 315,44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87A45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5 063,36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B935C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801,63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5059A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46D6A9D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83AD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A848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E33F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06F4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F0E3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5486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BFB1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102C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81CE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CB08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0230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14F9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BF6B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7EE7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7A56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56F99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B23A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68D1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287D2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463,45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56C33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451,23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8C2B0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225,47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5CD7F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7A72A04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3ED8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0D2A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3066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CD76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58A8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50DB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12CF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D1E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66F0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26450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33238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E6501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9BC4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CB27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C8380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1AE2A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7502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F90A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2BC6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24 053,43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D2F1C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23 592,06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92D6E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4 103,83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4C4EA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1CD3E8D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7CB4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1D60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13FA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71D5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1D8B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8383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6311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9BCE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3BC3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CAC0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5585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E88D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782C0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3CD4A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B66C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7A8F6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DD5D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5AEE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75A28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170,63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E997C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162,10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70425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168,67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AE2BD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6FC2496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973F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5952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CEF2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430F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BD69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9613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7029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FA9E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A401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C7ECB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D00D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B23B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9AA1E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4261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ADEBF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42CA1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506A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0F41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3F296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97 014,66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24F9B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92 868,33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8BAC8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36 656,90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669DD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5E8BE05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86B7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36D3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52CF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FA18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9749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E958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F063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21FD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F589A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AEBE4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C643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0B2E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13E1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D066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EA7F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20280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AD02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466E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10ABD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350,46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9CBAB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332,94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B391A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188,28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E7ED6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5C149C6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2B16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FD52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4FCF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E897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F5EE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C70A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E8F0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6757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958E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8CFC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B3D7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6D21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9A2C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A020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11E0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EF467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6EC6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BA62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73AC9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797,65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B2123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757,77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71F2F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395,63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82DAE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0344000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C1A0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2A6F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0A58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EA34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E910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2480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6525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6BBF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A313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2830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EB2B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FE25E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011B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90D4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29CC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AA210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C149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3841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317AF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552,91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46FCD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525,26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5EBD4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552,90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8FA89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1ACE850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C2BF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4B97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0813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D990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8EE6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355C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222E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6426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228C5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6FE6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F0CC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E3C0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6067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7822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D4A4E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C7BAF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5B74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9C16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1A807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18 580,97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BEF9C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17 651,93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81772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5 261,45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C4D28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25A9373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D31A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9DB4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330B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5EE6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ADAE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040D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8B64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8FF7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20914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7286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901C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A6AC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3733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CCBCA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6DFF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0165C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AA90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8769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EACE0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352,91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EDB16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335,26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BBFA0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320,79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75076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12A17EF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B7C8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9ED3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2DB1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0A21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AEF9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A961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1BE6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5926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2AEA3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690F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84D7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3AEBF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7BE9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B414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82CBC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CFD54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35CB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D37F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C54DB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48 633,17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43E1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46 201,51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2D669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25 809,83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C5E9A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22D4B66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9189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475D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D925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806A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8B49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8F64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0F7A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E552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A537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5A33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7B42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B471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757B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0DD8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30B1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055C2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ADE8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AAA7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F49F8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583 590,68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99852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583 590,68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9723A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167 232,17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3EC33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w:t>
            </w:r>
          </w:p>
        </w:tc>
      </w:tr>
      <w:tr w:rsidR="001A4750" w14:paraId="18CC4BC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6767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F806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1D91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71F5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D684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9996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250D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8E7B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3473B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47CD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9D02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854DA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0001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34B78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714FD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0FF15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AAB6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33BD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FF67C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572 179,74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3D8C1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572 179,74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345B2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197 780,96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997FE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01973F7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841E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9150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C79B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AEDE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88A5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32F2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919F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A9EC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DFF8A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51E2A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71C4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89E25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BDF6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A0E2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1FAE0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646A4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4F26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8F5E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1A2C6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142 798,84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25D87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142 798,84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EE026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3 652,20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E00E7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7113B61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6ADB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7F0E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6D96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43A9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D36E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4349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6A1F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44C4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2FC5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AF825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29209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D550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8799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0C8C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6B38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55007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FF8A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79F5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DCAF0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202 016,09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33C49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202 016,09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0A746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165 001,00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217F0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0B5A4B5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3D7C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D1B2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C7FD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5EF9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8E18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3F41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CE79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142E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3B37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CB3A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84A7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12D03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CBDF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3F5B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A56C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3A9D6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B530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19B9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F18DA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781 927,23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D50C0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781 927,23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3C1F4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137 922,13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887E1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w:t>
            </w:r>
          </w:p>
        </w:tc>
      </w:tr>
      <w:tr w:rsidR="001A4750" w14:paraId="4F6DD8A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0A17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275A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CFB1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D12E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E3CE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808F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B8D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7AF8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A639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EAED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B65A7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B958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74D0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86B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B298B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98B7F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D717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B860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617A7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555 465,71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A48BE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555 465,71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98519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378 964,76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7E256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w:t>
            </w:r>
          </w:p>
        </w:tc>
      </w:tr>
      <w:tr w:rsidR="001A4750" w14:paraId="0F32B37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1E53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6874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42A1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2F7C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C3F8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1577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8D7B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C75A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D6974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76C1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E2BB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4D97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B332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931F7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2A17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CBE7D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8A21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3E72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A91E2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1 191 589,04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F7A7E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1 191 589,04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F1E11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927 286,32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5475A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34</w:t>
            </w:r>
          </w:p>
        </w:tc>
      </w:tr>
      <w:tr w:rsidR="001A4750" w14:paraId="3A75C02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1C3C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469A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9B70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4995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F9A9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E893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5D53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4EB0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C9EC4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7ABE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E488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54F3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0BC2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3F74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6323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4D9A9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312C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856F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0A36B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1 336 793,94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E27DA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1 336 793,94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FA26D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664 813,84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B1A78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w:t>
            </w:r>
          </w:p>
        </w:tc>
      </w:tr>
      <w:tr w:rsidR="001A4750" w14:paraId="2B04309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58D8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75BC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DACC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EB5F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954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E338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FA96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7A37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9E283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78A4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3ABF8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D142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E2C1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228F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E0FC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511CA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C4E4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6D6E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40DBD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948 403,52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3F46A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948 403,52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87978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74 359,75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CC8B2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w:t>
            </w:r>
          </w:p>
        </w:tc>
      </w:tr>
      <w:tr w:rsidR="001A4750" w14:paraId="4C1686C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C8D2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3D2A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8A38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955F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78F4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4746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5961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0180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BBB7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89D3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85DD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9CEA4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D4B02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77E7B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01665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C10CE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18AA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5F11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3931E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629 906,67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3BED5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629 804,70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0C0F1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240 589,25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AB0CC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w:t>
            </w:r>
          </w:p>
        </w:tc>
      </w:tr>
      <w:tr w:rsidR="001A4750" w14:paraId="465B52B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3CB7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5714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C56A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A466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EC24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3BF8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BCE6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D998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AE58C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915B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5E225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5834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E9BF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5F4FE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89AA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6D890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2DAA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E85C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22DE1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1 136 763,82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ADEC9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1 136 763,82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5B5D5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413 842,63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179FD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w:t>
            </w:r>
          </w:p>
        </w:tc>
      </w:tr>
      <w:tr w:rsidR="001A4750" w14:paraId="425A6CB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813A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A882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B2F3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445E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FB95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ABC7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09C0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3614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B1A3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EB56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5B9F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F2452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551F8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A63C0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5AB4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D18DA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3382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2906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E0E81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719 198,76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3582D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719 198,76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E96F0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246 561,58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54981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w:t>
            </w:r>
          </w:p>
        </w:tc>
      </w:tr>
      <w:tr w:rsidR="001A4750" w14:paraId="1224DAA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0966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A365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8B4C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F95B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2B36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CDD1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D7E8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F8DD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684B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3400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F7C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687B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4FCF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E5E0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F37C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F8691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554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E2D4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077B9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3 907 407,43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1E687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3 907 407,43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997D3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2 308 013,41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644E8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w:t>
            </w:r>
          </w:p>
        </w:tc>
      </w:tr>
      <w:tr w:rsidR="001A4750" w14:paraId="53198E5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E4CA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4212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D7CB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AE05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24C5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32E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1E62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C7B3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4A05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CAC8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7E84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AD0F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3AFF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79D1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6E208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E3DCB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9695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E674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16348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195 511,07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EA4E0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185 735,51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BF34D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5BB41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08CDE96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772B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DA08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77EF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1A9D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232C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6217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2C9E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C20C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664F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F6B3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5F81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E980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E2E5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799A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34B9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BAC70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72C4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DC70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E4FCA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337 339,48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BC7FB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330 564,60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7D219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100 554,64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7DA27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14ADFD4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7FBC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B01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E258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77AD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3721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FB81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B186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8B45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F8D95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B7B1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1331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6C63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3496A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565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8E2D3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69DA6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EC23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23FB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7BED6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200 264,20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4F470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200 264,20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65DE9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3 810,31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19466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02B01BE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DAB1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E064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8D32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D7B8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BB1E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903B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3919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8243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51B4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8BB64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DD36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7B3C7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CB81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2BC8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BC8CA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6D879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F67A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C37C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917FA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148 723,49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DA64C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142 526,16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5A35C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130 164,63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CF3EF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4E66A46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2AEB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9C0F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0D07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DC5E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3245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9F0B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9172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E27E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1AF0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8290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ED30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5CF2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D00A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2B7BC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37D51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F6808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ADF5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BFEC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D8F4B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214 264,02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316A9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203 741,89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D3402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197 079,01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5015F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2CBEDBF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BCF1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8235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5A75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6D8F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224A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9542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2D9D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F8B2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D341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8DBF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EB57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762D7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BAEF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7437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F2F2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40F45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EB5D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7520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66A4C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89 794,09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CCA48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89 794,09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D0FCB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89 036,17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7C470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49416F7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09AA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EE83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28BA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8913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B0A2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6622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3FC3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2923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4014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4D93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20ADD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B982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CD2C0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DA9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F8D77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6EE48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4198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8682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45D5A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60 711,33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233E6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60 711,33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1D556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62FAE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67C9CE5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5E6E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B623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8057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A24A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0DA0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C89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A1D2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0BE1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E350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8746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A4D3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613F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C70B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1C773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1728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82C2B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758B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95C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E2542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9 429,68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C23F6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8 958,19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07C60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44284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515EB2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FD88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7C4F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0CB2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1A37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DB02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08F6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EE2A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EA87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5B42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03A9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8242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499C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06FE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65E5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12181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34074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08C4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6C1C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7CBDD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746 209,27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8AE37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714 044,88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449B8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0F615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7F95CAC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EBC3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A618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F82D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FC82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26C3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378F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8710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95F9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8739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AB5C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03EE2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D4EE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CB50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C99E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DD96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E1CFB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EA3E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69B6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7F1A1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554 790,83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17D4B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545 408,13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4868D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384 041,90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E9E8D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w:t>
            </w:r>
          </w:p>
        </w:tc>
      </w:tr>
      <w:tr w:rsidR="001A4750" w14:paraId="3480D8F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041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3660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3039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22D3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05D0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0AE1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69A7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3CDE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223C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6E60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6BB0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5F13C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8603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5228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DBB7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1BF7E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0329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4A85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DF3FC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286 197,72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9F93E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272 470,02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F91AF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69 140,37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8C7C1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w:t>
            </w:r>
          </w:p>
        </w:tc>
      </w:tr>
      <w:tr w:rsidR="001A4750" w14:paraId="6E19E55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1063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C63B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EB76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213D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3463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DB0D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976C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282D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60AA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8014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ACA1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BE541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AD0D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EE15E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CBB2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8EF2A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FF68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6177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38BBA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71 324,40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82E78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71 324,40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F9104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43 918,62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F2D67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366FEB7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8167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6962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E4ED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7F50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4F91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821E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E67C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3FEB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B32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E009E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E85D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58B4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12402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3449A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FB31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96FE8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AF12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73FE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E64CD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104 684,17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1F4B5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101 286,21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9B3ED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63 291,01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C7D62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3A27553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A9F9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CCA4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C649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0CDE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B93E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A1E7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2F04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C17B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A845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76C8C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014A2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87363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37CE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F5E0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B410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E4676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6077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D608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5BDC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696 883,06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1DC14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682 389,60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8D6A2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51 713,11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2F644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6D1A3EC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FCA2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F017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B207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E2ED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CDEF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7130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5682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E270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F5DD7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3EE34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A1A6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7403C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C290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2BDEA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0A38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3906D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C86A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AAAF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0D5DC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29 028,15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D37E8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27 576,74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A8BAD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28 544,66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1552E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601A504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E686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BBDC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0F4C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E439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6F85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5688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D13A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BD56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B9BE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D5497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6F56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4DE7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A45C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88B7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F4AF1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EE26C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5177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5BBA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16D93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217 565,42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9811F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211 989,20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F6C5D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110 912,64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0FB18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w:t>
            </w:r>
          </w:p>
        </w:tc>
      </w:tr>
      <w:tr w:rsidR="001A4750" w14:paraId="5B30A77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866B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A0D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6215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E032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F6D3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2ADD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7EF4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E42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B7FFE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E20A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C637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5712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7C1B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26AF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2192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0B341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D97A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4E58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ACB89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756 854,29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33621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723 987,42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46B3E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374 712,33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71149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w:t>
            </w:r>
          </w:p>
        </w:tc>
      </w:tr>
      <w:tr w:rsidR="001A4750" w14:paraId="4655E71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9692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7FDA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FE6B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5E7B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B43E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C527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804B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EB80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B279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E93B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A5A6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37CC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37E0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B9C1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50389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98073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59CD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3459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6D073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743 170,17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BAADB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731 967,61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A5F13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160 622,86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2367E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w:t>
            </w:r>
          </w:p>
        </w:tc>
      </w:tr>
      <w:tr w:rsidR="001A4750" w14:paraId="58F05C3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8FB6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5EDA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EA31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7491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0B52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5877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F2DF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74A3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B0DBE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F149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AC9E4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40B3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28A3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04AB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3BDA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44DB9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A8EB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5C77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6477C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297 179,65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54EA2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296 414,41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A7F5F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6 806,60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93109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3EFCB2E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0F02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CF67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B110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D3C4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20FB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6C97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074C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FBFB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DB64D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B83F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6089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83B2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570A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3E1D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EE09B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F6902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054B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3FF8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36DC8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297 451,90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B70DC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290 416,69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98198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75 732,06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183D8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w:t>
            </w:r>
          </w:p>
        </w:tc>
      </w:tr>
      <w:tr w:rsidR="001A4750" w14:paraId="232A08A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67A8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BEB2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C4D9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C6EC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6A3B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7BF5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7AA9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BEC2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3776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C5E3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BEF52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D06A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8749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0FEA1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9561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C6AAD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9424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4A8B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D04DE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205 833,24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49E48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195 541,58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D0AC5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180 799,36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0604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14FD7BB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9B34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2D9B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259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5CE9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773C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489D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DEDA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8068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3879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A033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DD8C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52E8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BE9E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2860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3C24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54863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AE42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4B42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55AE2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903 934,99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075B5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865 995,36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473F5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299 499,21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56C62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w:t>
            </w:r>
          </w:p>
        </w:tc>
      </w:tr>
      <w:tr w:rsidR="001A4750" w14:paraId="4954ADC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7F43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426F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CA7E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5664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4FD8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330D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9285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0975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E283F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EE65E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C896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352F5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65AF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0CFF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AFE9D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A9BC0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9E84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5597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90A74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3 764 624,63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6D918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3 576 393,39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73C56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1 084 984,26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67C09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w:t>
            </w:r>
          </w:p>
        </w:tc>
      </w:tr>
      <w:tr w:rsidR="001A4750" w14:paraId="460B416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9BC9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9564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44A8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020E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FE74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B850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0375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CEA7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987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AC5D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834C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16DC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1875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6663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FF38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2D7C9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128F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11E3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53AE7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1 666 781,20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58795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1 583 442,13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332F2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484 448,58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A5E33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023AE51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D7CB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B16B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6AA8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DE2E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A933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284A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CB5E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F0DE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9D22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32BA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2DA0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7CDA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E526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0105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41FB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54B44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9559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A0A6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155DC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990 978,32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C68C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941 429,41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0D5D7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362 281,72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C73B4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6E26314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73A7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F76F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78CC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3829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8B78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9C35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B980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75D4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6A22A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BFA9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D179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2B40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5F17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10CF2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E839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0DDA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400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3C39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649E1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493 781,37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114BB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469 092,30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91AAC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20 972,29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5085B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461E644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3CE6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6787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B98C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3E02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E24D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BE1C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66E3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4086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6F08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9AA7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09861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69B4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335A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2892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7F91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F1ECE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1932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BA06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A63B5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2 147 426,68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3EE6B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2 040 055,34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252B0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539 575,98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F1A39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2460C68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F8B7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9CEC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362B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1E67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7EAB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8938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49DB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6627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03F5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DE41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80FD2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7C22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3C9D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7C5D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1F1B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8159E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61E3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6492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594F7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479 535,64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49D46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455 558,85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6572C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211 349,03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F0A7C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36272C1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ACBE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19BF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D7D7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8371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9E2E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5980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A223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3CCB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4482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5B27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12AC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7D14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7C40B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CC81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930ED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ACF0F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A45F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F0F8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6C1E9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1 346 515,22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DDA84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1 279 189,45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8E3C9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338 195,99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B7EDB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4617ADA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D276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2901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19DD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53AE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50B6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6E74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82B0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C310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51C1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7497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DD68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0C26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2047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5300A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4E2B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EEF15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ADF1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1B38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451BE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2 954 567,92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4B9B6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2 806 839,52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9559E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887 913,47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A7594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w:t>
            </w:r>
          </w:p>
        </w:tc>
      </w:tr>
      <w:tr w:rsidR="001A4750" w14:paraId="13F4E81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6E1C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3C37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2CEF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FE06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4008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A13E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D79B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69B8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E1E4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0388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A1FE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BF6C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AE6C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72523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C982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A1D18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F124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0A97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63218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2 478 459,07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0A270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2 354 536,11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87786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525 276,57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21F65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w:t>
            </w:r>
          </w:p>
        </w:tc>
      </w:tr>
      <w:tr w:rsidR="001A4750" w14:paraId="611B5C0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7864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B306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0255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A19F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6D83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5C43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A068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DACB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C5320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1CD9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C3D09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25EA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9E38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DA15C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8179A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260FF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3FEF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C531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F7DA4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4 167 589,73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7E8B3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3 959 210,25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B0D0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1 221 999,81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3A6AA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w:t>
            </w:r>
          </w:p>
        </w:tc>
      </w:tr>
      <w:tr w:rsidR="001A4750" w14:paraId="5A69ACC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A5F8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3146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77FB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F563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F557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3219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0B71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043F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0E75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C642C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FC6B3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AADDA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06F9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9ECA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DD3E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ABB7E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BB38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6E36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1AA59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2 008 784,28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5095C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1 908 345,03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8E1AE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810 955,06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A9F6B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w:t>
            </w:r>
          </w:p>
        </w:tc>
      </w:tr>
      <w:tr w:rsidR="001A4750" w14:paraId="325F6E4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155A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4A54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93CD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3228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4FA1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EFF8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29EC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5D3B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CF9C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A2931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F190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35F3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0FE3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E47CE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97D74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2A64D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6C09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C42B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CD2A8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1 345 208,33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E545D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1 277 947,91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B60F1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428 380,28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6ED7F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4DD540A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1579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E0EF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4AD0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1FF8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95D6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6151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7BAF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0519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A958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AB5F1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6B93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FFCA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FBA6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2F05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FB24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B17FD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81C9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0D93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E7904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3 104 151,32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97606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2 948 943,74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5AB45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974 138,60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C4AAB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w:t>
            </w:r>
          </w:p>
        </w:tc>
      </w:tr>
      <w:tr w:rsidR="001A4750" w14:paraId="0B2C63E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1D7C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2F5F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7501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B90D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4F8D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F742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C9A8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47B4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E38C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9019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36E6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4433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7600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F1391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287F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59ED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CA5F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B9C4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C1884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5 399 364,53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96841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5 399 364,53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557F0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939 545,60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F71D5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57</w:t>
            </w:r>
          </w:p>
        </w:tc>
      </w:tr>
      <w:tr w:rsidR="001A4750" w14:paraId="5F68D3F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004B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6650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292D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D121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0C3B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62DD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EB21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688F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68A5A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A852E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817A8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475F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18F1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EE8E1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CDBD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F668B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1B09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3F74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533A2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2 944 988,07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EC10C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2 944 988,07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4BF41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1 714 486,88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DEE0F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39</w:t>
            </w:r>
          </w:p>
        </w:tc>
      </w:tr>
      <w:tr w:rsidR="001A4750" w14:paraId="65C77B4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99B2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519E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32E5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9C92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89C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9197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7508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C7FD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5F2A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E8E3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6550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C944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4EE8A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3F8F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7C9C7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8B57C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B318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CF24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C44A0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2 561 200,13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58E22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2 561 200,13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E8FCC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1 057 249,72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36863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w:t>
            </w:r>
          </w:p>
        </w:tc>
      </w:tr>
      <w:tr w:rsidR="001A4750" w14:paraId="68C791F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D0BB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BB57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1A6E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1F38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DA44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8320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721B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8834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58DF2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76D2D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84290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26A2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3986A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EE92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6F56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4B1EF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F009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AE30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92A44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3 418 660,53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B50B0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3 418 660,53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7550E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2 591 319,95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AD98B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w:t>
            </w:r>
          </w:p>
        </w:tc>
      </w:tr>
      <w:tr w:rsidR="001A4750" w14:paraId="05A27B1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38B9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2BAA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29A3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7903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94D0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FC97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3D60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B237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0D7F4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D85B1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2BB0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206B8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CA32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03EA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4919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6FC8B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7480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6175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F5BA9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2 580 870,31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044DB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2 580 870,31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26EA1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1 512 202,84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EEF7B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31</w:t>
            </w:r>
          </w:p>
        </w:tc>
      </w:tr>
      <w:tr w:rsidR="001A4750" w14:paraId="547B8F6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5886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2548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5E6B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5677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2CF8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4FEE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6F8F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DC4D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A2DD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0B669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6C13B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3C16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3595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C11F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D71B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47093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3A60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8756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090F5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2 120 826,32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9E697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2 120 826,32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41443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1 054 868,81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E3A69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w:t>
            </w:r>
          </w:p>
        </w:tc>
      </w:tr>
      <w:tr w:rsidR="001A4750" w14:paraId="5E5010D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394F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A680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A310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C8DC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C395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51DB3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54F2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D7BC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5C40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1E9E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A550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0D0E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FD5D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FCF7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BC1E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E87EC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54C5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2AA4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E5A3F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3 358 413,41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CF97D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3 358 413,41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FFEE0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1 993 145,34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5BC98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44</w:t>
            </w:r>
          </w:p>
        </w:tc>
      </w:tr>
      <w:tr w:rsidR="001A4750" w14:paraId="3A7D373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A31A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3D10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BFE9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673E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D24E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282C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3C6D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4161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3AC6F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F062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0A2CB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62E3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CC7E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22F5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320C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11413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FF0D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AA6F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7B425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2 934 839,23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ACFE1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2 934 839,23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9D77B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1 271 374,36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05EDB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40</w:t>
            </w:r>
          </w:p>
        </w:tc>
      </w:tr>
      <w:tr w:rsidR="001A4750" w14:paraId="74D7B7B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BCC3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AAA2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328B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2CC7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006C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5EC4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AF6D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13CF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0A4C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1D80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E07B9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F1709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7A62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2EE5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29B1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7D4DE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2173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4A69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CE275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2 855 467,56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C960E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2 855 467,56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9714E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1 525 617,83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0A728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37</w:t>
            </w:r>
          </w:p>
        </w:tc>
      </w:tr>
      <w:tr w:rsidR="001A4750" w14:paraId="564FEB5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B00D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0394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758B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64B0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D0B6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05F1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18E6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4C2D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85DB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3A09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87DA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C648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E292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09A0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4F62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6F9D6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F729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ECCD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81575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2 791 596,82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004C0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2 787 414,67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71242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1 335 841,20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839DF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34</w:t>
            </w:r>
          </w:p>
        </w:tc>
      </w:tr>
      <w:tr w:rsidR="001A4750" w14:paraId="5D07998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538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52D8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48D9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CA21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745C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0136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9060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D169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C1B8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CBB3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A330C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9258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56E7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0853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6B06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EA84A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EF50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FDD4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BF9F0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5 940 869,79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457DE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5 940 869,79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FAF78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2 630 436,86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F5F6B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81</w:t>
            </w:r>
          </w:p>
        </w:tc>
      </w:tr>
      <w:tr w:rsidR="001A4750" w14:paraId="21A53AA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9AE8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C9EF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F1E8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7EFA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57B5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E26D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9ACF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1563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EF9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F757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F308C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A3F95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A0F9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8563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456D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80D44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5BDB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0134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3DE77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5 504 684,54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E5C23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5 504 684,54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5930E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3 681 867,95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B5846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69</w:t>
            </w:r>
          </w:p>
        </w:tc>
      </w:tr>
      <w:tr w:rsidR="001A4750" w14:paraId="48E39E7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C743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68E5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3A06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236D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32FD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2F5E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0ED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E490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75794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B9E5C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B075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9E859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790B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C055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90FEA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8571C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6AD2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29F2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4D2CD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5 490 068,36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BD98E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5 490 068,36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9FD8A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3 282 917,00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47F08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42</w:t>
            </w:r>
          </w:p>
        </w:tc>
      </w:tr>
      <w:tr w:rsidR="001A4750" w14:paraId="4FEF0B6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4449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B531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3AD6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44A6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B546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581B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1271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AB5C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126F9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50E4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69557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00AC3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DCA3A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7F5BC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F052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8F8E1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4A7D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C897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5ACAA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336 867,15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1CE6D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336 867,15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D1DC1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336 860,91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3FAF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1D9ADB5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9541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EDEA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394D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5321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3617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233B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9EBE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0D18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71B5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574D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4579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56C8B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5EB7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BA0FE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006AB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0A632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8B32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0BF6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0A438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38 617,89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CDFB5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38 617,89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31371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38 617,89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1C37F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0931597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DC5F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554B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2D99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5750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BF4C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E5A4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DD49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4D6B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2FC4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8E18A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53AC5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071C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DE7D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84470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A563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0D45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0E86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38FA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E3B58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222 407,96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B7893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222 407,96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18751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221 996,36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502F3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658E418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41A1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E7A1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3A58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6055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CD32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0E84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063F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CCE3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4F7D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819E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9F2A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3F82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6DC5A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438A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19C9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45C17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1BE1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9B3B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4FB62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383 710,91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0CA12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378 823,14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8E657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90 584,19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D6CD4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75A9908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5F5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4C6E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40E7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FF1F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799B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4F38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334B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EB86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9064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6994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6814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E317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027A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171F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2B6E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440C3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96A0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9B49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6FBBB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299 220,26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82867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290 422,26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6E969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95 000,35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93301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23E2F15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1AED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0F78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85D7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9E45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D953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76F2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4265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4B3D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90E19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2B07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DD6B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7A35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5DB0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53E8D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1911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C4CD9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10A7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05EE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9418A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2 006 882,94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8385B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1 976 697,78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AE36E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12 462,72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7DA2F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w:t>
            </w:r>
          </w:p>
        </w:tc>
      </w:tr>
      <w:tr w:rsidR="001A4750" w14:paraId="1885D96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5290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6EC6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C5F2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FA38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4CAB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58FC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D19E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B010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7F95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918F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482C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045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CF7F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4DCF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19E9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103FA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6675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B9AA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CAD9A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701 992,92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CCA5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678 207,71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BB2A0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252 982,34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47E76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031ABDF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F1FC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74F5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034F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18B7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51D3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3DF6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3901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F6CC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081B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218C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21AD0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F84C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8F114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9663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6F35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64C20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7530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C27A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ED2CB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635 713,66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DA1F9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606 683,29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FA779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356 652,31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C9A06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790FF11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F6C2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8859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E3C1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7E16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2C67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883C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962D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6647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C8C2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E6678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1D6D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F8AC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0340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BE23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70FFF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19586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629E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58F8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45469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342 129,75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B10BB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333 685,52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1BE3B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65 687,97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FBDB1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3BD4332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A1F2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EE5E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B999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53E7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E22C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E02C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19BF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E451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1DF4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3635F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C011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60C9A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2452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809BA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E056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53BD4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91D9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59F1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9012C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64 293,10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2C516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64 293,10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3AB30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F2131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71A65AF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BB1D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56A3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D080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D40D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03DA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E9B7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3B3F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0F64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83C5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A27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D70B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CE557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B0CAB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5D68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8C710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D7E5F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9D19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E18F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5DF35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60 595,14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4E2CC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57 565,38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196B2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31416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60FC59F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FC94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C91E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91C1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C54F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880D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709C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40F9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B749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9BC80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55F1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166CA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5291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9F89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59C9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A691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2C9E9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CD7C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1E92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D843D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83 326,60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B0739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79 160,27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50315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80BDC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2DABB6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147C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F9FD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6E4D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A380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88AF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1F2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BD70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A314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55BCB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350F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94C7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C133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E55C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207E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9B72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93B5D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B42C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2CA4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A69D9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17 989,89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F7ADD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17 989,89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D5466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FBD9A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03DE71F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5369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12B1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3C4B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3516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AEC4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AB27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1D4D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33B9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71F9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8207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712D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FE34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3C79E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1DA68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8A5C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0914E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7377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C4C8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4F9D7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3 268 954,74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58FE4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3 219 363,48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1FC30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696 458,77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89F08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w:t>
            </w:r>
          </w:p>
        </w:tc>
      </w:tr>
      <w:tr w:rsidR="001A4750" w14:paraId="6B39363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C61C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3279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58F2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64C1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6CD0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804E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60A7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F566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5AEA9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E798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D600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D722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4DCB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7F5B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D862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3FDED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55BB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0C90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0A4CE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1 977 609,03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35C21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1 948 736,05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64BE3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588 447,68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E1D1C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w:t>
            </w:r>
          </w:p>
        </w:tc>
      </w:tr>
      <w:tr w:rsidR="001A4750" w14:paraId="03AB2A1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E229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67E3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7DFD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6D56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8F55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CB7F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E41E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735D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E9679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37B39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F0A6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1D568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8D04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E741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CB29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F5751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9A8D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3D3C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459E2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2 097 845,31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D076B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2 070 193,22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661B3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239 095,84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2F390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w:t>
            </w:r>
          </w:p>
        </w:tc>
      </w:tr>
      <w:tr w:rsidR="001A4750" w14:paraId="1B232DB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A93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857C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F821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3A91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F79C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2FEB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61D6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76EE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B1B4B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6E5A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9C26C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8989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67E7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36E7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664C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89263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8C17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7CA4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C5379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1 080 583,07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F27A0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1 045 324,42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40B7E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407 098,39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DC3D2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w:t>
            </w:r>
          </w:p>
        </w:tc>
      </w:tr>
      <w:tr w:rsidR="001A4750" w14:paraId="4912DDA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9E1E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09A2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B4F2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C7B0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D2B6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B595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44C7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A3EB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91691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78F5B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7731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C4AB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ED33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DA666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97C2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0CB79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EBB3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47D2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51FA9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637 533,64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08343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619 801,91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C84AB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81 274,92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E750C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0DB2C62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CD1C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C042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CB82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69A2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87EB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688C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E70A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9705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B869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BF248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E9271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8D3A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1892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CA13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4D6C5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42808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4A82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C79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54EF9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763 522,17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7926F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763 522,17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D9805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1E626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3AA411F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6825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6232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3CE1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B1CE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5B31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958D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5900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6E91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C42C1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DC1F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AEBE4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C6017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33B0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FA05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A10D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8D0DE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5B21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288E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E7AAE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938 732,95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949A6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912 151,86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F4B25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477 599,45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69B72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w:t>
            </w:r>
          </w:p>
        </w:tc>
      </w:tr>
      <w:tr w:rsidR="001A4750" w14:paraId="589368D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51C6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290A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9493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E927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8EBE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3415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30A3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F6B5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A4270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7A23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AE6F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E93C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C1A3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A5AD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03012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51400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12A3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0678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3953E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2 347 517,27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53DCE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2 285 458,03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EF8B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677 219,61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A85A0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w:t>
            </w:r>
          </w:p>
        </w:tc>
      </w:tr>
      <w:tr w:rsidR="001A4750" w14:paraId="49D51E7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2991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BF47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2C59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7699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215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5DB7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561B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6A8B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7AFF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9CF0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B279E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FBF9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A42D0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5FCD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60E8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C7C4C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D574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EB69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3DDED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990 027,37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9A4E3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980 342,53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B7B28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450 090,09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48CC5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w:t>
            </w:r>
          </w:p>
        </w:tc>
      </w:tr>
      <w:tr w:rsidR="001A4750" w14:paraId="5F50F1D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FFBA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ADAA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6955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FE4F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4816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A1BB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9E60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F301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90D5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4DDD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43213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5E45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8CBA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E2685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C9EE9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D2923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3FF1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1D5A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25EF6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1 829 900,64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5D91B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1 786 508,69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ABF0C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359 480,29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40A6E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1AD5D68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5ACF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CBA8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0464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8F28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2139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B722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BE91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DAFE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6B78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02FF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0E48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F878E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441C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12A6B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9383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2B228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D848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5488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0A9CD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1 215 462,22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2FFD3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1 183 418,80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10D18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797 133,87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42557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w:t>
            </w:r>
          </w:p>
        </w:tc>
      </w:tr>
      <w:tr w:rsidR="001A4750" w14:paraId="3307EFA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92DA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DAC6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F39A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7CFA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9939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484B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7980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4759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492C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3A29D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64DC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5BB3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0A8C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BC47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0D7E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AAE92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BEA0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2814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95F77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156 205,22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43415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151 919,43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2D4C9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41 666,71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DF1A7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3D32BBF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817C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9832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D8AF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E3F8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C957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374C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8BBE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2691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A6250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E7E90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420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CD9E4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3D8A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FE890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DBE4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E75D1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EAB8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C670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C4EBB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2 632 197,53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940BF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2 570 966,78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9C1B4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774 025,37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CF92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w:t>
            </w:r>
          </w:p>
        </w:tc>
      </w:tr>
      <w:tr w:rsidR="001A4750" w14:paraId="18186BE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62D4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7247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3720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F473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0AB4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A901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9941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815A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8789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9FD88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42CC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A07E7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218A0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B827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C58D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E1826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5384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0384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0D51E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9 436 994,65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0AE9A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8 965 144,87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B3498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2 352 813,81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184B9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w:t>
            </w:r>
          </w:p>
        </w:tc>
      </w:tr>
      <w:tr w:rsidR="001A4750" w14:paraId="6CE8150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F0F9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A369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04B9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5425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3DB7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C0FA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5708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E23E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765B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9DF3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8542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4E8E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C518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36DA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6159B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BBC5F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A600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C66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6397B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6 326 235,08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C08B5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6 009 923,28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AE819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1 925 631,22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AF4B4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w:t>
            </w:r>
          </w:p>
        </w:tc>
      </w:tr>
      <w:tr w:rsidR="001A4750" w14:paraId="2290D24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7C4B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7C39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A373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9DEE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D21C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8EE4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E4B9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9D9C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911D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20B5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CCCB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BAA6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A332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E6BE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331B4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AAA4C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7F1C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72C1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75B93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4 363 793,19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F66E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4 145 603,55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2B38F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1 156 315,25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34D9B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w:t>
            </w:r>
          </w:p>
        </w:tc>
      </w:tr>
      <w:tr w:rsidR="001A4750" w14:paraId="5776437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DF48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EF3E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4B5E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559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05A6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C37C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9221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0CEE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1798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36587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D47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EAD9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ADAD5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E0E2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4E58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9CB5E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FAC4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5004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D760E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2 360 489,78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ACACB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2 242 465,29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6A066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1 028 956,64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459D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154E98F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075A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2E00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CA99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74FE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5DBA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D72D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EF85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EB1B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9CF7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D56D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C84B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1695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76E7A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A0D0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689D4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66385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8BED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299C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61E8B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2 844 123,19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2AAC4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2 701 917,05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1EC3F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840 447,51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50440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w:t>
            </w:r>
          </w:p>
        </w:tc>
      </w:tr>
      <w:tr w:rsidR="001A4750" w14:paraId="7CB0A38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4ED5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6A41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6EDB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EDE1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F82C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DB84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7F75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C367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7328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F6D2B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FE613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E35CC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6C3A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FB0DA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47F4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7D64C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8F9F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D771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2A192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2 900 981,39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1415A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2 755 932,30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90A19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782 561,82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9498A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2781380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7EEE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9B15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9C19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8AC9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6974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AB33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D824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EA63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0856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FCE98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9758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1BAD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DD8E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9D94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531DA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A5F25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4E45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D6AA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4FED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6 213 859,71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55CF7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5 903 166,73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05BF6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1 906 080,47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8CE02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w:t>
            </w:r>
          </w:p>
        </w:tc>
      </w:tr>
      <w:tr w:rsidR="001A4750" w14:paraId="5B22407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4F2C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7B45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2281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C704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FBA5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11C8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4C9B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FBDA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E793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169E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C915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4D1E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8CE2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E7618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94F8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FF77B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A028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3712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BE3A4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3 423 497,09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CF610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3 252 322,24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CB420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1 031 483,68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B2097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w:t>
            </w:r>
          </w:p>
        </w:tc>
      </w:tr>
      <w:tr w:rsidR="001A4750" w14:paraId="587ED43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1124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A61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6A9E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59EB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B6B6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7A1B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7FBE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BA0D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A5E6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841EA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980F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9017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D8CC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1A60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E2C5E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D0300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D02E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93CA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C4A6A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5 304 661,43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39C41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5 039 428,35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253A8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1 359 811,24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43AE3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w:t>
            </w:r>
          </w:p>
        </w:tc>
      </w:tr>
      <w:tr w:rsidR="001A4750" w14:paraId="68ADC59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9FF4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815C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BB57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1CED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C70B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0807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040F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D6C3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1180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77E3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5BED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B3A7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2F10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9EC75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52F5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9F53F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65B3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9C79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E2666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4 762 288,58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7F653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4 524 174,15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59F89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1 590 385,32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A2B95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w:t>
            </w:r>
          </w:p>
        </w:tc>
      </w:tr>
      <w:tr w:rsidR="001A4750" w14:paraId="34AD2FA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8294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7CD1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85CA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B357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314B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23B0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3066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C7CA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BFD32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14C4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C459D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B67A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8AFB7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DE6F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712E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1D4E7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57AC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734E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9FD5C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5 338 267,61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D9844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5 071 354,22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B4156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1 676 177,61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A5A4B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w:t>
            </w:r>
          </w:p>
        </w:tc>
      </w:tr>
      <w:tr w:rsidR="001A4750" w14:paraId="1D5BB07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0A5A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3762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C93A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C623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3F5B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AF7A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F342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5664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63EF0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D561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070E1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B4D92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FC9C7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0B6A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0778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9F616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68FC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9B6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AB79B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5 190 903,11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683BB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4 931 357,98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C8A39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1 846 058,16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38C14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w:t>
            </w:r>
          </w:p>
        </w:tc>
      </w:tr>
      <w:tr w:rsidR="001A4750" w14:paraId="09E7748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8C85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D8AD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97CF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022B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54D1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F5B4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26EB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2A45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B23F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4343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6EF4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9768C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9A8F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8998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A112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5C263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338F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1ED5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F728C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3 454 275,48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E4549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3 281 561,71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8D8D0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1 287 864,32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68288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w:t>
            </w:r>
          </w:p>
        </w:tc>
      </w:tr>
      <w:tr w:rsidR="001A4750" w14:paraId="36D4448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6D01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DEA1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DCFE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24DD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IX.0.121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4B4B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267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58B4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0D49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CA9AC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A0C3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6E300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348F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2D6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9BF00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530CD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20499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B48D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9DEC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967EF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72 350 171,48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92694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72 350 171,48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DEB46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47 107 231,91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BC59F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w:t>
            </w:r>
          </w:p>
        </w:tc>
      </w:tr>
      <w:tr w:rsidR="001A4750" w14:paraId="4A4BCF5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56BD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B751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B579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F43E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IX.0.122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0CCE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6335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167B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87600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7C8E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68B6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28EB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D4B0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8764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238B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9FFD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D9100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495D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827F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6806A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1 182 320,17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D41E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1 182 320,17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A1A75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58 525,69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9E05A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69677E4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5DA6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C966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665D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26AC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IX.0.123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C67E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EA68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ACC2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BDBE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50A8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6EBC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3FCAB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50808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5FC8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8D9B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8F19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CE689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8F89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A65D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61DED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4 728 777,53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AFE98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4 728 777,53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9DC13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2 522 194,11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09720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w:t>
            </w:r>
          </w:p>
        </w:tc>
      </w:tr>
      <w:tr w:rsidR="001A4750" w14:paraId="5E1BA3A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647BE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F22E67" w14:textId="77777777" w:rsidR="001A4750" w:rsidRDefault="001A4750" w:rsidP="003309D0">
            <w:pPr>
              <w:ind w:left="57" w:right="57"/>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EAE4F6" w14:textId="77777777" w:rsidR="001A4750" w:rsidRDefault="001A4750" w:rsidP="003309D0">
            <w:pPr>
              <w:ind w:left="57" w:right="57"/>
              <w:rPr>
                <w:rFonts w:ascii="Arial" w:eastAsia="Arial" w:hAnsi="Arial" w:cs="Arial"/>
                <w:color w:val="000000"/>
                <w:sz w:val="14"/>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5E660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7D821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F3D0D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A0B6CD" w14:textId="77777777" w:rsidR="001A4750" w:rsidRDefault="001A4750" w:rsidP="003309D0">
            <w:pPr>
              <w:ind w:left="57" w:right="57"/>
              <w:rPr>
                <w:rFonts w:ascii="Arial" w:eastAsia="Arial" w:hAnsi="Arial" w:cs="Arial"/>
                <w:color w:val="000000"/>
                <w:sz w:val="14"/>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91D4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A07F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4FC6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37A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1C4C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AA30A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1938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8F06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07983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68465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5F137B" w14:textId="77777777" w:rsidR="001A4750" w:rsidRDefault="001A4750" w:rsidP="003309D0">
            <w:pPr>
              <w:ind w:left="57" w:right="57"/>
              <w:rPr>
                <w:rFonts w:ascii="Arial" w:eastAsia="Arial" w:hAnsi="Arial" w:cs="Arial"/>
                <w:color w:val="000000"/>
                <w:sz w:val="1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7B1F0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5 009 097 861,44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6295C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4 643 387 061,57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19CB4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2 136 513 156,29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98AC6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13068</w:t>
            </w:r>
          </w:p>
        </w:tc>
      </w:tr>
    </w:tbl>
    <w:p w14:paraId="7E508500" w14:textId="77777777" w:rsidR="00533CD2" w:rsidRDefault="00533CD2">
      <w:pPr>
        <w:keepNext/>
        <w:tabs>
          <w:tab w:val="left" w:pos="1675"/>
        </w:tabs>
        <w:ind w:left="115" w:right="106"/>
        <w:rPr>
          <w:rFonts w:ascii="Arial" w:eastAsia="Arial" w:hAnsi="Arial" w:cs="Arial"/>
          <w:color w:val="000000"/>
          <w:sz w:val="20"/>
        </w:rPr>
      </w:pPr>
    </w:p>
    <w:p w14:paraId="720B5146" w14:textId="77777777" w:rsidR="00533CD2" w:rsidRDefault="00533CD2">
      <w:pPr>
        <w:keepNext/>
        <w:tabs>
          <w:tab w:val="left" w:pos="1675"/>
        </w:tabs>
        <w:ind w:left="115" w:right="106"/>
        <w:rPr>
          <w:rFonts w:ascii="Arial" w:eastAsia="Arial" w:hAnsi="Arial" w:cs="Arial"/>
          <w:color w:val="000000"/>
          <w:sz w:val="20"/>
        </w:rPr>
      </w:pPr>
    </w:p>
    <w:p w14:paraId="3739E96F" w14:textId="77777777" w:rsidR="00533CD2" w:rsidRDefault="00533CD2">
      <w:pPr>
        <w:keepNext/>
        <w:tabs>
          <w:tab w:val="left" w:pos="1675"/>
        </w:tabs>
        <w:ind w:left="115" w:right="106"/>
        <w:rPr>
          <w:rFonts w:ascii="Arial" w:eastAsia="Arial" w:hAnsi="Arial" w:cs="Arial"/>
          <w:color w:val="000000"/>
          <w:sz w:val="20"/>
        </w:rPr>
      </w:pPr>
    </w:p>
    <w:p w14:paraId="43BD1CAB" w14:textId="77777777" w:rsidR="00533CD2" w:rsidRDefault="0046046C">
      <w:pPr>
        <w:keepNext/>
        <w:tabs>
          <w:tab w:val="left" w:pos="1675"/>
        </w:tabs>
        <w:ind w:left="115" w:right="106"/>
        <w:rPr>
          <w:rFonts w:ascii="Arial" w:eastAsia="Arial" w:hAnsi="Arial" w:cs="Arial"/>
          <w:color w:val="000000"/>
          <w:sz w:val="16"/>
        </w:rPr>
      </w:pPr>
      <w:r>
        <w:rPr>
          <w:rFonts w:ascii="Arial" w:eastAsia="Arial" w:hAnsi="Arial" w:cs="Arial"/>
          <w:color w:val="000000"/>
          <w:sz w:val="16"/>
        </w:rPr>
        <w:t>----------------------------------------------------</w:t>
      </w:r>
    </w:p>
    <w:p w14:paraId="4901A1B0" w14:textId="77777777" w:rsidR="00533CD2" w:rsidRDefault="00533CD2">
      <w:pPr>
        <w:keepNext/>
        <w:tabs>
          <w:tab w:val="left" w:pos="1675"/>
        </w:tabs>
        <w:ind w:left="115" w:right="529"/>
      </w:pPr>
    </w:p>
    <w:p w14:paraId="5EA4C769" w14:textId="77777777" w:rsidR="00533CD2" w:rsidRDefault="0046046C">
      <w:pPr>
        <w:keepNext/>
        <w:tabs>
          <w:tab w:val="left" w:pos="1675"/>
        </w:tabs>
        <w:ind w:left="115" w:right="529"/>
        <w:rPr>
          <w:rFonts w:ascii="Arial" w:eastAsia="Arial" w:hAnsi="Arial" w:cs="Arial"/>
          <w:color w:val="000000"/>
          <w:sz w:val="16"/>
        </w:rPr>
      </w:pPr>
      <w:r>
        <w:rPr>
          <w:rFonts w:ascii="Arial" w:eastAsia="Arial" w:hAnsi="Arial" w:cs="Arial"/>
          <w:color w:val="000000"/>
          <w:sz w:val="16"/>
        </w:rPr>
        <w:t>11 - Prováděcí nařízení Komise (EU) č. 1011/2014 ze dne 22. září 2014, kterým se stanoví prováděcí pravidla k nařízení Evropského parlamentu a Rady (EU) č. 1303/2013, pokud jde o vzory pro předkládání určitých informací Komisi, a podrobná pravidla týkající se výměny informací mezi příjemci a řídicími orgány, certifikačními orgány, auditními orgány a zprostředkujícími subjekty (Úř</w:t>
      </w:r>
      <w:r w:rsidR="00B453B8">
        <w:rPr>
          <w:rFonts w:ascii="Arial" w:eastAsia="Arial" w:hAnsi="Arial" w:cs="Arial"/>
          <w:color w:val="000000"/>
          <w:sz w:val="16"/>
        </w:rPr>
        <w:t>. věst. L 286, 30.9.2014, s. 1).</w:t>
      </w:r>
    </w:p>
    <w:p w14:paraId="7282E540" w14:textId="77777777" w:rsidR="00533CD2" w:rsidRDefault="00533CD2">
      <w:pPr>
        <w:tabs>
          <w:tab w:val="left" w:pos="1675"/>
        </w:tabs>
        <w:ind w:left="115" w:right="106"/>
        <w:rPr>
          <w:rFonts w:ascii="Arial" w:eastAsia="Arial" w:hAnsi="Arial" w:cs="Arial"/>
          <w:color w:val="000000"/>
          <w:sz w:val="20"/>
        </w:rPr>
      </w:pPr>
    </w:p>
    <w:p w14:paraId="22A1CDD9" w14:textId="77777777" w:rsidR="00533CD2" w:rsidRDefault="0046046C">
      <w:r>
        <w:br w:type="page"/>
      </w:r>
    </w:p>
    <w:p w14:paraId="3462D294" w14:textId="77777777" w:rsidR="00533CD2" w:rsidRDefault="00533CD2">
      <w:pPr>
        <w:tabs>
          <w:tab w:val="left" w:pos="1675"/>
        </w:tabs>
        <w:ind w:left="115" w:right="106"/>
        <w:rPr>
          <w:rFonts w:ascii="Arial" w:eastAsia="Arial" w:hAnsi="Arial" w:cs="Arial"/>
          <w:color w:val="000000"/>
          <w:sz w:val="20"/>
        </w:rPr>
      </w:pPr>
    </w:p>
    <w:p w14:paraId="4E353BF3" w14:textId="77777777" w:rsidR="00533CD2" w:rsidRDefault="0046046C">
      <w:pPr>
        <w:keepNext/>
        <w:tabs>
          <w:tab w:val="left" w:pos="1675"/>
        </w:tabs>
        <w:ind w:left="115" w:right="106"/>
        <w:rPr>
          <w:rFonts w:ascii="Arial" w:eastAsia="Arial" w:hAnsi="Arial" w:cs="Arial"/>
          <w:b/>
          <w:bCs/>
          <w:i/>
          <w:iCs/>
          <w:color w:val="000000"/>
          <w:sz w:val="16"/>
        </w:rPr>
      </w:pPr>
      <w:r>
        <w:rPr>
          <w:rFonts w:ascii="Arial" w:eastAsia="Arial" w:hAnsi="Arial" w:cs="Arial"/>
          <w:b/>
          <w:bCs/>
          <w:i/>
          <w:iCs/>
          <w:color w:val="000000"/>
          <w:sz w:val="20"/>
        </w:rPr>
        <w:t xml:space="preserve">Tabulka 8: Využití křížového financování </w:t>
      </w:r>
      <w:r>
        <w:rPr>
          <w:rFonts w:ascii="Arial" w:eastAsia="Arial" w:hAnsi="Arial" w:cs="Arial"/>
          <w:b/>
          <w:bCs/>
          <w:i/>
          <w:iCs/>
          <w:color w:val="000000"/>
          <w:sz w:val="16"/>
        </w:rPr>
        <w:t>(12)</w:t>
      </w:r>
    </w:p>
    <w:p w14:paraId="6B49BE5A" w14:textId="77777777" w:rsidR="00533CD2" w:rsidRDefault="00533CD2">
      <w:pPr>
        <w:keepNext/>
        <w:tabs>
          <w:tab w:val="left" w:pos="1675"/>
        </w:tabs>
        <w:ind w:left="115" w:right="106"/>
        <w:rPr>
          <w:rFonts w:ascii="Arial" w:eastAsia="Arial" w:hAnsi="Arial" w:cs="Arial"/>
          <w:color w:val="000000"/>
          <w:sz w:val="20"/>
        </w:rPr>
      </w:pPr>
    </w:p>
    <w:tbl>
      <w:tblPr>
        <w:tblW w:w="0" w:type="auto"/>
        <w:tblInd w:w="58" w:type="dxa"/>
        <w:tblLayout w:type="fixed"/>
        <w:tblCellMar>
          <w:left w:w="0" w:type="dxa"/>
          <w:right w:w="0" w:type="dxa"/>
        </w:tblCellMar>
        <w:tblLook w:val="04A0" w:firstRow="1" w:lastRow="0" w:firstColumn="1" w:lastColumn="0" w:noHBand="0" w:noVBand="1"/>
      </w:tblPr>
      <w:tblGrid>
        <w:gridCol w:w="4463"/>
        <w:gridCol w:w="2033"/>
        <w:gridCol w:w="2083"/>
        <w:gridCol w:w="2083"/>
        <w:gridCol w:w="2083"/>
        <w:gridCol w:w="2221"/>
      </w:tblGrid>
      <w:tr w:rsidR="00533CD2" w14:paraId="2BB7DD39" w14:textId="77777777">
        <w:trPr>
          <w:tblHeader/>
        </w:trPr>
        <w:tc>
          <w:tcPr>
            <w:tcW w:w="4463" w:type="dxa"/>
            <w:tcBorders>
              <w:top w:val="single" w:sz="4" w:space="0" w:color="000000"/>
              <w:left w:val="single" w:sz="4" w:space="0" w:color="000000"/>
              <w:bottom w:val="single" w:sz="4" w:space="0" w:color="000000"/>
              <w:right w:val="single" w:sz="4" w:space="0" w:color="000000"/>
            </w:tcBorders>
            <w:shd w:val="clear" w:color="auto" w:fill="FFFFFF"/>
          </w:tcPr>
          <w:p w14:paraId="0718842D"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1.</w:t>
            </w:r>
          </w:p>
        </w:tc>
        <w:tc>
          <w:tcPr>
            <w:tcW w:w="2033" w:type="dxa"/>
            <w:tcBorders>
              <w:top w:val="single" w:sz="4" w:space="0" w:color="000000"/>
              <w:left w:val="single" w:sz="4" w:space="0" w:color="000000"/>
              <w:bottom w:val="single" w:sz="4" w:space="0" w:color="000000"/>
              <w:right w:val="single" w:sz="4" w:space="0" w:color="000000"/>
            </w:tcBorders>
            <w:shd w:val="clear" w:color="auto" w:fill="FFFFFF"/>
          </w:tcPr>
          <w:p w14:paraId="52936107"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2.</w:t>
            </w:r>
          </w:p>
        </w:tc>
        <w:tc>
          <w:tcPr>
            <w:tcW w:w="2083" w:type="dxa"/>
            <w:tcBorders>
              <w:top w:val="single" w:sz="4" w:space="0" w:color="000000"/>
              <w:left w:val="single" w:sz="4" w:space="0" w:color="000000"/>
              <w:bottom w:val="single" w:sz="4" w:space="0" w:color="000000"/>
              <w:right w:val="single" w:sz="4" w:space="0" w:color="000000"/>
            </w:tcBorders>
            <w:shd w:val="clear" w:color="auto" w:fill="FFFFFF"/>
          </w:tcPr>
          <w:p w14:paraId="7AFE2999"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3.</w:t>
            </w:r>
          </w:p>
        </w:tc>
        <w:tc>
          <w:tcPr>
            <w:tcW w:w="2083" w:type="dxa"/>
            <w:tcBorders>
              <w:top w:val="single" w:sz="4" w:space="0" w:color="000000"/>
              <w:left w:val="single" w:sz="4" w:space="0" w:color="000000"/>
              <w:bottom w:val="single" w:sz="4" w:space="0" w:color="000000"/>
              <w:right w:val="single" w:sz="4" w:space="0" w:color="000000"/>
            </w:tcBorders>
            <w:shd w:val="clear" w:color="auto" w:fill="FFFFFF"/>
          </w:tcPr>
          <w:p w14:paraId="038ECD8B"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4.</w:t>
            </w:r>
          </w:p>
        </w:tc>
        <w:tc>
          <w:tcPr>
            <w:tcW w:w="2083" w:type="dxa"/>
            <w:tcBorders>
              <w:top w:val="single" w:sz="4" w:space="0" w:color="000000"/>
              <w:left w:val="single" w:sz="4" w:space="0" w:color="000000"/>
              <w:bottom w:val="single" w:sz="4" w:space="0" w:color="000000"/>
              <w:right w:val="single" w:sz="4" w:space="0" w:color="000000"/>
            </w:tcBorders>
            <w:shd w:val="clear" w:color="auto" w:fill="FFFFFF"/>
          </w:tcPr>
          <w:p w14:paraId="187003D2"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5.</w:t>
            </w:r>
          </w:p>
        </w:tc>
        <w:tc>
          <w:tcPr>
            <w:tcW w:w="2221" w:type="dxa"/>
            <w:tcBorders>
              <w:top w:val="single" w:sz="4" w:space="0" w:color="000000"/>
              <w:left w:val="single" w:sz="4" w:space="0" w:color="000000"/>
              <w:bottom w:val="single" w:sz="4" w:space="0" w:color="000000"/>
              <w:right w:val="single" w:sz="4" w:space="0" w:color="000000"/>
            </w:tcBorders>
            <w:shd w:val="clear" w:color="auto" w:fill="FFFFFF"/>
          </w:tcPr>
          <w:p w14:paraId="1C4F5D38"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6.</w:t>
            </w:r>
          </w:p>
        </w:tc>
      </w:tr>
      <w:tr w:rsidR="00533CD2" w14:paraId="13CA5FFF" w14:textId="77777777">
        <w:trPr>
          <w:tblHeader/>
        </w:trPr>
        <w:tc>
          <w:tcPr>
            <w:tcW w:w="44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EB02B"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Využití křížového financování</w:t>
            </w:r>
          </w:p>
        </w:tc>
        <w:tc>
          <w:tcPr>
            <w:tcW w:w="20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A94102"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Prioritní osa</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2FA5F8"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Výše podpory EU, která má být použita na křížové financování na základě vybraných operací</w:t>
            </w:r>
            <w:r>
              <w:rPr>
                <w:rFonts w:ascii="Arial" w:eastAsia="Arial" w:hAnsi="Arial" w:cs="Arial"/>
                <w:b/>
                <w:bCs/>
                <w:color w:val="000000"/>
                <w:sz w:val="9"/>
                <w:vertAlign w:val="superscript"/>
              </w:rPr>
              <w:t xml:space="preserve"> </w:t>
            </w:r>
            <w:r>
              <w:rPr>
                <w:rFonts w:ascii="Arial" w:eastAsia="Arial" w:hAnsi="Arial" w:cs="Arial"/>
                <w:b/>
                <w:bCs/>
                <w:color w:val="000000"/>
                <w:sz w:val="14"/>
              </w:rPr>
              <w:t>(2) (v EUR)</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FEF66E"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Podíl podpory EU pro prioritní osu</w:t>
            </w:r>
          </w:p>
          <w:p w14:paraId="6D40C3E8"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w:t>
            </w:r>
            <w:proofErr w:type="gramStart"/>
            <w:r>
              <w:rPr>
                <w:rFonts w:ascii="Arial" w:eastAsia="Arial" w:hAnsi="Arial" w:cs="Arial"/>
                <w:b/>
                <w:bCs/>
                <w:color w:val="000000"/>
                <w:sz w:val="14"/>
              </w:rPr>
              <w:t>v</w:t>
            </w:r>
            <w:proofErr w:type="gramEnd"/>
            <w:r>
              <w:rPr>
                <w:rFonts w:ascii="Arial" w:eastAsia="Arial" w:hAnsi="Arial" w:cs="Arial"/>
                <w:b/>
                <w:bCs/>
                <w:color w:val="000000"/>
                <w:sz w:val="14"/>
              </w:rPr>
              <w:t xml:space="preserve"> %)</w:t>
            </w:r>
          </w:p>
          <w:p w14:paraId="68A89556"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(3/podpora EU pro prioritní osu x 100)</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760066"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Výše podpory EU využité v rámci křížového financování na základě způsobilých výdajů, které příjemce vykázal řídicímu orgánu (v EUR)</w:t>
            </w:r>
          </w:p>
        </w:tc>
        <w:tc>
          <w:tcPr>
            <w:tcW w:w="22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FA2213"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Podíl podpory EU pro prioritní osu</w:t>
            </w:r>
          </w:p>
          <w:p w14:paraId="71F9DE48"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w:t>
            </w:r>
            <w:proofErr w:type="gramStart"/>
            <w:r>
              <w:rPr>
                <w:rFonts w:ascii="Arial" w:eastAsia="Arial" w:hAnsi="Arial" w:cs="Arial"/>
                <w:b/>
                <w:bCs/>
                <w:color w:val="000000"/>
                <w:sz w:val="14"/>
              </w:rPr>
              <w:t>v</w:t>
            </w:r>
            <w:proofErr w:type="gramEnd"/>
            <w:r>
              <w:rPr>
                <w:rFonts w:ascii="Arial" w:eastAsia="Arial" w:hAnsi="Arial" w:cs="Arial"/>
                <w:b/>
                <w:bCs/>
                <w:color w:val="000000"/>
                <w:sz w:val="14"/>
              </w:rPr>
              <w:t xml:space="preserve"> %)</w:t>
            </w:r>
          </w:p>
          <w:p w14:paraId="19D176E1"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(5/podpora EU pro prioritní osu x 100)</w:t>
            </w:r>
          </w:p>
        </w:tc>
      </w:tr>
      <w:tr w:rsidR="00533CD2" w14:paraId="7343405B" w14:textId="77777777">
        <w:tc>
          <w:tcPr>
            <w:tcW w:w="44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D16D56"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Křížové financování: náklady způsobilé pro podporu na základě ESF, avšak podpořené z EFRR (1)</w:t>
            </w:r>
          </w:p>
        </w:tc>
        <w:tc>
          <w:tcPr>
            <w:tcW w:w="20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5C62D1"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06.1 Konkurenceschopné, dostupné a bezpečné regiony</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47DF5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4EF5C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37947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22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480DB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r>
      <w:tr w:rsidR="00533CD2" w14:paraId="117B98D2" w14:textId="77777777">
        <w:tc>
          <w:tcPr>
            <w:tcW w:w="44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08CE47"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Křížové financování: náklady způsobilé pro podporu na základě ESF, avšak podpořené z EFRR (1)</w:t>
            </w:r>
          </w:p>
        </w:tc>
        <w:tc>
          <w:tcPr>
            <w:tcW w:w="20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DE774C"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06.2 Zkvalitnění veřejných služeb a podmínek života pro obyvatele regionů</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93820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F094E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8CF82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22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1987C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r>
      <w:tr w:rsidR="00533CD2" w14:paraId="4A07FDBC" w14:textId="77777777">
        <w:tc>
          <w:tcPr>
            <w:tcW w:w="44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A25F91"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Křížové financování: náklady způsobilé pro podporu na základě ESF, avšak podpořené z EFRR (1)</w:t>
            </w:r>
          </w:p>
        </w:tc>
        <w:tc>
          <w:tcPr>
            <w:tcW w:w="20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392F1D"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06.3 Dobrá správa území a zefektivnění veřejných institucí</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D16BE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24C31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5C810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22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CF9EB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r>
      <w:tr w:rsidR="00533CD2" w14:paraId="3827BF4D" w14:textId="77777777">
        <w:tc>
          <w:tcPr>
            <w:tcW w:w="44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9E04CB"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Křížové financování: náklady způsobilé pro podporu na základě ESF, avšak podpořené z EFRR (1)</w:t>
            </w:r>
          </w:p>
        </w:tc>
        <w:tc>
          <w:tcPr>
            <w:tcW w:w="20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2A9E03"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06.4 Komunitně vedený místní rozvoj</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CB0C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15C9E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EEC0E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22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6B945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r>
      <w:tr w:rsidR="00533CD2" w14:paraId="3DECFFFB" w14:textId="77777777">
        <w:tc>
          <w:tcPr>
            <w:tcW w:w="44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E2CF0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Křížové financování: náklady způsobilé pro podporu na základě ESF, avšak podpořené z EFRR (1)</w:t>
            </w:r>
          </w:p>
        </w:tc>
        <w:tc>
          <w:tcPr>
            <w:tcW w:w="20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2E1D03"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06.5 Technická pomoc</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1BB62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2813F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92F01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22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11FB9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r>
    </w:tbl>
    <w:p w14:paraId="48252842" w14:textId="77777777" w:rsidR="00533CD2" w:rsidRDefault="0046046C">
      <w:pPr>
        <w:keepNext/>
        <w:tabs>
          <w:tab w:val="left" w:pos="534"/>
        </w:tabs>
        <w:ind w:left="115" w:right="812"/>
        <w:rPr>
          <w:rFonts w:ascii="Arial" w:eastAsia="Arial" w:hAnsi="Arial" w:cs="Arial"/>
          <w:color w:val="000000"/>
          <w:sz w:val="16"/>
        </w:rPr>
      </w:pPr>
      <w:r>
        <w:rPr>
          <w:rFonts w:ascii="Arial" w:eastAsia="Arial" w:hAnsi="Arial" w:cs="Arial"/>
          <w:color w:val="000000"/>
          <w:sz w:val="16"/>
        </w:rPr>
        <w:t>1</w:t>
      </w:r>
      <w:r>
        <w:rPr>
          <w:rFonts w:ascii="Arial" w:eastAsia="Arial" w:hAnsi="Arial" w:cs="Arial"/>
          <w:color w:val="000000"/>
          <w:sz w:val="16"/>
        </w:rPr>
        <w:tab/>
        <w:t xml:space="preserve">Není-li možné stanovit přesné částky předem, před provedením operace, měla by být zpráva založena </w:t>
      </w:r>
      <w:proofErr w:type="gramStart"/>
      <w:r>
        <w:rPr>
          <w:rFonts w:ascii="Arial" w:eastAsia="Arial" w:hAnsi="Arial" w:cs="Arial"/>
          <w:color w:val="000000"/>
          <w:sz w:val="16"/>
        </w:rPr>
        <w:t>na</w:t>
      </w:r>
      <w:proofErr w:type="gramEnd"/>
      <w:r>
        <w:rPr>
          <w:rFonts w:ascii="Arial" w:eastAsia="Arial" w:hAnsi="Arial" w:cs="Arial"/>
          <w:color w:val="000000"/>
          <w:sz w:val="16"/>
        </w:rPr>
        <w:t xml:space="preserve"> stropech platných pro danou operaci, tj. </w:t>
      </w:r>
      <w:proofErr w:type="gramStart"/>
      <w:r>
        <w:rPr>
          <w:rFonts w:ascii="Arial" w:eastAsia="Arial" w:hAnsi="Arial" w:cs="Arial"/>
          <w:color w:val="000000"/>
          <w:sz w:val="16"/>
        </w:rPr>
        <w:t>pokud</w:t>
      </w:r>
      <w:proofErr w:type="gramEnd"/>
      <w:r>
        <w:rPr>
          <w:rFonts w:ascii="Arial" w:eastAsia="Arial" w:hAnsi="Arial" w:cs="Arial"/>
          <w:color w:val="000000"/>
          <w:sz w:val="16"/>
        </w:rPr>
        <w:t xml:space="preserve"> může operace EFRR zahrnovat až 20 % výdajů typu ESF, měla by zpráva vycházet z předpokladu, že za tímto účelem lze použít celých 20 %. Pokud byla operace dokončena, měly by údaje použité pro tento sloupec vycházet z reálných nákladů, které příjemci vznikly.</w:t>
      </w:r>
    </w:p>
    <w:p w14:paraId="54865147" w14:textId="77777777" w:rsidR="00533CD2" w:rsidRDefault="0046046C">
      <w:pPr>
        <w:keepNext/>
        <w:tabs>
          <w:tab w:val="left" w:pos="534"/>
        </w:tabs>
        <w:ind w:left="115" w:right="812"/>
        <w:rPr>
          <w:rFonts w:ascii="Arial" w:eastAsia="Arial" w:hAnsi="Arial" w:cs="Arial"/>
          <w:color w:val="000000"/>
          <w:sz w:val="16"/>
        </w:rPr>
      </w:pPr>
      <w:r>
        <w:rPr>
          <w:rFonts w:ascii="Arial" w:eastAsia="Arial" w:hAnsi="Arial" w:cs="Arial"/>
          <w:color w:val="000000"/>
          <w:sz w:val="16"/>
        </w:rPr>
        <w:t>2</w:t>
      </w:r>
      <w:r>
        <w:rPr>
          <w:rFonts w:ascii="Arial" w:eastAsia="Arial" w:hAnsi="Arial" w:cs="Arial"/>
          <w:color w:val="000000"/>
          <w:sz w:val="16"/>
        </w:rPr>
        <w:tab/>
        <w:t>Čl. 98 odst. 2 nařízení (EU) č. 1303/2013.</w:t>
      </w:r>
    </w:p>
    <w:p w14:paraId="3FE900D0" w14:textId="77777777" w:rsidR="00533CD2" w:rsidRDefault="00533CD2">
      <w:pPr>
        <w:tabs>
          <w:tab w:val="left" w:pos="1675"/>
        </w:tabs>
        <w:ind w:left="115" w:right="106"/>
        <w:rPr>
          <w:rFonts w:ascii="Arial" w:eastAsia="Arial" w:hAnsi="Arial" w:cs="Arial"/>
          <w:color w:val="000000"/>
          <w:sz w:val="20"/>
        </w:rPr>
      </w:pPr>
    </w:p>
    <w:p w14:paraId="68D0F43E" w14:textId="77777777" w:rsidR="00533CD2" w:rsidRDefault="00533CD2">
      <w:pPr>
        <w:tabs>
          <w:tab w:val="left" w:pos="1675"/>
        </w:tabs>
        <w:ind w:left="115" w:right="106"/>
        <w:rPr>
          <w:rFonts w:ascii="Arial" w:eastAsia="Arial" w:hAnsi="Arial" w:cs="Arial"/>
          <w:color w:val="000000"/>
          <w:sz w:val="20"/>
        </w:rPr>
      </w:pPr>
    </w:p>
    <w:p w14:paraId="3336CFB5" w14:textId="77777777" w:rsidR="00533CD2" w:rsidRDefault="0046046C">
      <w:pPr>
        <w:keepNext/>
        <w:tabs>
          <w:tab w:val="left" w:pos="1675"/>
        </w:tabs>
        <w:ind w:left="115" w:right="106"/>
        <w:rPr>
          <w:rFonts w:ascii="Arial" w:eastAsia="Arial" w:hAnsi="Arial" w:cs="Arial"/>
          <w:b/>
          <w:bCs/>
          <w:i/>
          <w:iCs/>
          <w:color w:val="000000"/>
          <w:sz w:val="20"/>
        </w:rPr>
      </w:pPr>
      <w:r>
        <w:rPr>
          <w:rFonts w:ascii="Arial" w:eastAsia="Arial" w:hAnsi="Arial" w:cs="Arial"/>
          <w:b/>
          <w:bCs/>
          <w:i/>
          <w:iCs/>
          <w:color w:val="000000"/>
          <w:sz w:val="20"/>
        </w:rPr>
        <w:t>Tabulka 9: Náklady operací prováděných mimo programovou oblast (EFRR a Fond soudržnosti v rámci cíle Investice pro růst a zaměstnanost)</w:t>
      </w:r>
    </w:p>
    <w:p w14:paraId="58CB1CC8" w14:textId="77777777" w:rsidR="00533CD2" w:rsidRDefault="00533CD2">
      <w:pPr>
        <w:keepNext/>
        <w:tabs>
          <w:tab w:val="left" w:pos="1675"/>
        </w:tabs>
        <w:ind w:left="115" w:right="106"/>
        <w:rPr>
          <w:rFonts w:ascii="Arial" w:eastAsia="Arial" w:hAnsi="Arial" w:cs="Arial"/>
          <w:color w:val="000000"/>
          <w:sz w:val="20"/>
        </w:rPr>
      </w:pPr>
    </w:p>
    <w:tbl>
      <w:tblPr>
        <w:tblW w:w="0" w:type="auto"/>
        <w:tblInd w:w="166" w:type="dxa"/>
        <w:tblLayout w:type="fixed"/>
        <w:tblCellMar>
          <w:left w:w="0" w:type="dxa"/>
          <w:right w:w="0" w:type="dxa"/>
        </w:tblCellMar>
        <w:tblLook w:val="04A0" w:firstRow="1" w:lastRow="0" w:firstColumn="1" w:lastColumn="0" w:noHBand="0" w:noVBand="1"/>
      </w:tblPr>
      <w:tblGrid>
        <w:gridCol w:w="1807"/>
        <w:gridCol w:w="3611"/>
        <w:gridCol w:w="2500"/>
        <w:gridCol w:w="2500"/>
        <w:gridCol w:w="2360"/>
        <w:gridCol w:w="2084"/>
      </w:tblGrid>
      <w:tr w:rsidR="00533CD2" w14:paraId="7E3CCF3C" w14:textId="77777777">
        <w:trPr>
          <w:tblHeader/>
        </w:trPr>
        <w:tc>
          <w:tcPr>
            <w:tcW w:w="1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1C102F"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1.</w:t>
            </w:r>
          </w:p>
        </w:tc>
        <w:tc>
          <w:tcPr>
            <w:tcW w:w="36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A58149"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2.</w:t>
            </w:r>
          </w:p>
        </w:tc>
        <w:tc>
          <w:tcPr>
            <w:tcW w:w="2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5DBFC9"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3.</w:t>
            </w:r>
          </w:p>
        </w:tc>
        <w:tc>
          <w:tcPr>
            <w:tcW w:w="2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9372F1"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4.</w:t>
            </w:r>
          </w:p>
        </w:tc>
        <w:tc>
          <w:tcPr>
            <w:tcW w:w="2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AD30D7"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5.</w:t>
            </w:r>
          </w:p>
        </w:tc>
        <w:tc>
          <w:tcPr>
            <w:tcW w:w="20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375ECF"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6.</w:t>
            </w:r>
          </w:p>
        </w:tc>
      </w:tr>
      <w:tr w:rsidR="00533CD2" w14:paraId="3CFD5280" w14:textId="77777777">
        <w:trPr>
          <w:tblHeader/>
        </w:trPr>
        <w:tc>
          <w:tcPr>
            <w:tcW w:w="1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E73F29" w14:textId="77777777" w:rsidR="00533CD2" w:rsidRDefault="00533CD2">
            <w:pPr>
              <w:ind w:left="57" w:right="57"/>
            </w:pPr>
          </w:p>
        </w:tc>
        <w:tc>
          <w:tcPr>
            <w:tcW w:w="36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6EFD4F"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Prioritní osa</w:t>
            </w:r>
          </w:p>
        </w:tc>
        <w:tc>
          <w:tcPr>
            <w:tcW w:w="2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F88B73"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Výše podpory EU, která má být použita na operace prováděné mimo programovou oblast na základě vybraných operací (v EUR)</w:t>
            </w:r>
          </w:p>
        </w:tc>
        <w:tc>
          <w:tcPr>
            <w:tcW w:w="2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0AAD1E"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Podíl podpory EU pro prioritní osu v</w:t>
            </w:r>
            <w:r>
              <w:rPr>
                <w:rFonts w:ascii="Calibri" w:eastAsia="Calibri" w:hAnsi="Calibri" w:cs="Calibri"/>
                <w:color w:val="000000"/>
              </w:rPr>
              <w:t> </w:t>
            </w:r>
            <w:r>
              <w:rPr>
                <w:rFonts w:ascii="Arial" w:eastAsia="Arial" w:hAnsi="Arial" w:cs="Arial"/>
                <w:b/>
                <w:bCs/>
                <w:color w:val="000000"/>
                <w:sz w:val="14"/>
              </w:rPr>
              <w:t>době přijetí programu</w:t>
            </w:r>
          </w:p>
          <w:p w14:paraId="59A038C8"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w:t>
            </w:r>
            <w:proofErr w:type="gramStart"/>
            <w:r>
              <w:rPr>
                <w:rFonts w:ascii="Arial" w:eastAsia="Arial" w:hAnsi="Arial" w:cs="Arial"/>
                <w:b/>
                <w:bCs/>
                <w:color w:val="000000"/>
                <w:sz w:val="14"/>
              </w:rPr>
              <w:t>v</w:t>
            </w:r>
            <w:proofErr w:type="gramEnd"/>
            <w:r>
              <w:rPr>
                <w:rFonts w:ascii="Arial" w:eastAsia="Arial" w:hAnsi="Arial" w:cs="Arial"/>
                <w:b/>
                <w:bCs/>
                <w:color w:val="000000"/>
                <w:sz w:val="14"/>
              </w:rPr>
              <w:t xml:space="preserve"> %)</w:t>
            </w:r>
          </w:p>
          <w:p w14:paraId="72AF252C"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(3/ podpora EU pro prioritní osu v době přijetí programu x 100)</w:t>
            </w:r>
          </w:p>
        </w:tc>
        <w:tc>
          <w:tcPr>
            <w:tcW w:w="2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3204FE"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Výše podpory EU v rámci operací prováděných mimo programovou oblast, na základě způsobilých výdajů, které příjemce vykázal řídicímu orgánu (v EUR)</w:t>
            </w:r>
          </w:p>
        </w:tc>
        <w:tc>
          <w:tcPr>
            <w:tcW w:w="20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F64F6D"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Podíl podpory EU pro prioritní osu v době přijetí programu</w:t>
            </w:r>
          </w:p>
          <w:p w14:paraId="7D51E98D"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w:t>
            </w:r>
            <w:proofErr w:type="gramStart"/>
            <w:r>
              <w:rPr>
                <w:rFonts w:ascii="Arial" w:eastAsia="Arial" w:hAnsi="Arial" w:cs="Arial"/>
                <w:b/>
                <w:bCs/>
                <w:color w:val="000000"/>
                <w:sz w:val="14"/>
              </w:rPr>
              <w:t>v</w:t>
            </w:r>
            <w:proofErr w:type="gramEnd"/>
            <w:r>
              <w:rPr>
                <w:rFonts w:ascii="Arial" w:eastAsia="Arial" w:hAnsi="Arial" w:cs="Arial"/>
                <w:b/>
                <w:bCs/>
                <w:color w:val="000000"/>
                <w:sz w:val="14"/>
              </w:rPr>
              <w:t xml:space="preserve"> %)</w:t>
            </w:r>
          </w:p>
          <w:p w14:paraId="4A79C813"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(5/ podpora EU pro prioritní osu</w:t>
            </w:r>
            <w:r>
              <w:rPr>
                <w:rFonts w:ascii="Calibri" w:eastAsia="Calibri" w:hAnsi="Calibri" w:cs="Calibri"/>
                <w:color w:val="000000"/>
              </w:rPr>
              <w:t xml:space="preserve"> </w:t>
            </w:r>
            <w:r>
              <w:rPr>
                <w:rFonts w:ascii="Arial" w:eastAsia="Arial" w:hAnsi="Arial" w:cs="Arial"/>
                <w:b/>
                <w:bCs/>
                <w:color w:val="000000"/>
                <w:sz w:val="14"/>
              </w:rPr>
              <w:t>v době přijetí programu x 100)</w:t>
            </w:r>
          </w:p>
        </w:tc>
      </w:tr>
      <w:tr w:rsidR="00533CD2" w14:paraId="15FCF374" w14:textId="77777777">
        <w:tc>
          <w:tcPr>
            <w:tcW w:w="1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52CAEB"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Náklady na operace mimo programovou oblast (1)</w:t>
            </w:r>
          </w:p>
        </w:tc>
        <w:tc>
          <w:tcPr>
            <w:tcW w:w="36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3F9215"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06.1 Konkurenceschopné, dostupné a bezpečné regiony</w:t>
            </w:r>
          </w:p>
        </w:tc>
        <w:tc>
          <w:tcPr>
            <w:tcW w:w="2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D3FB02" w14:textId="77777777" w:rsidR="00533CD2" w:rsidRDefault="00533CD2">
            <w:pPr>
              <w:keepNext/>
              <w:keepLines/>
              <w:tabs>
                <w:tab w:val="left" w:pos="828"/>
              </w:tabs>
              <w:ind w:left="57" w:right="57"/>
              <w:jc w:val="right"/>
              <w:rPr>
                <w:rFonts w:ascii="Arial" w:eastAsia="Arial" w:hAnsi="Arial" w:cs="Arial"/>
                <w:color w:val="000000"/>
                <w:sz w:val="14"/>
              </w:rPr>
            </w:pPr>
          </w:p>
        </w:tc>
        <w:tc>
          <w:tcPr>
            <w:tcW w:w="2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514B3B" w14:textId="77777777" w:rsidR="00533CD2" w:rsidRDefault="00533CD2">
            <w:pPr>
              <w:keepNext/>
              <w:keepLines/>
              <w:tabs>
                <w:tab w:val="left" w:pos="828"/>
              </w:tabs>
              <w:ind w:left="57" w:right="57"/>
              <w:jc w:val="right"/>
              <w:rPr>
                <w:rFonts w:ascii="Arial" w:eastAsia="Arial" w:hAnsi="Arial" w:cs="Arial"/>
                <w:color w:val="000000"/>
                <w:sz w:val="14"/>
              </w:rPr>
            </w:pPr>
          </w:p>
        </w:tc>
        <w:tc>
          <w:tcPr>
            <w:tcW w:w="2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BFBF32" w14:textId="77777777" w:rsidR="00533CD2" w:rsidRDefault="00533CD2">
            <w:pPr>
              <w:keepNext/>
              <w:keepLines/>
              <w:tabs>
                <w:tab w:val="left" w:pos="828"/>
              </w:tabs>
              <w:ind w:left="57" w:right="57"/>
              <w:jc w:val="right"/>
              <w:rPr>
                <w:rFonts w:ascii="Arial" w:eastAsia="Arial" w:hAnsi="Arial" w:cs="Arial"/>
                <w:color w:val="000000"/>
                <w:sz w:val="14"/>
              </w:rPr>
            </w:pPr>
          </w:p>
        </w:tc>
        <w:tc>
          <w:tcPr>
            <w:tcW w:w="20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16B3D0" w14:textId="77777777" w:rsidR="00533CD2" w:rsidRDefault="00533CD2">
            <w:pPr>
              <w:tabs>
                <w:tab w:val="left" w:pos="828"/>
              </w:tabs>
              <w:ind w:left="57" w:right="57"/>
              <w:jc w:val="right"/>
              <w:rPr>
                <w:rFonts w:ascii="Arial" w:eastAsia="Arial" w:hAnsi="Arial" w:cs="Arial"/>
                <w:color w:val="000000"/>
                <w:sz w:val="14"/>
              </w:rPr>
            </w:pPr>
          </w:p>
        </w:tc>
      </w:tr>
      <w:tr w:rsidR="00643DE1" w14:paraId="4DA20B76" w14:textId="77777777">
        <w:tc>
          <w:tcPr>
            <w:tcW w:w="1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146828" w14:textId="77777777" w:rsidR="00643DE1" w:rsidRDefault="00643DE1" w:rsidP="00643DE1">
            <w:pPr>
              <w:tabs>
                <w:tab w:val="left" w:pos="828"/>
              </w:tabs>
              <w:ind w:left="57" w:right="57"/>
              <w:rPr>
                <w:rFonts w:ascii="Arial" w:eastAsia="Arial" w:hAnsi="Arial" w:cs="Arial"/>
                <w:color w:val="000000"/>
                <w:sz w:val="14"/>
              </w:rPr>
            </w:pPr>
            <w:r>
              <w:rPr>
                <w:rFonts w:ascii="Arial" w:eastAsia="Arial" w:hAnsi="Arial" w:cs="Arial"/>
                <w:color w:val="000000"/>
                <w:sz w:val="14"/>
              </w:rPr>
              <w:t>Náklady na operace mimo programovou oblast (1)</w:t>
            </w:r>
          </w:p>
        </w:tc>
        <w:tc>
          <w:tcPr>
            <w:tcW w:w="36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EC9728" w14:textId="77777777" w:rsidR="00643DE1" w:rsidRDefault="00643DE1" w:rsidP="00643DE1">
            <w:pPr>
              <w:tabs>
                <w:tab w:val="left" w:pos="828"/>
              </w:tabs>
              <w:ind w:left="57" w:right="57"/>
              <w:rPr>
                <w:rFonts w:ascii="Arial" w:eastAsia="Arial" w:hAnsi="Arial" w:cs="Arial"/>
                <w:color w:val="000000"/>
                <w:sz w:val="14"/>
              </w:rPr>
            </w:pPr>
            <w:r>
              <w:rPr>
                <w:rFonts w:ascii="Arial" w:eastAsia="Arial" w:hAnsi="Arial" w:cs="Arial"/>
                <w:color w:val="000000"/>
                <w:sz w:val="14"/>
              </w:rPr>
              <w:t>06.2 Zkvalitnění veřejných služeb a podmínek života pro obyvatele regionů</w:t>
            </w:r>
          </w:p>
        </w:tc>
        <w:tc>
          <w:tcPr>
            <w:tcW w:w="2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6F9E17" w14:textId="12158A9A" w:rsidR="00643DE1" w:rsidRDefault="00643DE1" w:rsidP="00643DE1">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2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10B9EA" w14:textId="5F72FB7A" w:rsidR="00643DE1" w:rsidRDefault="00643DE1" w:rsidP="00643DE1">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2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B90C83" w14:textId="592666BD" w:rsidR="00643DE1" w:rsidRDefault="00643DE1" w:rsidP="00643DE1">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1 885 449,35</w:t>
            </w:r>
          </w:p>
        </w:tc>
        <w:tc>
          <w:tcPr>
            <w:tcW w:w="20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21FADE" w14:textId="31403E52" w:rsidR="00643DE1" w:rsidRDefault="00643DE1" w:rsidP="00643DE1">
            <w:pPr>
              <w:tabs>
                <w:tab w:val="left" w:pos="828"/>
              </w:tabs>
              <w:ind w:left="57" w:right="57"/>
              <w:jc w:val="right"/>
              <w:rPr>
                <w:rFonts w:ascii="Arial" w:eastAsia="Arial" w:hAnsi="Arial" w:cs="Arial"/>
                <w:color w:val="000000"/>
                <w:sz w:val="14"/>
              </w:rPr>
            </w:pPr>
            <w:r>
              <w:rPr>
                <w:rFonts w:ascii="Arial" w:eastAsia="Arial" w:hAnsi="Arial" w:cs="Arial"/>
                <w:color w:val="000000"/>
                <w:sz w:val="14"/>
              </w:rPr>
              <w:t>0,11</w:t>
            </w:r>
          </w:p>
        </w:tc>
      </w:tr>
      <w:tr w:rsidR="00643DE1" w14:paraId="02FAB27C" w14:textId="77777777">
        <w:tc>
          <w:tcPr>
            <w:tcW w:w="1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9E8E86" w14:textId="77777777" w:rsidR="00643DE1" w:rsidRDefault="00643DE1" w:rsidP="00643DE1">
            <w:pPr>
              <w:tabs>
                <w:tab w:val="left" w:pos="828"/>
              </w:tabs>
              <w:ind w:left="57" w:right="57"/>
              <w:rPr>
                <w:rFonts w:ascii="Arial" w:eastAsia="Arial" w:hAnsi="Arial" w:cs="Arial"/>
                <w:color w:val="000000"/>
                <w:sz w:val="14"/>
              </w:rPr>
            </w:pPr>
            <w:r>
              <w:rPr>
                <w:rFonts w:ascii="Arial" w:eastAsia="Arial" w:hAnsi="Arial" w:cs="Arial"/>
                <w:color w:val="000000"/>
                <w:sz w:val="14"/>
              </w:rPr>
              <w:t>Náklady na operace mimo programovou oblast (1)</w:t>
            </w:r>
          </w:p>
        </w:tc>
        <w:tc>
          <w:tcPr>
            <w:tcW w:w="36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CE90A8" w14:textId="77777777" w:rsidR="00643DE1" w:rsidRDefault="00643DE1" w:rsidP="00643DE1">
            <w:pPr>
              <w:tabs>
                <w:tab w:val="left" w:pos="828"/>
              </w:tabs>
              <w:ind w:left="57" w:right="57"/>
              <w:rPr>
                <w:rFonts w:ascii="Arial" w:eastAsia="Arial" w:hAnsi="Arial" w:cs="Arial"/>
                <w:color w:val="000000"/>
                <w:sz w:val="14"/>
              </w:rPr>
            </w:pPr>
            <w:r>
              <w:rPr>
                <w:rFonts w:ascii="Arial" w:eastAsia="Arial" w:hAnsi="Arial" w:cs="Arial"/>
                <w:color w:val="000000"/>
                <w:sz w:val="14"/>
              </w:rPr>
              <w:t>06.3 Dobrá správa území a zefektivnění veřejných institucí</w:t>
            </w:r>
          </w:p>
        </w:tc>
        <w:tc>
          <w:tcPr>
            <w:tcW w:w="2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905F0A" w14:textId="77777777" w:rsidR="00643DE1" w:rsidRDefault="00643DE1" w:rsidP="00643DE1">
            <w:pPr>
              <w:keepNext/>
              <w:keepLines/>
              <w:tabs>
                <w:tab w:val="left" w:pos="828"/>
              </w:tabs>
              <w:ind w:left="57" w:right="57"/>
              <w:jc w:val="right"/>
              <w:rPr>
                <w:rFonts w:ascii="Arial" w:eastAsia="Arial" w:hAnsi="Arial" w:cs="Arial"/>
                <w:color w:val="000000"/>
                <w:sz w:val="14"/>
              </w:rPr>
            </w:pPr>
          </w:p>
        </w:tc>
        <w:tc>
          <w:tcPr>
            <w:tcW w:w="2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9ACC97" w14:textId="77777777" w:rsidR="00643DE1" w:rsidRDefault="00643DE1" w:rsidP="00643DE1">
            <w:pPr>
              <w:keepNext/>
              <w:keepLines/>
              <w:tabs>
                <w:tab w:val="left" w:pos="828"/>
              </w:tabs>
              <w:ind w:left="57" w:right="57"/>
              <w:jc w:val="right"/>
              <w:rPr>
                <w:rFonts w:ascii="Arial" w:eastAsia="Arial" w:hAnsi="Arial" w:cs="Arial"/>
                <w:color w:val="000000"/>
                <w:sz w:val="14"/>
              </w:rPr>
            </w:pPr>
          </w:p>
        </w:tc>
        <w:tc>
          <w:tcPr>
            <w:tcW w:w="2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A77B0C" w14:textId="77777777" w:rsidR="00643DE1" w:rsidRDefault="00643DE1" w:rsidP="00643DE1">
            <w:pPr>
              <w:keepNext/>
              <w:keepLines/>
              <w:tabs>
                <w:tab w:val="left" w:pos="828"/>
              </w:tabs>
              <w:ind w:left="57" w:right="57"/>
              <w:jc w:val="right"/>
              <w:rPr>
                <w:rFonts w:ascii="Arial" w:eastAsia="Arial" w:hAnsi="Arial" w:cs="Arial"/>
                <w:color w:val="000000"/>
                <w:sz w:val="14"/>
              </w:rPr>
            </w:pPr>
          </w:p>
        </w:tc>
        <w:tc>
          <w:tcPr>
            <w:tcW w:w="20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284C0E" w14:textId="77777777" w:rsidR="00643DE1" w:rsidRDefault="00643DE1" w:rsidP="00643DE1">
            <w:pPr>
              <w:tabs>
                <w:tab w:val="left" w:pos="828"/>
              </w:tabs>
              <w:ind w:left="57" w:right="57"/>
              <w:jc w:val="right"/>
              <w:rPr>
                <w:rFonts w:ascii="Arial" w:eastAsia="Arial" w:hAnsi="Arial" w:cs="Arial"/>
                <w:color w:val="000000"/>
                <w:sz w:val="14"/>
              </w:rPr>
            </w:pPr>
          </w:p>
        </w:tc>
      </w:tr>
      <w:tr w:rsidR="00643DE1" w14:paraId="671973F5" w14:textId="77777777">
        <w:tc>
          <w:tcPr>
            <w:tcW w:w="1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9DDE71" w14:textId="77777777" w:rsidR="00643DE1" w:rsidRDefault="00643DE1" w:rsidP="00643DE1">
            <w:pPr>
              <w:tabs>
                <w:tab w:val="left" w:pos="828"/>
              </w:tabs>
              <w:ind w:left="57" w:right="57"/>
              <w:rPr>
                <w:rFonts w:ascii="Arial" w:eastAsia="Arial" w:hAnsi="Arial" w:cs="Arial"/>
                <w:color w:val="000000"/>
                <w:sz w:val="14"/>
              </w:rPr>
            </w:pPr>
            <w:r>
              <w:rPr>
                <w:rFonts w:ascii="Arial" w:eastAsia="Arial" w:hAnsi="Arial" w:cs="Arial"/>
                <w:color w:val="000000"/>
                <w:sz w:val="14"/>
              </w:rPr>
              <w:t>Náklady na operace mimo programovou oblast (1)</w:t>
            </w:r>
          </w:p>
        </w:tc>
        <w:tc>
          <w:tcPr>
            <w:tcW w:w="36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6B7303" w14:textId="77777777" w:rsidR="00643DE1" w:rsidRDefault="00643DE1" w:rsidP="00643DE1">
            <w:pPr>
              <w:tabs>
                <w:tab w:val="left" w:pos="828"/>
              </w:tabs>
              <w:ind w:left="57" w:right="57"/>
              <w:rPr>
                <w:rFonts w:ascii="Arial" w:eastAsia="Arial" w:hAnsi="Arial" w:cs="Arial"/>
                <w:color w:val="000000"/>
                <w:sz w:val="14"/>
              </w:rPr>
            </w:pPr>
            <w:r>
              <w:rPr>
                <w:rFonts w:ascii="Arial" w:eastAsia="Arial" w:hAnsi="Arial" w:cs="Arial"/>
                <w:color w:val="000000"/>
                <w:sz w:val="14"/>
              </w:rPr>
              <w:t>06.4 Komunitně vedený místní rozvoj</w:t>
            </w:r>
          </w:p>
        </w:tc>
        <w:tc>
          <w:tcPr>
            <w:tcW w:w="2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282264" w14:textId="77777777" w:rsidR="00643DE1" w:rsidRDefault="00643DE1" w:rsidP="00643DE1">
            <w:pPr>
              <w:keepNext/>
              <w:keepLines/>
              <w:tabs>
                <w:tab w:val="left" w:pos="828"/>
              </w:tabs>
              <w:ind w:left="57" w:right="57"/>
              <w:jc w:val="right"/>
              <w:rPr>
                <w:rFonts w:ascii="Arial" w:eastAsia="Arial" w:hAnsi="Arial" w:cs="Arial"/>
                <w:color w:val="000000"/>
                <w:sz w:val="14"/>
              </w:rPr>
            </w:pPr>
          </w:p>
        </w:tc>
        <w:tc>
          <w:tcPr>
            <w:tcW w:w="2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BC2A2B" w14:textId="77777777" w:rsidR="00643DE1" w:rsidRDefault="00643DE1" w:rsidP="00643DE1">
            <w:pPr>
              <w:keepNext/>
              <w:keepLines/>
              <w:tabs>
                <w:tab w:val="left" w:pos="828"/>
              </w:tabs>
              <w:ind w:left="57" w:right="57"/>
              <w:jc w:val="right"/>
              <w:rPr>
                <w:rFonts w:ascii="Arial" w:eastAsia="Arial" w:hAnsi="Arial" w:cs="Arial"/>
                <w:color w:val="000000"/>
                <w:sz w:val="14"/>
              </w:rPr>
            </w:pPr>
          </w:p>
        </w:tc>
        <w:tc>
          <w:tcPr>
            <w:tcW w:w="2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AABDA3" w14:textId="77777777" w:rsidR="00643DE1" w:rsidRDefault="00643DE1" w:rsidP="00643DE1">
            <w:pPr>
              <w:keepNext/>
              <w:keepLines/>
              <w:tabs>
                <w:tab w:val="left" w:pos="828"/>
              </w:tabs>
              <w:ind w:left="57" w:right="57"/>
              <w:jc w:val="right"/>
              <w:rPr>
                <w:rFonts w:ascii="Arial" w:eastAsia="Arial" w:hAnsi="Arial" w:cs="Arial"/>
                <w:color w:val="000000"/>
                <w:sz w:val="14"/>
              </w:rPr>
            </w:pPr>
          </w:p>
        </w:tc>
        <w:tc>
          <w:tcPr>
            <w:tcW w:w="20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3A0688" w14:textId="77777777" w:rsidR="00643DE1" w:rsidRDefault="00643DE1" w:rsidP="00643DE1">
            <w:pPr>
              <w:tabs>
                <w:tab w:val="left" w:pos="828"/>
              </w:tabs>
              <w:ind w:left="57" w:right="57"/>
              <w:jc w:val="right"/>
              <w:rPr>
                <w:rFonts w:ascii="Arial" w:eastAsia="Arial" w:hAnsi="Arial" w:cs="Arial"/>
                <w:color w:val="000000"/>
                <w:sz w:val="14"/>
              </w:rPr>
            </w:pPr>
          </w:p>
        </w:tc>
      </w:tr>
      <w:tr w:rsidR="00643DE1" w14:paraId="4AC1D894" w14:textId="77777777">
        <w:tc>
          <w:tcPr>
            <w:tcW w:w="1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827510" w14:textId="77777777" w:rsidR="00643DE1" w:rsidRDefault="00643DE1" w:rsidP="00643DE1">
            <w:pPr>
              <w:tabs>
                <w:tab w:val="left" w:pos="828"/>
              </w:tabs>
              <w:ind w:left="57" w:right="57"/>
              <w:rPr>
                <w:rFonts w:ascii="Arial" w:eastAsia="Arial" w:hAnsi="Arial" w:cs="Arial"/>
                <w:color w:val="000000"/>
                <w:sz w:val="14"/>
              </w:rPr>
            </w:pPr>
            <w:r>
              <w:rPr>
                <w:rFonts w:ascii="Arial" w:eastAsia="Arial" w:hAnsi="Arial" w:cs="Arial"/>
                <w:color w:val="000000"/>
                <w:sz w:val="14"/>
              </w:rPr>
              <w:t>Náklady na operace mimo programovou oblast (1)</w:t>
            </w:r>
          </w:p>
        </w:tc>
        <w:tc>
          <w:tcPr>
            <w:tcW w:w="36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D1D8B4" w14:textId="77777777" w:rsidR="00643DE1" w:rsidRDefault="00643DE1" w:rsidP="00643DE1">
            <w:pPr>
              <w:tabs>
                <w:tab w:val="left" w:pos="828"/>
              </w:tabs>
              <w:ind w:left="57" w:right="57"/>
              <w:rPr>
                <w:rFonts w:ascii="Arial" w:eastAsia="Arial" w:hAnsi="Arial" w:cs="Arial"/>
                <w:color w:val="000000"/>
                <w:sz w:val="14"/>
              </w:rPr>
            </w:pPr>
            <w:r>
              <w:rPr>
                <w:rFonts w:ascii="Arial" w:eastAsia="Arial" w:hAnsi="Arial" w:cs="Arial"/>
                <w:color w:val="000000"/>
                <w:sz w:val="14"/>
              </w:rPr>
              <w:t>06.5 Technická pomoc</w:t>
            </w:r>
          </w:p>
        </w:tc>
        <w:tc>
          <w:tcPr>
            <w:tcW w:w="2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734ED4" w14:textId="77777777" w:rsidR="00643DE1" w:rsidRDefault="00643DE1" w:rsidP="00643DE1">
            <w:pPr>
              <w:keepNext/>
              <w:keepLines/>
              <w:tabs>
                <w:tab w:val="left" w:pos="828"/>
              </w:tabs>
              <w:ind w:left="57" w:right="57"/>
              <w:jc w:val="right"/>
              <w:rPr>
                <w:rFonts w:ascii="Arial" w:eastAsia="Arial" w:hAnsi="Arial" w:cs="Arial"/>
                <w:color w:val="000000"/>
                <w:sz w:val="14"/>
              </w:rPr>
            </w:pPr>
          </w:p>
        </w:tc>
        <w:tc>
          <w:tcPr>
            <w:tcW w:w="2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A3E1E5" w14:textId="77777777" w:rsidR="00643DE1" w:rsidRDefault="00643DE1" w:rsidP="00643DE1">
            <w:pPr>
              <w:keepNext/>
              <w:keepLines/>
              <w:tabs>
                <w:tab w:val="left" w:pos="828"/>
              </w:tabs>
              <w:ind w:left="57" w:right="57"/>
              <w:jc w:val="right"/>
              <w:rPr>
                <w:rFonts w:ascii="Arial" w:eastAsia="Arial" w:hAnsi="Arial" w:cs="Arial"/>
                <w:color w:val="000000"/>
                <w:sz w:val="14"/>
              </w:rPr>
            </w:pPr>
          </w:p>
        </w:tc>
        <w:tc>
          <w:tcPr>
            <w:tcW w:w="2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1E07F2" w14:textId="77777777" w:rsidR="00643DE1" w:rsidRDefault="00643DE1" w:rsidP="00643DE1">
            <w:pPr>
              <w:keepNext/>
              <w:keepLines/>
              <w:tabs>
                <w:tab w:val="left" w:pos="828"/>
              </w:tabs>
              <w:ind w:left="57" w:right="57"/>
              <w:jc w:val="right"/>
              <w:rPr>
                <w:rFonts w:ascii="Arial" w:eastAsia="Arial" w:hAnsi="Arial" w:cs="Arial"/>
                <w:color w:val="000000"/>
                <w:sz w:val="14"/>
              </w:rPr>
            </w:pPr>
          </w:p>
        </w:tc>
        <w:tc>
          <w:tcPr>
            <w:tcW w:w="20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23D57D" w14:textId="77777777" w:rsidR="00643DE1" w:rsidRDefault="00643DE1" w:rsidP="00643DE1">
            <w:pPr>
              <w:tabs>
                <w:tab w:val="left" w:pos="828"/>
              </w:tabs>
              <w:ind w:left="57" w:right="57"/>
              <w:jc w:val="right"/>
              <w:rPr>
                <w:rFonts w:ascii="Arial" w:eastAsia="Arial" w:hAnsi="Arial" w:cs="Arial"/>
                <w:color w:val="000000"/>
                <w:sz w:val="14"/>
              </w:rPr>
            </w:pPr>
          </w:p>
        </w:tc>
      </w:tr>
    </w:tbl>
    <w:p w14:paraId="099E7A23" w14:textId="77777777" w:rsidR="00533CD2" w:rsidRDefault="0046046C">
      <w:pPr>
        <w:keepNext/>
        <w:tabs>
          <w:tab w:val="left" w:pos="534"/>
        </w:tabs>
        <w:ind w:left="115" w:right="812"/>
        <w:rPr>
          <w:rFonts w:ascii="Arial" w:eastAsia="Arial" w:hAnsi="Arial" w:cs="Arial"/>
          <w:color w:val="000000"/>
          <w:sz w:val="16"/>
        </w:rPr>
      </w:pPr>
      <w:r>
        <w:rPr>
          <w:rFonts w:ascii="Arial" w:eastAsia="Arial" w:hAnsi="Arial" w:cs="Arial"/>
          <w:color w:val="000000"/>
          <w:sz w:val="16"/>
        </w:rPr>
        <w:t>1</w:t>
      </w:r>
      <w:r>
        <w:rPr>
          <w:rFonts w:ascii="Arial" w:eastAsia="Arial" w:hAnsi="Arial" w:cs="Arial"/>
          <w:color w:val="000000"/>
          <w:sz w:val="16"/>
        </w:rPr>
        <w:tab/>
        <w:t xml:space="preserve">V souladu se stropy stanovenými v čl. 70 odst. </w:t>
      </w:r>
      <w:proofErr w:type="gramStart"/>
      <w:r>
        <w:rPr>
          <w:rFonts w:ascii="Arial" w:eastAsia="Arial" w:hAnsi="Arial" w:cs="Arial"/>
          <w:color w:val="000000"/>
          <w:sz w:val="16"/>
        </w:rPr>
        <w:t>2</w:t>
      </w:r>
      <w:proofErr w:type="gramEnd"/>
      <w:r>
        <w:rPr>
          <w:rFonts w:ascii="Arial" w:eastAsia="Arial" w:hAnsi="Arial" w:cs="Arial"/>
          <w:color w:val="000000"/>
          <w:sz w:val="16"/>
        </w:rPr>
        <w:t xml:space="preserve"> nařízení (EU) č. 1303/2013 nebo článku 20 nařízení (EU) č. 1299/2013 a s jejich výhradou.</w:t>
      </w:r>
    </w:p>
    <w:p w14:paraId="1FC0586C" w14:textId="77777777" w:rsidR="00533CD2" w:rsidRDefault="00533CD2">
      <w:pPr>
        <w:keepNext/>
        <w:tabs>
          <w:tab w:val="left" w:pos="1675"/>
        </w:tabs>
        <w:ind w:left="115" w:right="106"/>
        <w:rPr>
          <w:rFonts w:ascii="Arial" w:eastAsia="Arial" w:hAnsi="Arial" w:cs="Arial"/>
          <w:color w:val="000000"/>
          <w:sz w:val="20"/>
        </w:rPr>
      </w:pPr>
    </w:p>
    <w:p w14:paraId="310CFA8E" w14:textId="77777777" w:rsidR="00533CD2" w:rsidRDefault="00533CD2">
      <w:pPr>
        <w:tabs>
          <w:tab w:val="left" w:pos="1675"/>
        </w:tabs>
        <w:ind w:left="115" w:right="106"/>
        <w:rPr>
          <w:rFonts w:ascii="Arial" w:eastAsia="Arial" w:hAnsi="Arial" w:cs="Arial"/>
          <w:color w:val="000000"/>
          <w:sz w:val="8"/>
        </w:rPr>
      </w:pPr>
    </w:p>
    <w:p w14:paraId="59F4F2D3" w14:textId="77777777" w:rsidR="00533CD2" w:rsidRDefault="0046046C">
      <w:r>
        <w:br w:type="page"/>
      </w:r>
    </w:p>
    <w:p w14:paraId="25146F4E" w14:textId="77777777" w:rsidR="00533CD2" w:rsidRDefault="00533CD2">
      <w:pPr>
        <w:sectPr w:rsidR="00533CD2">
          <w:headerReference w:type="default" r:id="rId9"/>
          <w:footerReference w:type="default" r:id="rId10"/>
          <w:pgSz w:w="16820" w:h="11900" w:orient="landscape"/>
          <w:pgMar w:top="840" w:right="520" w:bottom="1540" w:left="560" w:header="601" w:footer="1077" w:gutter="0"/>
          <w:cols w:space="720"/>
          <w:noEndnote/>
        </w:sectPr>
      </w:pPr>
    </w:p>
    <w:p w14:paraId="1BFED755" w14:textId="77777777" w:rsidR="00533CD2" w:rsidRPr="007429C8" w:rsidRDefault="0046046C" w:rsidP="007429C8">
      <w:pPr>
        <w:pStyle w:val="Nadpis1"/>
      </w:pPr>
      <w:bookmarkStart w:id="10" w:name="_Toc40877818"/>
      <w:r w:rsidRPr="007429C8">
        <w:t>SHRNUTÍ EVALUACÍ (čl. 50 odst. 2 nařízení (EU) č. 1303/2013)</w:t>
      </w:r>
      <w:bookmarkEnd w:id="10"/>
    </w:p>
    <w:p w14:paraId="62FB7E91" w14:textId="77777777" w:rsidR="001E346B" w:rsidRDefault="0046046C" w:rsidP="001E346B">
      <w:pPr>
        <w:spacing w:after="120" w:line="360" w:lineRule="auto"/>
        <w:ind w:left="119" w:right="121"/>
        <w:rPr>
          <w:rFonts w:ascii="Arial" w:eastAsia="Arial" w:hAnsi="Arial" w:cs="Arial"/>
          <w:b/>
          <w:color w:val="000000"/>
          <w:sz w:val="20"/>
        </w:rPr>
      </w:pPr>
      <w:r>
        <w:br/>
      </w:r>
      <w:r w:rsidR="001E346B">
        <w:rPr>
          <w:rFonts w:ascii="Arial" w:eastAsia="Arial" w:hAnsi="Arial" w:cs="Arial"/>
          <w:color w:val="000000"/>
          <w:sz w:val="20"/>
        </w:rPr>
        <w:t>V roce 2019 byly dokončeny dvě evaluace a jedna analýza, která je zpracovávána pravidelně jednou ročně.</w:t>
      </w:r>
      <w:r w:rsidR="001E346B">
        <w:br/>
      </w:r>
    </w:p>
    <w:p w14:paraId="65335D5C" w14:textId="77777777" w:rsidR="001E346B" w:rsidRDefault="001E346B" w:rsidP="001E346B">
      <w:pPr>
        <w:spacing w:after="120" w:line="360" w:lineRule="auto"/>
        <w:ind w:left="119" w:right="121"/>
        <w:rPr>
          <w:rFonts w:ascii="Arial" w:eastAsia="Arial" w:hAnsi="Arial" w:cs="Arial"/>
          <w:color w:val="000000"/>
          <w:sz w:val="20"/>
        </w:rPr>
      </w:pPr>
      <w:r w:rsidRPr="002B5F4E">
        <w:rPr>
          <w:rFonts w:ascii="Arial" w:eastAsia="Arial" w:hAnsi="Arial" w:cs="Arial"/>
          <w:b/>
          <w:color w:val="000000"/>
          <w:sz w:val="20"/>
        </w:rPr>
        <w:t xml:space="preserve">Název evaluace: Evaluace nastavení indikátorové soustavy IROP, prověření intervenční logiky </w:t>
      </w:r>
      <w:r>
        <w:rPr>
          <w:rFonts w:ascii="Arial" w:eastAsia="Arial" w:hAnsi="Arial" w:cs="Arial"/>
          <w:b/>
          <w:color w:val="000000"/>
          <w:sz w:val="20"/>
        </w:rPr>
        <w:br/>
      </w:r>
      <w:r w:rsidRPr="002B5F4E">
        <w:rPr>
          <w:rFonts w:ascii="Arial" w:eastAsia="Arial" w:hAnsi="Arial" w:cs="Arial"/>
          <w:b/>
          <w:color w:val="000000"/>
          <w:sz w:val="20"/>
        </w:rPr>
        <w:t xml:space="preserve">a vyhodnocení informačních zdrojů a datové báze             </w:t>
      </w:r>
      <w:r w:rsidRPr="002B5F4E">
        <w:rPr>
          <w:b/>
        </w:rPr>
        <w:br/>
      </w:r>
      <w:r>
        <w:rPr>
          <w:rFonts w:ascii="Arial" w:eastAsia="Arial" w:hAnsi="Arial" w:cs="Arial"/>
          <w:color w:val="000000"/>
          <w:sz w:val="20"/>
        </w:rPr>
        <w:t>Kód evaluace: 06.007</w:t>
      </w:r>
      <w:r>
        <w:br/>
      </w:r>
      <w:r>
        <w:rPr>
          <w:rFonts w:ascii="Arial" w:eastAsia="Arial" w:hAnsi="Arial" w:cs="Arial"/>
          <w:color w:val="000000"/>
          <w:sz w:val="20"/>
        </w:rPr>
        <w:t>Cíl evaluace: Cílem evaluace bylo zajištění dostupnosti konzistentních, úplných a validních dat pro potřeby hodnocení výsledků OP a prověření indikátorové soustavy IROP.</w:t>
      </w:r>
      <w:r>
        <w:br/>
      </w:r>
      <w:r>
        <w:rPr>
          <w:rFonts w:ascii="Arial" w:eastAsia="Arial" w:hAnsi="Arial" w:cs="Arial"/>
          <w:color w:val="000000"/>
          <w:sz w:val="20"/>
        </w:rPr>
        <w:t>Doba realizace: 17.7.2018-4.2.2019</w:t>
      </w:r>
      <w:r>
        <w:br/>
      </w:r>
      <w:r>
        <w:rPr>
          <w:rFonts w:ascii="Arial" w:eastAsia="Arial" w:hAnsi="Arial" w:cs="Arial"/>
          <w:color w:val="000000"/>
          <w:sz w:val="20"/>
        </w:rPr>
        <w:t>Typ evaluace: externí</w:t>
      </w:r>
      <w:r>
        <w:br/>
      </w:r>
      <w:r>
        <w:rPr>
          <w:rFonts w:ascii="Arial" w:eastAsia="Arial" w:hAnsi="Arial" w:cs="Arial"/>
          <w:color w:val="000000"/>
          <w:sz w:val="20"/>
        </w:rPr>
        <w:t>Zpracovatel: Deloitte Advisory s.r.o.</w:t>
      </w:r>
    </w:p>
    <w:p w14:paraId="7D6D2C82" w14:textId="77777777" w:rsidR="00C57822" w:rsidRDefault="001E346B" w:rsidP="001E346B">
      <w:pPr>
        <w:spacing w:after="120" w:line="360" w:lineRule="auto"/>
        <w:ind w:left="119" w:right="121"/>
        <w:jc w:val="both"/>
        <w:rPr>
          <w:rFonts w:ascii="Arial" w:eastAsia="Arial" w:hAnsi="Arial" w:cs="Arial"/>
          <w:color w:val="000000"/>
          <w:sz w:val="20"/>
        </w:rPr>
      </w:pPr>
      <w:r>
        <w:rPr>
          <w:rFonts w:ascii="Arial" w:eastAsia="Arial" w:hAnsi="Arial" w:cs="Arial"/>
          <w:color w:val="000000"/>
          <w:sz w:val="20"/>
        </w:rPr>
        <w:t xml:space="preserve">Název zprávy: Závěrečná zpráva projektu Evaluace nastavení indikátorové soustavy, prověření intervenční logiky a vyhodnocení informačních zdrojů a datové báze IROP. </w:t>
      </w:r>
      <w:r>
        <w:br/>
      </w:r>
      <w:r>
        <w:rPr>
          <w:rFonts w:ascii="Arial" w:eastAsia="Arial" w:hAnsi="Arial" w:cs="Arial"/>
          <w:color w:val="000000"/>
          <w:sz w:val="20"/>
        </w:rPr>
        <w:t>Odkaz na umístění výstupů: https://www.irop.mmr.cz/cs/Zadatele-a-prijemci/Dokumenty/Ostatni-dokumenty-v-IROP/Evaluace-IROP/Vystupy-evaluace-2018/Evaluace-nastaveni-indikatorove-soustavy,-proveren</w:t>
      </w:r>
      <w:r>
        <w:br/>
      </w:r>
      <w:r>
        <w:rPr>
          <w:rFonts w:ascii="Arial" w:eastAsia="Arial" w:hAnsi="Arial" w:cs="Arial"/>
          <w:color w:val="000000"/>
          <w:sz w:val="20"/>
        </w:rPr>
        <w:t xml:space="preserve">Hlavní zjištění: V rámci této evaluace byla hodnotitelem formulována </w:t>
      </w:r>
      <w:proofErr w:type="gramStart"/>
      <w:r w:rsidR="001D0A91">
        <w:rPr>
          <w:rFonts w:ascii="Arial" w:eastAsia="Arial" w:hAnsi="Arial" w:cs="Arial"/>
          <w:color w:val="000000"/>
          <w:sz w:val="20"/>
        </w:rPr>
        <w:t xml:space="preserve">čtyři </w:t>
      </w:r>
      <w:r>
        <w:rPr>
          <w:rFonts w:ascii="Arial" w:eastAsia="Arial" w:hAnsi="Arial" w:cs="Arial"/>
          <w:color w:val="000000"/>
          <w:sz w:val="20"/>
        </w:rPr>
        <w:t xml:space="preserve"> hlavní</w:t>
      </w:r>
      <w:proofErr w:type="gramEnd"/>
      <w:r>
        <w:rPr>
          <w:rFonts w:ascii="Arial" w:eastAsia="Arial" w:hAnsi="Arial" w:cs="Arial"/>
          <w:color w:val="000000"/>
          <w:sz w:val="20"/>
        </w:rPr>
        <w:t xml:space="preserve"> zjištění. První se týkalo intervenční logiky (IL). Dle šetření vykazuje IL poměrně vysokou míru </w:t>
      </w:r>
      <w:proofErr w:type="gramStart"/>
      <w:r>
        <w:rPr>
          <w:rFonts w:ascii="Arial" w:eastAsia="Arial" w:hAnsi="Arial" w:cs="Arial"/>
          <w:color w:val="000000"/>
          <w:sz w:val="20"/>
        </w:rPr>
        <w:t>nejednotnosti  a</w:t>
      </w:r>
      <w:proofErr w:type="gramEnd"/>
      <w:r>
        <w:rPr>
          <w:rFonts w:ascii="Arial" w:eastAsia="Arial" w:hAnsi="Arial" w:cs="Arial"/>
          <w:color w:val="000000"/>
          <w:sz w:val="20"/>
        </w:rPr>
        <w:t xml:space="preserve"> velké rozdíly mezi zpracováním jednotlivých SC. Napříč dokumentem bylo identifikováno několik průřezových nedostatků např.: hlavní příčiny problémů, které chce ŘO intervencemi řešit  nejsou často jasně stanoveny, nejsou ani uvedeny důvody pro výběr těchto příčin, místo toho jsou popsány přínosy, které intervence mohou/budoumít.</w:t>
      </w:r>
      <w:r>
        <w:br/>
      </w:r>
      <w:r>
        <w:rPr>
          <w:rFonts w:ascii="Arial" w:eastAsia="Arial" w:hAnsi="Arial" w:cs="Arial"/>
          <w:color w:val="000000"/>
          <w:sz w:val="20"/>
        </w:rPr>
        <w:t xml:space="preserve">Další hlavní zjištění se týkalo indikátorové soustavy. Byla formulována řada průřezových nedostatků majících negativní vliv </w:t>
      </w:r>
      <w:proofErr w:type="gramStart"/>
      <w:r>
        <w:rPr>
          <w:rFonts w:ascii="Arial" w:eastAsia="Arial" w:hAnsi="Arial" w:cs="Arial"/>
          <w:color w:val="000000"/>
          <w:sz w:val="20"/>
        </w:rPr>
        <w:t>na</w:t>
      </w:r>
      <w:proofErr w:type="gramEnd"/>
      <w:r>
        <w:rPr>
          <w:rFonts w:ascii="Arial" w:eastAsia="Arial" w:hAnsi="Arial" w:cs="Arial"/>
          <w:color w:val="000000"/>
          <w:sz w:val="20"/>
        </w:rPr>
        <w:t xml:space="preserve"> komplexní vyhodnocení dopadů OP. Mezi identifikované průřezové nedostatky patří např. </w:t>
      </w:r>
      <w:proofErr w:type="gramStart"/>
      <w:r>
        <w:rPr>
          <w:rFonts w:ascii="Arial" w:eastAsia="Arial" w:hAnsi="Arial" w:cs="Arial"/>
          <w:color w:val="000000"/>
          <w:sz w:val="20"/>
        </w:rPr>
        <w:t>přílišné</w:t>
      </w:r>
      <w:proofErr w:type="gramEnd"/>
      <w:r>
        <w:rPr>
          <w:rFonts w:ascii="Arial" w:eastAsia="Arial" w:hAnsi="Arial" w:cs="Arial"/>
          <w:color w:val="000000"/>
          <w:sz w:val="20"/>
        </w:rPr>
        <w:t xml:space="preserve"> zaměření indikátorové soustavy na monitorování výstupů a postupu implementace namísto monitorování výsledků a dopadů intervence; chybí také hodnocení kvality a dopadu na životní situaci podpořených osob. Hodnotitel dále upozorňuje </w:t>
      </w:r>
      <w:proofErr w:type="gramStart"/>
      <w:r>
        <w:rPr>
          <w:rFonts w:ascii="Arial" w:eastAsia="Arial" w:hAnsi="Arial" w:cs="Arial"/>
          <w:color w:val="000000"/>
          <w:sz w:val="20"/>
        </w:rPr>
        <w:t>na</w:t>
      </w:r>
      <w:proofErr w:type="gramEnd"/>
      <w:r>
        <w:rPr>
          <w:rFonts w:ascii="Arial" w:eastAsia="Arial" w:hAnsi="Arial" w:cs="Arial"/>
          <w:color w:val="000000"/>
          <w:sz w:val="20"/>
        </w:rPr>
        <w:t xml:space="preserve"> nevhodně nastavenou cílovou (u některých </w:t>
      </w:r>
      <w:r>
        <w:rPr>
          <w:rFonts w:ascii="Arial" w:eastAsia="Arial" w:hAnsi="Arial" w:cs="Arial"/>
          <w:color w:val="000000"/>
          <w:sz w:val="20"/>
        </w:rPr>
        <w:br/>
        <w:t xml:space="preserve">i výchozí) hodnotou indikátoru. A zdůraznil i absenci systému pravidelného monitoringu a reportingu </w:t>
      </w:r>
      <w:r>
        <w:rPr>
          <w:rFonts w:ascii="Arial" w:eastAsia="Arial" w:hAnsi="Arial" w:cs="Arial"/>
          <w:color w:val="000000"/>
          <w:sz w:val="20"/>
        </w:rPr>
        <w:br/>
        <w:t xml:space="preserve">u některých výsledkových indikátorů, spatřuje problém také v tom, že indikátory měřené </w:t>
      </w:r>
      <w:proofErr w:type="gramStart"/>
      <w:r>
        <w:rPr>
          <w:rFonts w:ascii="Arial" w:eastAsia="Arial" w:hAnsi="Arial" w:cs="Arial"/>
          <w:color w:val="000000"/>
          <w:sz w:val="20"/>
        </w:rPr>
        <w:t>na</w:t>
      </w:r>
      <w:proofErr w:type="gramEnd"/>
      <w:r>
        <w:rPr>
          <w:rFonts w:ascii="Arial" w:eastAsia="Arial" w:hAnsi="Arial" w:cs="Arial"/>
          <w:color w:val="000000"/>
          <w:sz w:val="20"/>
        </w:rPr>
        <w:t xml:space="preserve"> makro úrovni jsou z velké části ovlivněny externími vlivy a dopad IROP na vývoj indikátoru je proto pouze marginální.</w:t>
      </w:r>
      <w:r>
        <w:br/>
      </w:r>
      <w:r>
        <w:rPr>
          <w:rFonts w:ascii="Arial" w:eastAsia="Arial" w:hAnsi="Arial" w:cs="Arial"/>
          <w:color w:val="000000"/>
          <w:sz w:val="20"/>
        </w:rPr>
        <w:t xml:space="preserve">Posledně zmíněný nedostatek hodnotitel rozvádí v dalším zjištění, které se týkalo výsledkových indikátorů. Hodnotitel uvádí, že </w:t>
      </w:r>
      <w:proofErr w:type="gramStart"/>
      <w:r>
        <w:rPr>
          <w:rFonts w:ascii="Arial" w:eastAsia="Arial" w:hAnsi="Arial" w:cs="Arial"/>
          <w:color w:val="000000"/>
          <w:sz w:val="20"/>
        </w:rPr>
        <w:t>na</w:t>
      </w:r>
      <w:proofErr w:type="gramEnd"/>
      <w:r>
        <w:rPr>
          <w:rFonts w:ascii="Arial" w:eastAsia="Arial" w:hAnsi="Arial" w:cs="Arial"/>
          <w:color w:val="000000"/>
          <w:sz w:val="20"/>
        </w:rPr>
        <w:t xml:space="preserve"> vývoj indikátorů má vliv řada externích vlivů, vývoj tedy nelze přičíst intervencím IROP. Jako nejproblematičtější označil tyto výsledkové indikátory: SC 2.2: Míra nezaměstnanosti osob </w:t>
      </w:r>
      <w:r>
        <w:rPr>
          <w:rFonts w:ascii="Arial" w:eastAsia="Arial" w:hAnsi="Arial" w:cs="Arial"/>
          <w:color w:val="000000"/>
          <w:sz w:val="20"/>
        </w:rPr>
        <w:br/>
        <w:t xml:space="preserve">s nejnižším vzděláním, SC 2.3: Kapacity modernizované vysoce specializované a návazné zdravotní péče, SC 2.5: Konečná spotřeba energie domácností v ČR, SC 3.2: Počet elektronických podání učiněných prostřednictvím Czech Point, ISDS, PVS </w:t>
      </w:r>
      <w:proofErr w:type="gramStart"/>
      <w:r>
        <w:rPr>
          <w:rFonts w:ascii="Arial" w:eastAsia="Arial" w:hAnsi="Arial" w:cs="Arial"/>
          <w:color w:val="000000"/>
          <w:sz w:val="20"/>
        </w:rPr>
        <w:t>a</w:t>
      </w:r>
      <w:proofErr w:type="gramEnd"/>
      <w:r>
        <w:rPr>
          <w:rFonts w:ascii="Arial" w:eastAsia="Arial" w:hAnsi="Arial" w:cs="Arial"/>
          <w:color w:val="000000"/>
          <w:sz w:val="20"/>
        </w:rPr>
        <w:t xml:space="preserve"> agendových portálů, SC 3.2: Nová funkcionalita informačního systému. </w:t>
      </w:r>
      <w:r>
        <w:br/>
      </w:r>
    </w:p>
    <w:p w14:paraId="7E9186B5" w14:textId="3923D6DF" w:rsidR="001E346B" w:rsidRDefault="00C57822" w:rsidP="00C57822">
      <w:pPr>
        <w:spacing w:line="360" w:lineRule="auto"/>
        <w:ind w:left="119"/>
        <w:rPr>
          <w:rFonts w:ascii="Arial" w:eastAsia="Arial" w:hAnsi="Arial" w:cs="Arial"/>
          <w:color w:val="000000"/>
          <w:sz w:val="20"/>
        </w:rPr>
      </w:pPr>
      <w:r>
        <w:rPr>
          <w:rFonts w:ascii="Arial" w:eastAsia="Arial" w:hAnsi="Arial" w:cs="Arial"/>
          <w:color w:val="000000"/>
          <w:sz w:val="20"/>
        </w:rPr>
        <w:br w:type="page"/>
      </w:r>
      <w:r w:rsidR="001E346B">
        <w:rPr>
          <w:rFonts w:ascii="Arial" w:eastAsia="Arial" w:hAnsi="Arial" w:cs="Arial"/>
          <w:color w:val="000000"/>
          <w:sz w:val="20"/>
        </w:rPr>
        <w:t xml:space="preserve">Čtvrté doporučení se týkalo datových zdrojů a říká, že stávající soustava zdrojů sekundárních dat není </w:t>
      </w:r>
      <w:r w:rsidR="001E346B">
        <w:rPr>
          <w:rFonts w:ascii="Arial" w:eastAsia="Arial" w:hAnsi="Arial" w:cs="Arial"/>
          <w:color w:val="000000"/>
          <w:sz w:val="20"/>
        </w:rPr>
        <w:br/>
      </w:r>
      <w:r>
        <w:rPr>
          <w:rFonts w:ascii="Arial" w:eastAsia="Arial" w:hAnsi="Arial" w:cs="Arial"/>
          <w:color w:val="000000"/>
          <w:sz w:val="20"/>
        </w:rPr>
        <w:t xml:space="preserve"> </w:t>
      </w:r>
      <w:r w:rsidR="001E346B">
        <w:rPr>
          <w:rFonts w:ascii="Arial" w:eastAsia="Arial" w:hAnsi="Arial" w:cs="Arial"/>
          <w:color w:val="000000"/>
          <w:sz w:val="20"/>
        </w:rPr>
        <w:t xml:space="preserve">z hlediska jejich dostupnosti, úplnosti, validity/kvality a reliability zcela dostačující a v případě některých </w:t>
      </w:r>
      <w:r>
        <w:rPr>
          <w:rFonts w:ascii="Arial" w:eastAsia="Arial" w:hAnsi="Arial" w:cs="Arial"/>
          <w:color w:val="000000"/>
          <w:sz w:val="20"/>
        </w:rPr>
        <w:t xml:space="preserve">   </w:t>
      </w:r>
      <w:r w:rsidR="001E346B">
        <w:rPr>
          <w:rFonts w:ascii="Arial" w:eastAsia="Arial" w:hAnsi="Arial" w:cs="Arial"/>
          <w:color w:val="000000"/>
          <w:sz w:val="20"/>
        </w:rPr>
        <w:t xml:space="preserve">indikátorů může docházet i ke zkreslení. </w:t>
      </w:r>
    </w:p>
    <w:p w14:paraId="2FE9CA5C" w14:textId="77777777" w:rsidR="001E346B" w:rsidRDefault="001E346B" w:rsidP="001E346B">
      <w:pPr>
        <w:spacing w:after="120" w:line="360" w:lineRule="auto"/>
        <w:ind w:left="119" w:right="121"/>
        <w:jc w:val="both"/>
        <w:rPr>
          <w:rFonts w:ascii="Arial" w:eastAsia="Arial" w:hAnsi="Arial" w:cs="Arial"/>
          <w:color w:val="000000"/>
          <w:sz w:val="20"/>
        </w:rPr>
      </w:pPr>
      <w:r>
        <w:rPr>
          <w:rFonts w:ascii="Arial" w:eastAsia="Arial" w:hAnsi="Arial" w:cs="Arial"/>
          <w:color w:val="000000"/>
          <w:sz w:val="20"/>
        </w:rPr>
        <w:t xml:space="preserve">Využívané zdroje dat často neposkytují data v požadované frekvenci nebo míře detailu umožňující segmentaci dat. Dále upozorňuje, že stávající soustava dat neumožňuje triangulaci dat, jež by zaručila vyšší míru spolehlivosti. Za nejproblematičtější byly označeny stávající zdroje využívané k měření indikátorů SC 1.2: Podíl cyklistiky na přepravních výkonech, SC 2.2: Míra nezaměstnanosti osob </w:t>
      </w:r>
      <w:r>
        <w:rPr>
          <w:rFonts w:ascii="Arial" w:eastAsia="Arial" w:hAnsi="Arial" w:cs="Arial"/>
          <w:color w:val="000000"/>
          <w:sz w:val="20"/>
        </w:rPr>
        <w:br/>
        <w:t xml:space="preserve">s nejnižším vzděláním, SC 2.3: Průměrná délka hospitalizace v institucích dlouhodobé psychiatrické péče, SC 2.4: Podíl osob předčasně opouštějících vzdělávací systém, SC 2.5: Konečná spotřeba energie domácností v ČR, 3.1: Počet návštěv kulturních památek a paměťových institucí zpřístupněných </w:t>
      </w:r>
      <w:r>
        <w:rPr>
          <w:rFonts w:ascii="Arial" w:eastAsia="Arial" w:hAnsi="Arial" w:cs="Arial"/>
          <w:color w:val="000000"/>
          <w:sz w:val="20"/>
        </w:rPr>
        <w:br/>
        <w:t xml:space="preserve">za vstupné, SC 3.2: Počet elektronických podání učiněných prostřednictvím Czech Point, ISDS, PVS </w:t>
      </w:r>
      <w:r>
        <w:rPr>
          <w:rFonts w:ascii="Arial" w:eastAsia="Arial" w:hAnsi="Arial" w:cs="Arial"/>
          <w:color w:val="000000"/>
          <w:sz w:val="20"/>
        </w:rPr>
        <w:br/>
        <w:t xml:space="preserve">a agendových portálů. Důvodem je, že data obsahují pouze souhrnné číslo neumožňující požadovanou segmentaci dat, zdroje dat nejsou reliabilní např. </w:t>
      </w:r>
      <w:proofErr w:type="gramStart"/>
      <w:r>
        <w:rPr>
          <w:rFonts w:ascii="Arial" w:eastAsia="Arial" w:hAnsi="Arial" w:cs="Arial"/>
          <w:color w:val="000000"/>
          <w:sz w:val="20"/>
        </w:rPr>
        <w:t>vzhledem</w:t>
      </w:r>
      <w:proofErr w:type="gramEnd"/>
      <w:r>
        <w:rPr>
          <w:rFonts w:ascii="Arial" w:eastAsia="Arial" w:hAnsi="Arial" w:cs="Arial"/>
          <w:color w:val="000000"/>
          <w:sz w:val="20"/>
        </w:rPr>
        <w:t xml:space="preserve"> k zpětným úpravám dat.</w:t>
      </w:r>
    </w:p>
    <w:p w14:paraId="370507F6" w14:textId="1AC71CC8" w:rsidR="001E346B" w:rsidRDefault="001E346B" w:rsidP="001E346B">
      <w:pPr>
        <w:spacing w:after="120" w:line="360" w:lineRule="auto"/>
        <w:ind w:left="119" w:right="121"/>
        <w:jc w:val="both"/>
        <w:rPr>
          <w:rFonts w:ascii="Arial" w:eastAsia="Arial" w:hAnsi="Arial" w:cs="Arial"/>
          <w:b/>
          <w:color w:val="000000"/>
          <w:sz w:val="20"/>
        </w:rPr>
      </w:pPr>
      <w:r>
        <w:rPr>
          <w:rFonts w:ascii="Arial" w:eastAsia="Arial" w:hAnsi="Arial" w:cs="Arial"/>
          <w:color w:val="000000"/>
          <w:sz w:val="20"/>
        </w:rPr>
        <w:t xml:space="preserve">Doporučení a úkoly: V rámci evaluace byla hodnotitelem formulována </w:t>
      </w:r>
      <w:r w:rsidR="003063C6">
        <w:rPr>
          <w:rFonts w:ascii="Arial" w:eastAsia="Arial" w:hAnsi="Arial" w:cs="Arial"/>
          <w:color w:val="000000"/>
          <w:sz w:val="20"/>
        </w:rPr>
        <w:t>čtyři</w:t>
      </w:r>
      <w:r>
        <w:rPr>
          <w:rFonts w:ascii="Arial" w:eastAsia="Arial" w:hAnsi="Arial" w:cs="Arial"/>
          <w:color w:val="000000"/>
          <w:sz w:val="20"/>
        </w:rPr>
        <w:t xml:space="preserve"> hlavní zjištění, </w:t>
      </w:r>
      <w:proofErr w:type="gramStart"/>
      <w:r>
        <w:rPr>
          <w:rFonts w:ascii="Arial" w:eastAsia="Arial" w:hAnsi="Arial" w:cs="Arial"/>
          <w:color w:val="000000"/>
          <w:sz w:val="20"/>
        </w:rPr>
        <w:t>na</w:t>
      </w:r>
      <w:proofErr w:type="gramEnd"/>
      <w:r>
        <w:rPr>
          <w:rFonts w:ascii="Arial" w:eastAsia="Arial" w:hAnsi="Arial" w:cs="Arial"/>
          <w:color w:val="000000"/>
          <w:sz w:val="20"/>
        </w:rPr>
        <w:t xml:space="preserve"> která dodavatel navázal </w:t>
      </w:r>
      <w:r w:rsidR="003063C6">
        <w:rPr>
          <w:rFonts w:ascii="Arial" w:eastAsia="Arial" w:hAnsi="Arial" w:cs="Arial"/>
          <w:color w:val="000000"/>
          <w:sz w:val="20"/>
        </w:rPr>
        <w:t>čtyři</w:t>
      </w:r>
      <w:r>
        <w:rPr>
          <w:rFonts w:ascii="Arial" w:eastAsia="Arial" w:hAnsi="Arial" w:cs="Arial"/>
          <w:color w:val="000000"/>
          <w:sz w:val="20"/>
        </w:rPr>
        <w:t xml:space="preserve"> doporučení. Všechna doporučení byla ŘO IROP přijata jako relevantní. </w:t>
      </w:r>
      <w:r w:rsidR="00C57822">
        <w:rPr>
          <w:rFonts w:ascii="Arial" w:eastAsia="Arial" w:hAnsi="Arial" w:cs="Arial"/>
          <w:color w:val="000000"/>
          <w:sz w:val="20"/>
        </w:rPr>
        <w:br/>
      </w:r>
      <w:r>
        <w:rPr>
          <w:rFonts w:ascii="Arial" w:eastAsia="Arial" w:hAnsi="Arial" w:cs="Arial"/>
          <w:color w:val="000000"/>
          <w:sz w:val="20"/>
        </w:rPr>
        <w:t>K uvedenému zjištění týkající se IL je doporučeno, aby ŘO IROP při zpracování IL v příštím programovém období důsledněji postupoval dle Metodického pokynu zásady tvorby a používání indikáto</w:t>
      </w:r>
      <w:r w:rsidR="00C57822">
        <w:rPr>
          <w:rFonts w:ascii="Arial" w:eastAsia="Arial" w:hAnsi="Arial" w:cs="Arial"/>
          <w:color w:val="000000"/>
          <w:sz w:val="20"/>
        </w:rPr>
        <w:t xml:space="preserve">rů, pokud bude takový materiál </w:t>
      </w:r>
      <w:r>
        <w:rPr>
          <w:rFonts w:ascii="Arial" w:eastAsia="Arial" w:hAnsi="Arial" w:cs="Arial"/>
          <w:color w:val="000000"/>
          <w:sz w:val="20"/>
        </w:rPr>
        <w:t xml:space="preserve">k dispozici. Dále je doporučeno provést vícekolovou validaci IL jednotlivých </w:t>
      </w:r>
      <w:r w:rsidR="00C57822">
        <w:rPr>
          <w:rFonts w:ascii="Arial" w:eastAsia="Arial" w:hAnsi="Arial" w:cs="Arial"/>
          <w:color w:val="000000"/>
          <w:sz w:val="20"/>
        </w:rPr>
        <w:br/>
      </w:r>
      <w:r>
        <w:rPr>
          <w:rFonts w:ascii="Arial" w:eastAsia="Arial" w:hAnsi="Arial" w:cs="Arial"/>
          <w:color w:val="000000"/>
          <w:sz w:val="20"/>
        </w:rPr>
        <w:t>SC po obsahové i metodické stránce ze strany vedení ŘO i NOK. Hlavní zjištění u indikátorové sous</w:t>
      </w:r>
      <w:r w:rsidR="00C57822">
        <w:rPr>
          <w:rFonts w:ascii="Arial" w:eastAsia="Arial" w:hAnsi="Arial" w:cs="Arial"/>
          <w:color w:val="000000"/>
          <w:sz w:val="20"/>
        </w:rPr>
        <w:t xml:space="preserve">tavy </w:t>
      </w:r>
      <w:r w:rsidR="00C57822">
        <w:rPr>
          <w:rFonts w:ascii="Arial" w:eastAsia="Arial" w:hAnsi="Arial" w:cs="Arial"/>
          <w:color w:val="000000"/>
          <w:sz w:val="20"/>
        </w:rPr>
        <w:br/>
        <w:t xml:space="preserve">a výsledkových indikátorů </w:t>
      </w:r>
      <w:r>
        <w:rPr>
          <w:rFonts w:ascii="Arial" w:eastAsia="Arial" w:hAnsi="Arial" w:cs="Arial"/>
          <w:color w:val="000000"/>
          <w:sz w:val="20"/>
        </w:rPr>
        <w:t xml:space="preserve">se týkala průřezových nedostatků majících negativní vliv </w:t>
      </w:r>
      <w:proofErr w:type="gramStart"/>
      <w:r>
        <w:rPr>
          <w:rFonts w:ascii="Arial" w:eastAsia="Arial" w:hAnsi="Arial" w:cs="Arial"/>
          <w:color w:val="000000"/>
          <w:sz w:val="20"/>
        </w:rPr>
        <w:t>na</w:t>
      </w:r>
      <w:proofErr w:type="gramEnd"/>
      <w:r>
        <w:rPr>
          <w:rFonts w:ascii="Arial" w:eastAsia="Arial" w:hAnsi="Arial" w:cs="Arial"/>
          <w:color w:val="000000"/>
          <w:sz w:val="20"/>
        </w:rPr>
        <w:t xml:space="preserve"> komp</w:t>
      </w:r>
      <w:r w:rsidR="00C57822">
        <w:rPr>
          <w:rFonts w:ascii="Arial" w:eastAsia="Arial" w:hAnsi="Arial" w:cs="Arial"/>
          <w:color w:val="000000"/>
          <w:sz w:val="20"/>
        </w:rPr>
        <w:t xml:space="preserve">lexní vyhodnocení dopadů IROP. </w:t>
      </w:r>
      <w:r>
        <w:rPr>
          <w:rFonts w:ascii="Arial" w:eastAsia="Arial" w:hAnsi="Arial" w:cs="Arial"/>
          <w:color w:val="000000"/>
          <w:sz w:val="20"/>
        </w:rPr>
        <w:t>K daným zjištěním bylo v rámci současného programového období doporučeno posoudit návrhy k revizi indikátorové soustavy a tam, kde je to smysluplné, provést úprav</w:t>
      </w:r>
      <w:r w:rsidR="00C57822">
        <w:rPr>
          <w:rFonts w:ascii="Arial" w:eastAsia="Arial" w:hAnsi="Arial" w:cs="Arial"/>
          <w:color w:val="000000"/>
          <w:sz w:val="20"/>
        </w:rPr>
        <w:t xml:space="preserve">y. Ty by však neměly mít dopad </w:t>
      </w:r>
      <w:proofErr w:type="gramStart"/>
      <w:r>
        <w:rPr>
          <w:rFonts w:ascii="Arial" w:eastAsia="Arial" w:hAnsi="Arial" w:cs="Arial"/>
          <w:color w:val="000000"/>
          <w:sz w:val="20"/>
        </w:rPr>
        <w:t>na</w:t>
      </w:r>
      <w:proofErr w:type="gramEnd"/>
      <w:r>
        <w:rPr>
          <w:rFonts w:ascii="Arial" w:eastAsia="Arial" w:hAnsi="Arial" w:cs="Arial"/>
          <w:color w:val="000000"/>
          <w:sz w:val="20"/>
        </w:rPr>
        <w:t xml:space="preserve"> projektové indikátory. V novém období je doporučeno nastavit </w:t>
      </w:r>
      <w:r w:rsidR="00C57822">
        <w:rPr>
          <w:rFonts w:ascii="Arial" w:eastAsia="Arial" w:hAnsi="Arial" w:cs="Arial"/>
          <w:color w:val="000000"/>
          <w:sz w:val="20"/>
        </w:rPr>
        <w:t xml:space="preserve">systém pravidelného reportingu </w:t>
      </w:r>
      <w:r>
        <w:rPr>
          <w:rFonts w:ascii="Arial" w:eastAsia="Arial" w:hAnsi="Arial" w:cs="Arial"/>
          <w:color w:val="000000"/>
          <w:sz w:val="20"/>
        </w:rPr>
        <w:t xml:space="preserve">ze strany příjemců. A při nastavení indikátorové soustavy klást důraz </w:t>
      </w:r>
      <w:proofErr w:type="gramStart"/>
      <w:r>
        <w:rPr>
          <w:rFonts w:ascii="Arial" w:eastAsia="Arial" w:hAnsi="Arial" w:cs="Arial"/>
          <w:color w:val="000000"/>
          <w:sz w:val="20"/>
        </w:rPr>
        <w:t>na</w:t>
      </w:r>
      <w:proofErr w:type="gramEnd"/>
      <w:r>
        <w:rPr>
          <w:rFonts w:ascii="Arial" w:eastAsia="Arial" w:hAnsi="Arial" w:cs="Arial"/>
          <w:color w:val="000000"/>
          <w:sz w:val="20"/>
        </w:rPr>
        <w:t xml:space="preserve"> měření dopadů a na zohlednění externích vlivů. Hodnotitel doporučuje zejména doplnění indikátorů měřících dopad opatření </w:t>
      </w:r>
      <w:proofErr w:type="gramStart"/>
      <w:r>
        <w:rPr>
          <w:rFonts w:ascii="Arial" w:eastAsia="Arial" w:hAnsi="Arial" w:cs="Arial"/>
          <w:color w:val="000000"/>
          <w:sz w:val="20"/>
        </w:rPr>
        <w:t>na</w:t>
      </w:r>
      <w:proofErr w:type="gramEnd"/>
      <w:r>
        <w:rPr>
          <w:rFonts w:ascii="Arial" w:eastAsia="Arial" w:hAnsi="Arial" w:cs="Arial"/>
          <w:color w:val="000000"/>
          <w:sz w:val="20"/>
        </w:rPr>
        <w:t xml:space="preserve"> životní situaci podpořených osob a hodnocení kvality podpořených veřejných služeb. Pro část věnovanou datovým zdrojům hodnotitel formuloval tato doporučení: doplnit další zdroje sekundárních a primárních dat umožňující větší úplnost a kvalitu dat; data s nízkým hodnocením nahradit alternativními datovými zdroji, případně zajistit triangulaci dat; využívat zdroje dat umož</w:t>
      </w:r>
      <w:r w:rsidR="00C57822">
        <w:rPr>
          <w:rFonts w:ascii="Arial" w:eastAsia="Arial" w:hAnsi="Arial" w:cs="Arial"/>
          <w:color w:val="000000"/>
          <w:sz w:val="20"/>
        </w:rPr>
        <w:t xml:space="preserve">ňující požadovanou segmentaci. </w:t>
      </w:r>
      <w:r>
        <w:rPr>
          <w:rFonts w:ascii="Arial" w:eastAsia="Arial" w:hAnsi="Arial" w:cs="Arial"/>
          <w:color w:val="000000"/>
          <w:sz w:val="20"/>
        </w:rPr>
        <w:t>Na navržená doporučení bylo navázáno 9 úkolů, jejichž gestorem je od</w:t>
      </w:r>
      <w:r w:rsidR="00C57822">
        <w:rPr>
          <w:rFonts w:ascii="Arial" w:eastAsia="Arial" w:hAnsi="Arial" w:cs="Arial"/>
          <w:color w:val="000000"/>
          <w:sz w:val="20"/>
        </w:rPr>
        <w:t xml:space="preserve">dělení monitoringu </w:t>
      </w:r>
      <w:proofErr w:type="gramStart"/>
      <w:r w:rsidR="00C57822">
        <w:rPr>
          <w:rFonts w:ascii="Arial" w:eastAsia="Arial" w:hAnsi="Arial" w:cs="Arial"/>
          <w:color w:val="000000"/>
          <w:sz w:val="20"/>
        </w:rPr>
        <w:t>a</w:t>
      </w:r>
      <w:proofErr w:type="gramEnd"/>
      <w:r w:rsidR="00C57822">
        <w:rPr>
          <w:rFonts w:ascii="Arial" w:eastAsia="Arial" w:hAnsi="Arial" w:cs="Arial"/>
          <w:color w:val="000000"/>
          <w:sz w:val="20"/>
        </w:rPr>
        <w:t xml:space="preserve"> evaluací. </w:t>
      </w:r>
      <w:r>
        <w:rPr>
          <w:rFonts w:ascii="Arial" w:eastAsia="Arial" w:hAnsi="Arial" w:cs="Arial"/>
          <w:color w:val="000000"/>
          <w:sz w:val="20"/>
        </w:rPr>
        <w:t>V realizaci jsou již 4 úkoly, dalších 5 je v přípravě.</w:t>
      </w:r>
      <w:r>
        <w:br/>
      </w:r>
    </w:p>
    <w:p w14:paraId="570F285B" w14:textId="77777777" w:rsidR="001E346B" w:rsidRDefault="001E346B" w:rsidP="001E346B">
      <w:pPr>
        <w:spacing w:after="120" w:line="360" w:lineRule="auto"/>
        <w:ind w:right="121"/>
        <w:rPr>
          <w:rFonts w:ascii="Arial" w:eastAsia="Arial" w:hAnsi="Arial" w:cs="Arial"/>
          <w:color w:val="000000"/>
          <w:sz w:val="20"/>
        </w:rPr>
      </w:pPr>
      <w:r w:rsidRPr="002B5F4E">
        <w:rPr>
          <w:rFonts w:ascii="Arial" w:eastAsia="Arial" w:hAnsi="Arial" w:cs="Arial"/>
          <w:b/>
          <w:color w:val="000000"/>
          <w:sz w:val="20"/>
        </w:rPr>
        <w:t>Název evaluace: Evaluace plnění priorit a specifických cílů IROP II.</w:t>
      </w:r>
      <w:r>
        <w:br/>
      </w:r>
      <w:r>
        <w:rPr>
          <w:rFonts w:ascii="Arial" w:eastAsia="Arial" w:hAnsi="Arial" w:cs="Arial"/>
          <w:color w:val="000000"/>
          <w:sz w:val="20"/>
        </w:rPr>
        <w:t>Kód evaluace: 06.009</w:t>
      </w:r>
      <w:r>
        <w:br/>
      </w:r>
      <w:r>
        <w:rPr>
          <w:rFonts w:ascii="Arial" w:eastAsia="Arial" w:hAnsi="Arial" w:cs="Arial"/>
          <w:color w:val="000000"/>
          <w:sz w:val="20"/>
        </w:rPr>
        <w:t xml:space="preserve">Cíl evaluace: Evaluace plnění priorit a specifických cílů IROP II. </w:t>
      </w:r>
      <w:proofErr w:type="gramStart"/>
      <w:r>
        <w:rPr>
          <w:rFonts w:ascii="Arial" w:eastAsia="Arial" w:hAnsi="Arial" w:cs="Arial"/>
          <w:color w:val="000000"/>
          <w:sz w:val="20"/>
        </w:rPr>
        <w:t>je</w:t>
      </w:r>
      <w:proofErr w:type="gramEnd"/>
      <w:r>
        <w:rPr>
          <w:rFonts w:ascii="Arial" w:eastAsia="Arial" w:hAnsi="Arial" w:cs="Arial"/>
          <w:color w:val="000000"/>
          <w:sz w:val="20"/>
        </w:rPr>
        <w:t xml:space="preserve"> komentovaným monitoringem pokroku implementace IROP. Jedná se o aktualizovanou verzi Evaluace plnění priorit a specifických cílů IROP z roku 2017. V rámci této etapy byla zpracována zpráva Vyhodnocení plnění specifických cílů IROP 2019 </w:t>
      </w:r>
      <w:proofErr w:type="gramStart"/>
      <w:r>
        <w:rPr>
          <w:rFonts w:ascii="Arial" w:eastAsia="Arial" w:hAnsi="Arial" w:cs="Arial"/>
          <w:color w:val="000000"/>
          <w:sz w:val="20"/>
        </w:rPr>
        <w:t>na</w:t>
      </w:r>
      <w:proofErr w:type="gramEnd"/>
      <w:r>
        <w:rPr>
          <w:rFonts w:ascii="Arial" w:eastAsia="Arial" w:hAnsi="Arial" w:cs="Arial"/>
          <w:color w:val="000000"/>
          <w:sz w:val="20"/>
        </w:rPr>
        <w:t xml:space="preserve"> datech k 31. 12. 2018. </w:t>
      </w:r>
    </w:p>
    <w:p w14:paraId="232E848D" w14:textId="77777777" w:rsidR="00C57822" w:rsidRDefault="00C57822">
      <w:pPr>
        <w:rPr>
          <w:rFonts w:ascii="Arial" w:eastAsia="Arial" w:hAnsi="Arial" w:cs="Arial"/>
          <w:color w:val="000000"/>
          <w:sz w:val="20"/>
        </w:rPr>
      </w:pPr>
      <w:r>
        <w:rPr>
          <w:rFonts w:ascii="Arial" w:eastAsia="Arial" w:hAnsi="Arial" w:cs="Arial"/>
          <w:color w:val="000000"/>
          <w:sz w:val="20"/>
        </w:rPr>
        <w:br w:type="page"/>
      </w:r>
    </w:p>
    <w:p w14:paraId="7B8C098A" w14:textId="1A575397" w:rsidR="001E346B" w:rsidRDefault="001E346B" w:rsidP="001E346B">
      <w:pPr>
        <w:spacing w:after="120" w:line="360" w:lineRule="auto"/>
        <w:ind w:right="121"/>
        <w:rPr>
          <w:rFonts w:ascii="Arial" w:eastAsia="Arial" w:hAnsi="Arial" w:cs="Arial"/>
          <w:color w:val="000000"/>
          <w:sz w:val="20"/>
        </w:rPr>
      </w:pPr>
      <w:r>
        <w:rPr>
          <w:rFonts w:ascii="Arial" w:eastAsia="Arial" w:hAnsi="Arial" w:cs="Arial"/>
          <w:color w:val="000000"/>
          <w:sz w:val="20"/>
        </w:rPr>
        <w:t>Doba realizace (období): 4.3.2019-31.5.2019</w:t>
      </w:r>
      <w:r>
        <w:br/>
      </w:r>
      <w:r>
        <w:rPr>
          <w:rFonts w:ascii="Arial" w:eastAsia="Arial" w:hAnsi="Arial" w:cs="Arial"/>
          <w:color w:val="000000"/>
          <w:sz w:val="20"/>
        </w:rPr>
        <w:t xml:space="preserve">Typ evaluace: interní </w:t>
      </w:r>
      <w:r>
        <w:br/>
      </w:r>
      <w:r>
        <w:rPr>
          <w:rFonts w:ascii="Arial" w:eastAsia="Arial" w:hAnsi="Arial" w:cs="Arial"/>
          <w:color w:val="000000"/>
          <w:sz w:val="20"/>
        </w:rPr>
        <w:t>Zpracovatel: ŘO IROP-EJ</w:t>
      </w:r>
      <w:r>
        <w:br/>
      </w:r>
      <w:r>
        <w:rPr>
          <w:rFonts w:ascii="Arial" w:eastAsia="Arial" w:hAnsi="Arial" w:cs="Arial"/>
          <w:color w:val="000000"/>
          <w:sz w:val="20"/>
        </w:rPr>
        <w:t>Název zprávy: Vyhodnocení plnění specifických cílů IROP 2019</w:t>
      </w:r>
      <w:r>
        <w:br/>
      </w:r>
      <w:r>
        <w:rPr>
          <w:rFonts w:ascii="Arial" w:eastAsia="Arial" w:hAnsi="Arial" w:cs="Arial"/>
          <w:color w:val="000000"/>
          <w:sz w:val="20"/>
        </w:rPr>
        <w:t xml:space="preserve">Odkaz </w:t>
      </w:r>
      <w:proofErr w:type="gramStart"/>
      <w:r>
        <w:rPr>
          <w:rFonts w:ascii="Arial" w:eastAsia="Arial" w:hAnsi="Arial" w:cs="Arial"/>
          <w:color w:val="000000"/>
          <w:sz w:val="20"/>
        </w:rPr>
        <w:t>na</w:t>
      </w:r>
      <w:proofErr w:type="gramEnd"/>
      <w:r>
        <w:rPr>
          <w:rFonts w:ascii="Arial" w:eastAsia="Arial" w:hAnsi="Arial" w:cs="Arial"/>
          <w:color w:val="000000"/>
          <w:sz w:val="20"/>
        </w:rPr>
        <w:t xml:space="preserve"> umístění výstupů: https://www.irop.mmr.cz/cs/Zadatele-a-prijemci/Dokumenty/Ostatni-dokumenty-v-IROP/Evaluace-IROP/Evaluace-IROP-2019/Vyhodnoceni-plneni-specifickych-cilu-Integrovaneho</w:t>
      </w:r>
    </w:p>
    <w:p w14:paraId="4656F535" w14:textId="77777777" w:rsidR="001E346B" w:rsidRDefault="001E346B" w:rsidP="001E346B">
      <w:pPr>
        <w:spacing w:after="120" w:line="360" w:lineRule="auto"/>
        <w:ind w:right="121"/>
        <w:jc w:val="both"/>
      </w:pPr>
      <w:r>
        <w:rPr>
          <w:rFonts w:ascii="Arial" w:eastAsia="Arial" w:hAnsi="Arial" w:cs="Arial"/>
          <w:color w:val="000000"/>
          <w:sz w:val="20"/>
        </w:rPr>
        <w:t xml:space="preserve">Hlavní zjištění: Lze konstatovat, že vzhledem k zaměření programu </w:t>
      </w:r>
      <w:proofErr w:type="gramStart"/>
      <w:r>
        <w:rPr>
          <w:rFonts w:ascii="Arial" w:eastAsia="Arial" w:hAnsi="Arial" w:cs="Arial"/>
          <w:color w:val="000000"/>
          <w:sz w:val="20"/>
        </w:rPr>
        <w:t>na</w:t>
      </w:r>
      <w:proofErr w:type="gramEnd"/>
      <w:r>
        <w:rPr>
          <w:rFonts w:ascii="Arial" w:eastAsia="Arial" w:hAnsi="Arial" w:cs="Arial"/>
          <w:color w:val="000000"/>
          <w:sz w:val="20"/>
        </w:rPr>
        <w:t xml:space="preserve"> budování infrastruktury, </w:t>
      </w:r>
      <w:r>
        <w:rPr>
          <w:rFonts w:ascii="Arial" w:eastAsia="Arial" w:hAnsi="Arial" w:cs="Arial"/>
          <w:color w:val="000000"/>
          <w:sz w:val="20"/>
        </w:rPr>
        <w:br/>
        <w:t xml:space="preserve">se napříč podporovanými oblastmi významně lišila rychlost realizace projektů. Zatímco poměrně rychle byly dokončovány projekty, jejichž obsahem byl nákup (vybavení či budov), v ostatních oblastech, zaměřených  na stavební projekty, znamenal rok 2019 vrcholnou realizační fázi tohoto programového období. V rámci aktivit byl mezi žadateli/příjemci evidován přetrvávající zájem o prostředky </w:t>
      </w:r>
      <w:proofErr w:type="gramStart"/>
      <w:r>
        <w:rPr>
          <w:rFonts w:ascii="Arial" w:eastAsia="Arial" w:hAnsi="Arial" w:cs="Arial"/>
          <w:color w:val="000000"/>
          <w:sz w:val="20"/>
        </w:rPr>
        <w:t>na</w:t>
      </w:r>
      <w:proofErr w:type="gramEnd"/>
      <w:r>
        <w:rPr>
          <w:rFonts w:ascii="Arial" w:eastAsia="Arial" w:hAnsi="Arial" w:cs="Arial"/>
          <w:color w:val="000000"/>
          <w:sz w:val="20"/>
        </w:rPr>
        <w:t xml:space="preserve"> rekonstrukci silnic. Nadměrný zájem byl o aktivity směřující ke zvýšení kvality a dostupnosti infrastruktury pro vzdělávání a celoživotní učení. Došlo k podpoření trojnásobku plánovaného počtu zařízení. Realizované projekty řeší např. </w:t>
      </w:r>
      <w:proofErr w:type="gramStart"/>
      <w:r>
        <w:rPr>
          <w:rFonts w:ascii="Arial" w:eastAsia="Arial" w:hAnsi="Arial" w:cs="Arial"/>
          <w:color w:val="000000"/>
          <w:sz w:val="20"/>
        </w:rPr>
        <w:t>nedostatečné</w:t>
      </w:r>
      <w:proofErr w:type="gramEnd"/>
      <w:r>
        <w:rPr>
          <w:rFonts w:ascii="Arial" w:eastAsia="Arial" w:hAnsi="Arial" w:cs="Arial"/>
          <w:color w:val="000000"/>
          <w:sz w:val="20"/>
        </w:rPr>
        <w:t xml:space="preserve"> kapacity MŠ. Byl identifikován i významný zájem o oblast obnovy a rozvoje kulturního dědictví, kde jsou realizovány rozsáhlé a složité projekty. Zájem žadatelů o tuto aktivitu převyšuje možnosti OP. </w:t>
      </w:r>
      <w:r>
        <w:rPr>
          <w:rFonts w:ascii="Arial" w:eastAsia="Arial" w:hAnsi="Arial" w:cs="Arial"/>
          <w:color w:val="000000"/>
          <w:sz w:val="20"/>
        </w:rPr>
        <w:br/>
        <w:t>I přes pomalejší rozjezd žádostí o podporu v oblasti počtu domácností s lépe klasifikovanou spotřebou energie, posléze odpovídá postup realizace předpokladům, významný je příspěvek ke snížení emisí skleníkových plynů. Naopak poměrně nízký se ukázal zájem žadatelů o podporu deinstitucionalizace psychiatrické péče.</w:t>
      </w:r>
    </w:p>
    <w:p w14:paraId="1109D8AF" w14:textId="77777777" w:rsidR="001E346B" w:rsidRDefault="001E346B" w:rsidP="001E346B">
      <w:pPr>
        <w:spacing w:after="120" w:line="360" w:lineRule="auto"/>
        <w:ind w:right="121"/>
        <w:jc w:val="both"/>
        <w:rPr>
          <w:rFonts w:ascii="Arial" w:eastAsia="Arial" w:hAnsi="Arial" w:cs="Arial"/>
          <w:color w:val="000000"/>
          <w:sz w:val="20"/>
        </w:rPr>
      </w:pPr>
      <w:r>
        <w:rPr>
          <w:rFonts w:ascii="Arial" w:eastAsia="Arial" w:hAnsi="Arial" w:cs="Arial"/>
          <w:color w:val="000000"/>
          <w:sz w:val="20"/>
        </w:rPr>
        <w:t xml:space="preserve">Doporučení </w:t>
      </w:r>
      <w:proofErr w:type="gramStart"/>
      <w:r>
        <w:rPr>
          <w:rFonts w:ascii="Arial" w:eastAsia="Arial" w:hAnsi="Arial" w:cs="Arial"/>
          <w:color w:val="000000"/>
          <w:sz w:val="20"/>
        </w:rPr>
        <w:t>a</w:t>
      </w:r>
      <w:proofErr w:type="gramEnd"/>
      <w:r>
        <w:rPr>
          <w:rFonts w:ascii="Arial" w:eastAsia="Arial" w:hAnsi="Arial" w:cs="Arial"/>
          <w:color w:val="000000"/>
          <w:sz w:val="20"/>
        </w:rPr>
        <w:t xml:space="preserve"> úkoly: Jednalo se o komentovaný monitoring pokroku implementace IROP, tudíž ze zprávy nevzešla žádná doporučení.</w:t>
      </w:r>
    </w:p>
    <w:p w14:paraId="41CA70AA" w14:textId="77777777" w:rsidR="001E346B" w:rsidRDefault="001E346B" w:rsidP="001E346B">
      <w:pPr>
        <w:spacing w:line="360" w:lineRule="auto"/>
        <w:rPr>
          <w:rFonts w:ascii="Arial" w:eastAsia="Arial" w:hAnsi="Arial" w:cs="Arial"/>
          <w:color w:val="000000"/>
          <w:sz w:val="20"/>
        </w:rPr>
      </w:pPr>
      <w:r w:rsidRPr="002B5F4E">
        <w:rPr>
          <w:rFonts w:ascii="Arial" w:eastAsia="Arial" w:hAnsi="Arial" w:cs="Arial"/>
          <w:b/>
          <w:color w:val="000000"/>
          <w:sz w:val="20"/>
        </w:rPr>
        <w:t>Název (etapizované) evaluace: Analýza absorpční kapacity IROP 2019</w:t>
      </w:r>
      <w:r>
        <w:br/>
      </w:r>
      <w:r>
        <w:rPr>
          <w:rFonts w:ascii="Arial" w:eastAsia="Arial" w:hAnsi="Arial" w:cs="Arial"/>
          <w:color w:val="000000"/>
          <w:sz w:val="20"/>
        </w:rPr>
        <w:t>Kód evaluace: 06.001.04</w:t>
      </w:r>
      <w:r>
        <w:br/>
      </w:r>
      <w:r>
        <w:rPr>
          <w:rFonts w:ascii="Arial" w:eastAsia="Arial" w:hAnsi="Arial" w:cs="Arial"/>
          <w:color w:val="000000"/>
          <w:sz w:val="20"/>
        </w:rPr>
        <w:t xml:space="preserve">Cíl evaluace: Cílem analýzy je poskytnout každoročně aktualizovanou a ucelenou informaci o stavu absorpční kapacity v jednotlivých SC OP. Aktuální verze analýzy z roku 2019 je z větší části zaměřená sumativně, tj. </w:t>
      </w:r>
      <w:proofErr w:type="gramStart"/>
      <w:r>
        <w:rPr>
          <w:rFonts w:ascii="Arial" w:eastAsia="Arial" w:hAnsi="Arial" w:cs="Arial"/>
          <w:color w:val="000000"/>
          <w:sz w:val="20"/>
        </w:rPr>
        <w:t>na</w:t>
      </w:r>
      <w:proofErr w:type="gramEnd"/>
      <w:r>
        <w:rPr>
          <w:rFonts w:ascii="Arial" w:eastAsia="Arial" w:hAnsi="Arial" w:cs="Arial"/>
          <w:color w:val="000000"/>
          <w:sz w:val="20"/>
        </w:rPr>
        <w:t xml:space="preserve"> přehledy naplnění jednotlivých SC projekty, protože hledání a monitorování stavu absorpční kapacity v tomto stádiu programu ztrácí na důležitosti. Naopak bylo nutné soustředit se </w:t>
      </w:r>
      <w:proofErr w:type="gramStart"/>
      <w:r>
        <w:rPr>
          <w:rFonts w:ascii="Arial" w:eastAsia="Arial" w:hAnsi="Arial" w:cs="Arial"/>
          <w:color w:val="000000"/>
          <w:sz w:val="20"/>
        </w:rPr>
        <w:t>na</w:t>
      </w:r>
      <w:proofErr w:type="gramEnd"/>
      <w:r>
        <w:rPr>
          <w:rFonts w:ascii="Arial" w:eastAsia="Arial" w:hAnsi="Arial" w:cs="Arial"/>
          <w:color w:val="000000"/>
          <w:sz w:val="20"/>
        </w:rPr>
        <w:t xml:space="preserve"> monitoring realizace projektů, s čímž souvisí např. </w:t>
      </w:r>
      <w:proofErr w:type="gramStart"/>
      <w:r>
        <w:rPr>
          <w:rFonts w:ascii="Arial" w:eastAsia="Arial" w:hAnsi="Arial" w:cs="Arial"/>
          <w:color w:val="000000"/>
          <w:sz w:val="20"/>
        </w:rPr>
        <w:t>zjišťování</w:t>
      </w:r>
      <w:proofErr w:type="gramEnd"/>
      <w:r>
        <w:rPr>
          <w:rFonts w:ascii="Arial" w:eastAsia="Arial" w:hAnsi="Arial" w:cs="Arial"/>
          <w:color w:val="000000"/>
          <w:sz w:val="20"/>
        </w:rPr>
        <w:t xml:space="preserve"> bariér, které ohrožují jejich efektivní realizaci. </w:t>
      </w:r>
      <w:r>
        <w:br/>
      </w:r>
      <w:r>
        <w:rPr>
          <w:rFonts w:ascii="Arial" w:eastAsia="Arial" w:hAnsi="Arial" w:cs="Arial"/>
          <w:color w:val="000000"/>
          <w:sz w:val="20"/>
        </w:rPr>
        <w:t>Doba realizace (období): 10.3.2019-28.6.2019</w:t>
      </w:r>
      <w:r>
        <w:br/>
      </w:r>
      <w:r>
        <w:rPr>
          <w:rFonts w:ascii="Arial" w:eastAsia="Arial" w:hAnsi="Arial" w:cs="Arial"/>
          <w:color w:val="000000"/>
          <w:sz w:val="20"/>
        </w:rPr>
        <w:t>Typ evaluace: interní</w:t>
      </w:r>
      <w:r>
        <w:br/>
      </w:r>
      <w:r>
        <w:rPr>
          <w:rFonts w:ascii="Arial" w:eastAsia="Arial" w:hAnsi="Arial" w:cs="Arial"/>
          <w:color w:val="000000"/>
          <w:sz w:val="20"/>
        </w:rPr>
        <w:t xml:space="preserve">Zpracovatel: ŘO IROP-EJ </w:t>
      </w:r>
      <w:r>
        <w:br/>
      </w:r>
      <w:r>
        <w:rPr>
          <w:rFonts w:ascii="Arial" w:eastAsia="Arial" w:hAnsi="Arial" w:cs="Arial"/>
          <w:color w:val="000000"/>
          <w:sz w:val="20"/>
        </w:rPr>
        <w:t>Název zprávy: Analýza absorpční kapacity IROP 2019</w:t>
      </w:r>
      <w:r>
        <w:br/>
      </w:r>
      <w:r>
        <w:rPr>
          <w:rFonts w:ascii="Arial" w:eastAsia="Arial" w:hAnsi="Arial" w:cs="Arial"/>
          <w:color w:val="000000"/>
          <w:sz w:val="20"/>
        </w:rPr>
        <w:t xml:space="preserve">Odkaz </w:t>
      </w:r>
      <w:proofErr w:type="gramStart"/>
      <w:r>
        <w:rPr>
          <w:rFonts w:ascii="Arial" w:eastAsia="Arial" w:hAnsi="Arial" w:cs="Arial"/>
          <w:color w:val="000000"/>
          <w:sz w:val="20"/>
        </w:rPr>
        <w:t>na</w:t>
      </w:r>
      <w:proofErr w:type="gramEnd"/>
      <w:r>
        <w:rPr>
          <w:rFonts w:ascii="Arial" w:eastAsia="Arial" w:hAnsi="Arial" w:cs="Arial"/>
          <w:color w:val="000000"/>
          <w:sz w:val="20"/>
        </w:rPr>
        <w:t xml:space="preserve"> umístění výstupů: https://www.irop.mmr.cz/cs/Zadatele-a-prijemci/Dokumenty/Ostatni-dokumenty-v-IROP/Evaluace-IROP/Analyzy-absorpcni-kapacity-IROP/Analyza-absorpcni-kapacity-IROP-2019</w:t>
      </w:r>
      <w:r>
        <w:br/>
      </w:r>
    </w:p>
    <w:p w14:paraId="0E51015A" w14:textId="77777777" w:rsidR="001E346B" w:rsidRDefault="001E346B" w:rsidP="001E346B">
      <w:pPr>
        <w:rPr>
          <w:rFonts w:ascii="Arial" w:eastAsia="Arial" w:hAnsi="Arial" w:cs="Arial"/>
          <w:color w:val="000000"/>
          <w:sz w:val="20"/>
        </w:rPr>
      </w:pPr>
      <w:r>
        <w:rPr>
          <w:rFonts w:ascii="Arial" w:eastAsia="Arial" w:hAnsi="Arial" w:cs="Arial"/>
          <w:color w:val="000000"/>
          <w:sz w:val="20"/>
        </w:rPr>
        <w:br w:type="page"/>
      </w:r>
    </w:p>
    <w:p w14:paraId="54AD9A22" w14:textId="77777777" w:rsidR="001E346B" w:rsidRDefault="001E346B" w:rsidP="001E346B">
      <w:pPr>
        <w:spacing w:line="360" w:lineRule="auto"/>
        <w:jc w:val="both"/>
        <w:rPr>
          <w:rFonts w:ascii="Arial" w:eastAsia="Arial" w:hAnsi="Arial" w:cs="Arial"/>
          <w:color w:val="000000"/>
          <w:sz w:val="20"/>
        </w:rPr>
      </w:pPr>
      <w:r>
        <w:rPr>
          <w:rFonts w:ascii="Arial" w:eastAsia="Arial" w:hAnsi="Arial" w:cs="Arial"/>
          <w:color w:val="000000"/>
          <w:sz w:val="20"/>
        </w:rPr>
        <w:t xml:space="preserve">Hlavní zjištění: Meziročně došlo v IROP k urychlení pozitivního vývoje čerpání, to se projevilo dalším nárůstem žádostí o podporu, z objemu EFRR 72 % v roce 2018 na 99 % alokace celého programu v roce 2019. Největší meziroční nárůst žádostí o podporu byl zaznamenán v PO1. </w:t>
      </w:r>
    </w:p>
    <w:p w14:paraId="22FEEC49" w14:textId="77777777" w:rsidR="001E346B" w:rsidRDefault="001E346B" w:rsidP="001E346B">
      <w:pPr>
        <w:spacing w:line="360" w:lineRule="auto"/>
        <w:jc w:val="both"/>
        <w:rPr>
          <w:rFonts w:ascii="Arial" w:eastAsia="Arial" w:hAnsi="Arial" w:cs="Arial"/>
          <w:color w:val="000000"/>
          <w:sz w:val="20"/>
        </w:rPr>
      </w:pPr>
      <w:r>
        <w:rPr>
          <w:rFonts w:ascii="Arial" w:eastAsia="Arial" w:hAnsi="Arial" w:cs="Arial"/>
          <w:color w:val="000000"/>
          <w:sz w:val="20"/>
        </w:rPr>
        <w:t>Porovnání meziročního počtu dokončených projektů ukázalo, že největší nárůst v dokončování projektů nastal v PO2, kde bylo v průběhu jednoho roku fyzicky ukončeno 1026 projektů. Vzhledem ke zmíněným objemům lze očekávat, že dynamika programu bude v roce 2019 dosahovat vrcholu a těžiště činností se v následujících letech přesune k fyzické realizaci a dokončování projektů. Z pohledu plnění cílů programu nejsou v dlouhodobém horizontu známy žádné překážky.</w:t>
      </w:r>
    </w:p>
    <w:p w14:paraId="28BB6F82" w14:textId="12BECDF6" w:rsidR="001E346B" w:rsidRDefault="001E346B" w:rsidP="001E346B">
      <w:pPr>
        <w:spacing w:line="360" w:lineRule="auto"/>
        <w:jc w:val="both"/>
        <w:rPr>
          <w:rFonts w:ascii="Arial" w:eastAsia="Arial" w:hAnsi="Arial" w:cs="Arial"/>
          <w:color w:val="000000"/>
          <w:sz w:val="20"/>
        </w:rPr>
      </w:pPr>
      <w:r>
        <w:rPr>
          <w:rFonts w:ascii="Arial" w:eastAsia="Arial" w:hAnsi="Arial" w:cs="Arial"/>
          <w:color w:val="000000"/>
          <w:sz w:val="20"/>
        </w:rPr>
        <w:t xml:space="preserve">Doporučení </w:t>
      </w:r>
      <w:proofErr w:type="gramStart"/>
      <w:r>
        <w:rPr>
          <w:rFonts w:ascii="Arial" w:eastAsia="Arial" w:hAnsi="Arial" w:cs="Arial"/>
          <w:color w:val="000000"/>
          <w:sz w:val="20"/>
        </w:rPr>
        <w:t>a</w:t>
      </w:r>
      <w:proofErr w:type="gramEnd"/>
      <w:r>
        <w:rPr>
          <w:rFonts w:ascii="Arial" w:eastAsia="Arial" w:hAnsi="Arial" w:cs="Arial"/>
          <w:color w:val="000000"/>
          <w:sz w:val="20"/>
        </w:rPr>
        <w:t xml:space="preserve"> úkoly: Na základě Analýzy absorpční kapacity 2019 nebyla formulována žádná doporučení, ani úkoly.</w:t>
      </w:r>
    </w:p>
    <w:p w14:paraId="3CF00400" w14:textId="77777777" w:rsidR="001E346B" w:rsidRDefault="001E346B" w:rsidP="001E346B">
      <w:pPr>
        <w:spacing w:line="360" w:lineRule="auto"/>
        <w:jc w:val="both"/>
        <w:rPr>
          <w:rFonts w:ascii="Arial" w:eastAsia="Arial" w:hAnsi="Arial" w:cs="Arial"/>
          <w:color w:val="000000"/>
          <w:sz w:val="20"/>
        </w:rPr>
      </w:pPr>
    </w:p>
    <w:p w14:paraId="5AD95FD2" w14:textId="77777777" w:rsidR="001E346B" w:rsidRPr="002F069A" w:rsidRDefault="001E346B" w:rsidP="001E346B">
      <w:pPr>
        <w:spacing w:line="360" w:lineRule="auto"/>
      </w:pPr>
      <w:r w:rsidRPr="002F069A">
        <w:rPr>
          <w:rFonts w:ascii="Arial" w:eastAsia="Arial" w:hAnsi="Arial" w:cs="Arial"/>
          <w:color w:val="000000"/>
          <w:sz w:val="20"/>
        </w:rPr>
        <w:t>(</w:t>
      </w:r>
      <w:r w:rsidRPr="002F069A">
        <w:rPr>
          <w:rFonts w:ascii="Arial" w:eastAsia="Arial" w:hAnsi="Arial" w:cs="Arial"/>
          <w:b/>
          <w:bCs/>
          <w:color w:val="000000"/>
          <w:sz w:val="20"/>
        </w:rPr>
        <w:t>Sebe</w:t>
      </w:r>
      <w:proofErr w:type="gramStart"/>
      <w:r w:rsidRPr="002F069A">
        <w:rPr>
          <w:rFonts w:ascii="Arial" w:eastAsia="Arial" w:hAnsi="Arial" w:cs="Arial"/>
          <w:b/>
          <w:bCs/>
          <w:color w:val="000000"/>
          <w:sz w:val="20"/>
        </w:rPr>
        <w:t>)evaluace</w:t>
      </w:r>
      <w:proofErr w:type="gramEnd"/>
      <w:r w:rsidRPr="002F069A">
        <w:rPr>
          <w:rFonts w:ascii="Arial" w:eastAsia="Arial" w:hAnsi="Arial" w:cs="Arial"/>
          <w:b/>
          <w:bCs/>
          <w:color w:val="000000"/>
          <w:sz w:val="20"/>
        </w:rPr>
        <w:t xml:space="preserve"> CLLD a ITI</w:t>
      </w:r>
    </w:p>
    <w:p w14:paraId="39B1908A" w14:textId="2AD61944" w:rsidR="001E346B" w:rsidRDefault="001E346B" w:rsidP="001E346B">
      <w:pPr>
        <w:spacing w:line="360" w:lineRule="auto"/>
        <w:jc w:val="both"/>
        <w:rPr>
          <w:rFonts w:ascii="Arial" w:eastAsia="Arial" w:hAnsi="Arial" w:cs="Arial"/>
          <w:color w:val="000000"/>
          <w:sz w:val="20"/>
        </w:rPr>
      </w:pPr>
      <w:r w:rsidRPr="002F069A">
        <w:rPr>
          <w:rFonts w:ascii="Arial" w:eastAsia="Arial" w:hAnsi="Arial" w:cs="Arial"/>
          <w:color w:val="000000"/>
          <w:sz w:val="20"/>
        </w:rPr>
        <w:t>V roce 2019 byly pod metodickým vedení MMR-ORP ve spolupráci s MMR-NOK realizovány (sebe</w:t>
      </w:r>
      <w:proofErr w:type="gramStart"/>
      <w:r w:rsidRPr="002F069A">
        <w:rPr>
          <w:rFonts w:ascii="Arial" w:eastAsia="Arial" w:hAnsi="Arial" w:cs="Arial"/>
          <w:color w:val="000000"/>
          <w:sz w:val="20"/>
        </w:rPr>
        <w:t>)evaluace</w:t>
      </w:r>
      <w:proofErr w:type="gramEnd"/>
      <w:r w:rsidRPr="002F069A">
        <w:rPr>
          <w:rFonts w:ascii="Arial" w:eastAsia="Arial" w:hAnsi="Arial" w:cs="Arial"/>
          <w:color w:val="000000"/>
          <w:sz w:val="20"/>
        </w:rPr>
        <w:t xml:space="preserve"> CLLD a ITI. </w:t>
      </w:r>
      <w:r>
        <w:rPr>
          <w:rFonts w:ascii="Arial" w:eastAsia="Arial" w:hAnsi="Arial" w:cs="Arial"/>
          <w:color w:val="000000"/>
          <w:sz w:val="20"/>
        </w:rPr>
        <w:t>Nejednalo se o evaluační aktivitu ŘO IROP, i když (sebe</w:t>
      </w:r>
      <w:proofErr w:type="gramStart"/>
      <w:r>
        <w:rPr>
          <w:rFonts w:ascii="Arial" w:eastAsia="Arial" w:hAnsi="Arial" w:cs="Arial"/>
          <w:color w:val="000000"/>
          <w:sz w:val="20"/>
        </w:rPr>
        <w:t>)evaluace</w:t>
      </w:r>
      <w:proofErr w:type="gramEnd"/>
      <w:r>
        <w:rPr>
          <w:rFonts w:ascii="Arial" w:eastAsia="Arial" w:hAnsi="Arial" w:cs="Arial"/>
          <w:color w:val="000000"/>
          <w:sz w:val="20"/>
        </w:rPr>
        <w:t xml:space="preserve"> CLLD byly finančně podpořeny v rámci SC 4.2 IROP. </w:t>
      </w:r>
      <w:r w:rsidRPr="002F069A">
        <w:rPr>
          <w:rFonts w:ascii="Arial" w:eastAsia="Arial" w:hAnsi="Arial" w:cs="Arial"/>
          <w:color w:val="000000"/>
          <w:sz w:val="20"/>
        </w:rPr>
        <w:t xml:space="preserve">Evaluace byly zpracovány </w:t>
      </w:r>
      <w:proofErr w:type="gramStart"/>
      <w:r w:rsidRPr="002F069A">
        <w:rPr>
          <w:rFonts w:ascii="Arial" w:eastAsia="Arial" w:hAnsi="Arial" w:cs="Arial"/>
          <w:color w:val="000000"/>
          <w:sz w:val="20"/>
        </w:rPr>
        <w:t>na</w:t>
      </w:r>
      <w:proofErr w:type="gramEnd"/>
      <w:r w:rsidRPr="002F069A">
        <w:rPr>
          <w:rFonts w:ascii="Arial" w:eastAsia="Arial" w:hAnsi="Arial" w:cs="Arial"/>
          <w:color w:val="000000"/>
          <w:sz w:val="20"/>
        </w:rPr>
        <w:t xml:space="preserve"> datech k 31. 12. 2018, byly zaměřeny </w:t>
      </w:r>
      <w:proofErr w:type="gramStart"/>
      <w:r w:rsidRPr="002F069A">
        <w:rPr>
          <w:rFonts w:ascii="Arial" w:eastAsia="Arial" w:hAnsi="Arial" w:cs="Arial"/>
          <w:color w:val="000000"/>
          <w:sz w:val="20"/>
        </w:rPr>
        <w:t>na</w:t>
      </w:r>
      <w:proofErr w:type="gramEnd"/>
      <w:r w:rsidRPr="002F069A">
        <w:rPr>
          <w:rFonts w:ascii="Arial" w:eastAsia="Arial" w:hAnsi="Arial" w:cs="Arial"/>
          <w:color w:val="000000"/>
          <w:sz w:val="20"/>
        </w:rPr>
        <w:t xml:space="preserve"> proces implementace (např. vyhlašování výzev</w:t>
      </w:r>
      <w:r>
        <w:rPr>
          <w:rFonts w:ascii="Arial" w:eastAsia="Arial" w:hAnsi="Arial" w:cs="Arial"/>
          <w:color w:val="000000"/>
          <w:sz w:val="20"/>
        </w:rPr>
        <w:t xml:space="preserve">), i </w:t>
      </w:r>
      <w:r w:rsidRPr="002F069A">
        <w:rPr>
          <w:rFonts w:ascii="Arial" w:eastAsia="Arial" w:hAnsi="Arial" w:cs="Arial"/>
          <w:color w:val="000000"/>
          <w:sz w:val="20"/>
        </w:rPr>
        <w:t>na dosažené výsledky (např. počet ukončených projektů</w:t>
      </w:r>
      <w:r>
        <w:rPr>
          <w:rFonts w:ascii="Arial" w:eastAsia="Arial" w:hAnsi="Arial" w:cs="Arial"/>
          <w:color w:val="000000"/>
          <w:sz w:val="20"/>
        </w:rPr>
        <w:t xml:space="preserve">). </w:t>
      </w:r>
      <w:r w:rsidRPr="002F069A">
        <w:rPr>
          <w:rFonts w:ascii="Arial" w:eastAsia="Arial" w:hAnsi="Arial" w:cs="Arial"/>
          <w:color w:val="000000"/>
          <w:sz w:val="20"/>
        </w:rPr>
        <w:t>Výstupy (sebe</w:t>
      </w:r>
      <w:proofErr w:type="gramStart"/>
      <w:r w:rsidRPr="002F069A">
        <w:rPr>
          <w:rFonts w:ascii="Arial" w:eastAsia="Arial" w:hAnsi="Arial" w:cs="Arial"/>
          <w:color w:val="000000"/>
          <w:sz w:val="20"/>
        </w:rPr>
        <w:t>)evalu</w:t>
      </w:r>
      <w:r>
        <w:rPr>
          <w:rFonts w:ascii="Arial" w:eastAsia="Arial" w:hAnsi="Arial" w:cs="Arial"/>
          <w:color w:val="000000"/>
          <w:sz w:val="20"/>
        </w:rPr>
        <w:t>ace</w:t>
      </w:r>
      <w:proofErr w:type="gramEnd"/>
      <w:r w:rsidRPr="002F069A">
        <w:rPr>
          <w:rFonts w:ascii="Arial" w:eastAsia="Arial" w:hAnsi="Arial" w:cs="Arial"/>
          <w:color w:val="000000"/>
          <w:sz w:val="20"/>
        </w:rPr>
        <w:t>– jednotlivé studie – byly publikovány na webových stránkách konkrétních IN. Studie a jejich zjištěn</w:t>
      </w:r>
      <w:r>
        <w:rPr>
          <w:rFonts w:ascii="Arial" w:eastAsia="Arial" w:hAnsi="Arial" w:cs="Arial"/>
          <w:color w:val="000000"/>
          <w:sz w:val="20"/>
        </w:rPr>
        <w:t xml:space="preserve">í </w:t>
      </w:r>
      <w:r w:rsidRPr="002F069A">
        <w:rPr>
          <w:rFonts w:ascii="Arial" w:eastAsia="Arial" w:hAnsi="Arial" w:cs="Arial"/>
          <w:color w:val="000000"/>
          <w:sz w:val="20"/>
        </w:rPr>
        <w:t xml:space="preserve">budou reflektovány v probíhající </w:t>
      </w:r>
      <w:r>
        <w:rPr>
          <w:rFonts w:ascii="Arial" w:eastAsia="Arial" w:hAnsi="Arial" w:cs="Arial"/>
          <w:color w:val="000000"/>
          <w:sz w:val="20"/>
        </w:rPr>
        <w:t xml:space="preserve">evaluaci ŘO IROP v </w:t>
      </w:r>
      <w:r w:rsidRPr="002F069A">
        <w:rPr>
          <w:rFonts w:ascii="Arial" w:eastAsia="Arial" w:hAnsi="Arial" w:cs="Arial"/>
          <w:color w:val="000000"/>
          <w:sz w:val="20"/>
        </w:rPr>
        <w:t>Evaluaci IN v IROP (kód evaluace: 06.011)</w:t>
      </w:r>
      <w:r>
        <w:rPr>
          <w:rFonts w:ascii="Arial" w:eastAsia="Arial" w:hAnsi="Arial" w:cs="Arial"/>
          <w:color w:val="000000"/>
          <w:sz w:val="20"/>
        </w:rPr>
        <w:t>.</w:t>
      </w:r>
    </w:p>
    <w:p w14:paraId="38D28519" w14:textId="547726FE" w:rsidR="00533CD2" w:rsidRPr="007429C8" w:rsidRDefault="0046046C" w:rsidP="007429C8">
      <w:pPr>
        <w:pStyle w:val="Nadpis1"/>
      </w:pPr>
      <w:bookmarkStart w:id="11" w:name="_Toc40877819"/>
      <w:r w:rsidRPr="007429C8">
        <w:t>INFORMACE O IMPLEMENTACI INICIATIVY NA PODPORU ZAMĚSTNANOSTI MLADÝCH LIDÍ, JE-LI POUŽITELNÉ (čl. 19 odst. 2 a 4 nařízení (EU) č. 1304/2013)</w:t>
      </w:r>
      <w:bookmarkEnd w:id="11"/>
    </w:p>
    <w:p w14:paraId="7F48D17E" w14:textId="77777777" w:rsidR="007429C8" w:rsidRDefault="007429C8">
      <w:pPr>
        <w:spacing w:after="120" w:line="264" w:lineRule="auto"/>
        <w:ind w:left="119" w:right="121"/>
        <w:jc w:val="both"/>
        <w:rPr>
          <w:rFonts w:ascii="Arial" w:eastAsia="Arial" w:hAnsi="Arial" w:cs="Arial"/>
          <w:color w:val="000000"/>
          <w:sz w:val="20"/>
        </w:rPr>
      </w:pPr>
    </w:p>
    <w:p w14:paraId="2799BE91" w14:textId="77777777" w:rsidR="00533CD2" w:rsidRDefault="0046046C">
      <w:pPr>
        <w:spacing w:after="120" w:line="264" w:lineRule="auto"/>
        <w:ind w:left="119" w:right="121"/>
        <w:jc w:val="both"/>
        <w:rPr>
          <w:rFonts w:ascii="Arial" w:eastAsia="Arial" w:hAnsi="Arial" w:cs="Arial"/>
          <w:color w:val="000000"/>
          <w:sz w:val="20"/>
        </w:rPr>
      </w:pPr>
      <w:r>
        <w:rPr>
          <w:rFonts w:ascii="Arial" w:eastAsia="Arial" w:hAnsi="Arial" w:cs="Arial"/>
          <w:color w:val="000000"/>
          <w:sz w:val="20"/>
        </w:rPr>
        <w:t>Nerelevantní pro tento program.</w:t>
      </w:r>
    </w:p>
    <w:p w14:paraId="50309AD0" w14:textId="77777777" w:rsidR="00533CD2" w:rsidRDefault="0046046C" w:rsidP="007429C8">
      <w:pPr>
        <w:pStyle w:val="Nadpis1"/>
      </w:pPr>
      <w:bookmarkStart w:id="12" w:name="_Toc40877820"/>
      <w:r w:rsidRPr="007429C8">
        <w:t>ZÁLEŽITOSTI OVLIVŇUJÍCÍ VÝKONNOST PROGRAMU A PŘIJATÁ OPATŘENÍ (čl. 50 odst. 2 nařízení (EU) č. 1303/2013)</w:t>
      </w:r>
      <w:bookmarkEnd w:id="12"/>
      <w:r w:rsidRPr="007429C8">
        <w:t xml:space="preserve"> </w:t>
      </w:r>
    </w:p>
    <w:p w14:paraId="73B00B1B" w14:textId="77777777" w:rsidR="007429C8" w:rsidRPr="007429C8" w:rsidRDefault="007429C8" w:rsidP="007429C8"/>
    <w:p w14:paraId="43A6FA14" w14:textId="77777777" w:rsidR="007A2B98" w:rsidRDefault="007A2B98">
      <w:pPr>
        <w:spacing w:after="120" w:line="264" w:lineRule="auto"/>
        <w:ind w:left="119" w:right="121"/>
        <w:jc w:val="both"/>
        <w:rPr>
          <w:rFonts w:ascii="Arial" w:eastAsia="Arial" w:hAnsi="Arial" w:cs="Arial"/>
          <w:color w:val="000000"/>
          <w:sz w:val="20"/>
        </w:rPr>
      </w:pPr>
    </w:p>
    <w:p w14:paraId="77D4A110" w14:textId="77777777" w:rsidR="00533CD2" w:rsidRDefault="0046046C">
      <w:pPr>
        <w:spacing w:after="120" w:line="264" w:lineRule="auto"/>
        <w:ind w:left="119" w:right="121"/>
        <w:jc w:val="both"/>
        <w:rPr>
          <w:rFonts w:ascii="Arial" w:eastAsia="Arial" w:hAnsi="Arial" w:cs="Arial"/>
          <w:color w:val="000000"/>
          <w:sz w:val="20"/>
        </w:rPr>
      </w:pPr>
      <w:r>
        <w:rPr>
          <w:rFonts w:ascii="Arial" w:eastAsia="Arial" w:hAnsi="Arial" w:cs="Arial"/>
          <w:color w:val="000000"/>
          <w:sz w:val="20"/>
        </w:rPr>
        <w:t>a) Záležitosti, které ovlivňují výkonnost programu a přijatých opatření</w:t>
      </w:r>
    </w:p>
    <w:p w14:paraId="3333CDD0" w14:textId="0023A464" w:rsidR="00A9747C" w:rsidRDefault="0046046C" w:rsidP="00A9747C">
      <w:pPr>
        <w:spacing w:after="120" w:line="360" w:lineRule="auto"/>
        <w:ind w:left="119" w:right="121"/>
        <w:jc w:val="both"/>
        <w:rPr>
          <w:rFonts w:ascii="Arial" w:eastAsia="Arial" w:hAnsi="Arial" w:cs="Arial"/>
          <w:color w:val="000000"/>
          <w:sz w:val="20"/>
        </w:rPr>
      </w:pPr>
      <w:r>
        <w:br/>
      </w:r>
      <w:r>
        <w:rPr>
          <w:rFonts w:ascii="Arial" w:eastAsia="Arial" w:hAnsi="Arial" w:cs="Arial"/>
          <w:color w:val="000000"/>
          <w:sz w:val="20"/>
        </w:rPr>
        <w:t xml:space="preserve">Situace v oblasti administrativní kapacity se v roce 2019 mírně zlepšila, a to především díky nižší míře fluktuace. Proces přijímání nových zaměstnanců do služebního poměru, který vyplývá se Služebního zákona, se relativně stabilizoval včetně délky samotného výběrového řízení, která musí respektovat dodržování zákonem stanovených lhůt. Z hlediska zajištění stability a profesionality zaměstnanců implementační struktury pokračovalo interní vzdělávání zaměstnanců, a to jak </w:t>
      </w:r>
      <w:proofErr w:type="gramStart"/>
      <w:r>
        <w:rPr>
          <w:rFonts w:ascii="Arial" w:eastAsia="Arial" w:hAnsi="Arial" w:cs="Arial"/>
          <w:color w:val="000000"/>
          <w:sz w:val="20"/>
        </w:rPr>
        <w:t>na</w:t>
      </w:r>
      <w:proofErr w:type="gramEnd"/>
      <w:r>
        <w:rPr>
          <w:rFonts w:ascii="Arial" w:eastAsia="Arial" w:hAnsi="Arial" w:cs="Arial"/>
          <w:color w:val="000000"/>
          <w:sz w:val="20"/>
        </w:rPr>
        <w:t xml:space="preserve"> úrovni ŘO, tak Centra pro regionální rozvoj České republiky (dále jen "Centrum"), které je součástí systematického vzdělávání </w:t>
      </w:r>
      <w:r w:rsidR="00D92B93">
        <w:rPr>
          <w:rFonts w:ascii="Arial" w:eastAsia="Arial" w:hAnsi="Arial" w:cs="Arial"/>
          <w:color w:val="000000"/>
          <w:sz w:val="20"/>
        </w:rPr>
        <w:br/>
      </w:r>
      <w:r>
        <w:rPr>
          <w:rFonts w:ascii="Arial" w:eastAsia="Arial" w:hAnsi="Arial" w:cs="Arial"/>
          <w:color w:val="000000"/>
          <w:sz w:val="20"/>
        </w:rPr>
        <w:t xml:space="preserve">a zahrnuje vstupní a průběžné prohlubující odborné vzdělávání. Jednotlivé vzdělávací akce jsou </w:t>
      </w:r>
      <w:r w:rsidR="0049287A">
        <w:rPr>
          <w:rFonts w:ascii="Arial" w:eastAsia="Arial" w:hAnsi="Arial" w:cs="Arial"/>
          <w:color w:val="000000"/>
          <w:sz w:val="20"/>
        </w:rPr>
        <w:br/>
      </w:r>
      <w:r>
        <w:rPr>
          <w:rFonts w:ascii="Arial" w:eastAsia="Arial" w:hAnsi="Arial" w:cs="Arial"/>
          <w:color w:val="000000"/>
          <w:sz w:val="20"/>
        </w:rPr>
        <w:t xml:space="preserve">u každého zaměstnance i nadále promítnuty do ročního Individuálního plánu vzdělávání sestaveného </w:t>
      </w:r>
      <w:r w:rsidR="00CB04BC">
        <w:rPr>
          <w:rFonts w:ascii="Arial" w:eastAsia="Arial" w:hAnsi="Arial" w:cs="Arial"/>
          <w:color w:val="000000"/>
          <w:sz w:val="20"/>
        </w:rPr>
        <w:br/>
      </w:r>
      <w:proofErr w:type="gramStart"/>
      <w:r>
        <w:rPr>
          <w:rFonts w:ascii="Arial" w:eastAsia="Arial" w:hAnsi="Arial" w:cs="Arial"/>
          <w:color w:val="000000"/>
          <w:sz w:val="20"/>
        </w:rPr>
        <w:t>na</w:t>
      </w:r>
      <w:proofErr w:type="gramEnd"/>
      <w:r>
        <w:rPr>
          <w:rFonts w:ascii="Arial" w:eastAsia="Arial" w:hAnsi="Arial" w:cs="Arial"/>
          <w:color w:val="000000"/>
          <w:sz w:val="20"/>
        </w:rPr>
        <w:t xml:space="preserve"> základě služebního/pracovního hodnocení. </w:t>
      </w:r>
    </w:p>
    <w:p w14:paraId="191F2A2C" w14:textId="77777777" w:rsidR="00CE45ED" w:rsidRDefault="00CE45ED">
      <w:pPr>
        <w:rPr>
          <w:rFonts w:ascii="Arial" w:eastAsia="Arial" w:hAnsi="Arial" w:cs="Arial"/>
          <w:color w:val="000000"/>
          <w:sz w:val="20"/>
        </w:rPr>
      </w:pPr>
      <w:r>
        <w:rPr>
          <w:rFonts w:ascii="Arial" w:eastAsia="Arial" w:hAnsi="Arial" w:cs="Arial"/>
          <w:color w:val="000000"/>
          <w:sz w:val="20"/>
        </w:rPr>
        <w:br w:type="page"/>
      </w:r>
    </w:p>
    <w:p w14:paraId="15B04D23" w14:textId="5BCB1631" w:rsidR="0049287A" w:rsidRDefault="0046046C" w:rsidP="00A9747C">
      <w:pPr>
        <w:spacing w:after="120" w:line="360" w:lineRule="auto"/>
        <w:ind w:left="119" w:right="121"/>
        <w:jc w:val="both"/>
        <w:rPr>
          <w:rFonts w:ascii="Arial" w:eastAsia="Arial" w:hAnsi="Arial" w:cs="Arial"/>
          <w:color w:val="000000"/>
          <w:sz w:val="20"/>
        </w:rPr>
      </w:pPr>
      <w:r>
        <w:rPr>
          <w:rFonts w:ascii="Arial" w:eastAsia="Arial" w:hAnsi="Arial" w:cs="Arial"/>
          <w:color w:val="000000"/>
          <w:sz w:val="20"/>
        </w:rPr>
        <w:t xml:space="preserve">Interní vzdělávání je realizováno zejména prostřednictvím předávání informací, znalostí a dobré praxe mezi pracovníky s cílem zajistit jednotnou úroveň vědomostí, znalostí a praxe v IROP, a to </w:t>
      </w:r>
      <w:proofErr w:type="gramStart"/>
      <w:r>
        <w:rPr>
          <w:rFonts w:ascii="Arial" w:eastAsia="Arial" w:hAnsi="Arial" w:cs="Arial"/>
          <w:color w:val="000000"/>
          <w:sz w:val="20"/>
        </w:rPr>
        <w:t>na</w:t>
      </w:r>
      <w:proofErr w:type="gramEnd"/>
      <w:r>
        <w:rPr>
          <w:rFonts w:ascii="Arial" w:eastAsia="Arial" w:hAnsi="Arial" w:cs="Arial"/>
          <w:color w:val="000000"/>
          <w:sz w:val="20"/>
        </w:rPr>
        <w:t xml:space="preserve"> základě využití odborného potenciálu stávajících zaměstnanců - interních lektorů, což je zároveň platformou pro podporu a rozvoj vnitřních expertů, kteří jsou motivováni k dalšímu zvyšování odbornosti ve své specializaci. </w:t>
      </w:r>
    </w:p>
    <w:p w14:paraId="656B66B9" w14:textId="2BB9D898" w:rsidR="00A9747C" w:rsidRPr="00CE45ED" w:rsidRDefault="0046046C" w:rsidP="00CE45ED">
      <w:pPr>
        <w:spacing w:line="360" w:lineRule="auto"/>
        <w:ind w:left="119"/>
        <w:jc w:val="both"/>
        <w:rPr>
          <w:rFonts w:ascii="Arial" w:eastAsia="Arial" w:hAnsi="Arial" w:cs="Arial"/>
          <w:color w:val="000000"/>
          <w:sz w:val="20"/>
        </w:rPr>
      </w:pPr>
      <w:r>
        <w:rPr>
          <w:rFonts w:ascii="Arial" w:eastAsia="Arial" w:hAnsi="Arial" w:cs="Arial"/>
          <w:color w:val="000000"/>
          <w:sz w:val="20"/>
        </w:rPr>
        <w:t xml:space="preserve">Externí vzdělávání je realizováno prostřednictvím vzdělávacích akcí Národního orgánu pro koordinaci (dále jen "NOK") nebo personálního odboru nebo se jednotliví zaměstnanci mohou účastnit velkého množství specializovaných seminářů nebo kurzů dle potřeby. Systematické vzdělávání se rovněž vztahuje </w:t>
      </w:r>
      <w:r w:rsidR="00CB04BC">
        <w:rPr>
          <w:rFonts w:ascii="Arial" w:eastAsia="Arial" w:hAnsi="Arial" w:cs="Arial"/>
          <w:color w:val="000000"/>
          <w:sz w:val="20"/>
        </w:rPr>
        <w:br/>
      </w:r>
      <w:proofErr w:type="gramStart"/>
      <w:r>
        <w:rPr>
          <w:rFonts w:ascii="Arial" w:eastAsia="Arial" w:hAnsi="Arial" w:cs="Arial"/>
          <w:color w:val="000000"/>
          <w:sz w:val="20"/>
        </w:rPr>
        <w:t>na</w:t>
      </w:r>
      <w:proofErr w:type="gramEnd"/>
      <w:r>
        <w:rPr>
          <w:rFonts w:ascii="Arial" w:eastAsia="Arial" w:hAnsi="Arial" w:cs="Arial"/>
          <w:color w:val="000000"/>
          <w:sz w:val="20"/>
        </w:rPr>
        <w:t xml:space="preserve"> zaměstnance pracující na základě dohody o pracovní činnosti a dohody o provedení práce, kteří </w:t>
      </w:r>
      <w:r w:rsidR="00E806C4">
        <w:rPr>
          <w:rFonts w:ascii="Arial" w:eastAsia="Arial" w:hAnsi="Arial" w:cs="Arial"/>
          <w:color w:val="000000"/>
          <w:sz w:val="20"/>
        </w:rPr>
        <w:br/>
      </w:r>
      <w:r>
        <w:rPr>
          <w:rFonts w:ascii="Arial" w:eastAsia="Arial" w:hAnsi="Arial" w:cs="Arial"/>
          <w:color w:val="000000"/>
          <w:sz w:val="20"/>
        </w:rPr>
        <w:t xml:space="preserve">se podílejí na implementaci </w:t>
      </w:r>
      <w:r w:rsidR="005356D2">
        <w:rPr>
          <w:rFonts w:ascii="Arial" w:eastAsia="Arial" w:hAnsi="Arial" w:cs="Arial"/>
          <w:color w:val="000000"/>
          <w:sz w:val="20"/>
        </w:rPr>
        <w:t>programu.</w:t>
      </w:r>
    </w:p>
    <w:p w14:paraId="46AADD20" w14:textId="77777777" w:rsidR="00CE45ED" w:rsidRDefault="00CE45ED" w:rsidP="00CE45ED">
      <w:pPr>
        <w:spacing w:after="120" w:line="360" w:lineRule="auto"/>
        <w:ind w:left="119" w:right="121"/>
        <w:jc w:val="both"/>
      </w:pPr>
    </w:p>
    <w:p w14:paraId="6E5E2584" w14:textId="41FE82E6" w:rsidR="00CE45ED" w:rsidRDefault="0046046C" w:rsidP="00084053">
      <w:pPr>
        <w:spacing w:after="120" w:line="360" w:lineRule="auto"/>
        <w:ind w:left="119" w:right="121"/>
        <w:jc w:val="both"/>
        <w:rPr>
          <w:rFonts w:ascii="Arial" w:eastAsia="Arial" w:hAnsi="Arial" w:cs="Arial"/>
          <w:color w:val="000000"/>
          <w:sz w:val="20"/>
        </w:rPr>
      </w:pPr>
      <w:r>
        <w:rPr>
          <w:rFonts w:ascii="Arial" w:eastAsia="Arial" w:hAnsi="Arial" w:cs="Arial"/>
          <w:color w:val="000000"/>
          <w:sz w:val="20"/>
        </w:rPr>
        <w:t>V roce 2019 proběhl</w:t>
      </w:r>
      <w:r w:rsidR="00135276">
        <w:rPr>
          <w:rFonts w:ascii="Arial" w:eastAsia="Arial" w:hAnsi="Arial" w:cs="Arial"/>
          <w:color w:val="000000"/>
          <w:sz w:val="20"/>
        </w:rPr>
        <w:t>a</w:t>
      </w:r>
      <w:r>
        <w:rPr>
          <w:rFonts w:ascii="Arial" w:eastAsia="Arial" w:hAnsi="Arial" w:cs="Arial"/>
          <w:color w:val="000000"/>
          <w:sz w:val="20"/>
        </w:rPr>
        <w:t xml:space="preserve"> třetí revize Programového dokumentu IROP (PD IROP). Hlavní změnou byla meziprogramová realokace ve výši 201 277 337 EUR z Operačního programu podnikání a inovace pro konkurenceschopnost (OP PIK), a to v rozdělení 96 768 000 EUR do SC 1.2 IROP (projekty </w:t>
      </w:r>
      <w:r w:rsidR="0049287A">
        <w:rPr>
          <w:rFonts w:ascii="Arial" w:eastAsia="Arial" w:hAnsi="Arial" w:cs="Arial"/>
          <w:color w:val="000000"/>
          <w:sz w:val="20"/>
        </w:rPr>
        <w:br/>
      </w:r>
      <w:r>
        <w:rPr>
          <w:rFonts w:ascii="Arial" w:eastAsia="Arial" w:hAnsi="Arial" w:cs="Arial"/>
          <w:color w:val="000000"/>
          <w:sz w:val="20"/>
        </w:rPr>
        <w:t xml:space="preserve">na nízkoemisní a bezemisní vozidla veřejné dopravy), 77 414 000 EUR do SC 2.3 IROP (projekty v oblasti návazné péče) a 27 095 337 EUR do SC 2.4 IROP (projekty v oblasti základních škol). Podmínkou pro realokaci bylo, aby většina realokovaných prostředků směřovala </w:t>
      </w:r>
      <w:proofErr w:type="gramStart"/>
      <w:r>
        <w:rPr>
          <w:rFonts w:ascii="Arial" w:eastAsia="Arial" w:hAnsi="Arial" w:cs="Arial"/>
          <w:color w:val="000000"/>
          <w:sz w:val="20"/>
        </w:rPr>
        <w:t>na</w:t>
      </w:r>
      <w:proofErr w:type="gramEnd"/>
      <w:r>
        <w:rPr>
          <w:rFonts w:ascii="Arial" w:eastAsia="Arial" w:hAnsi="Arial" w:cs="Arial"/>
          <w:color w:val="000000"/>
          <w:sz w:val="20"/>
        </w:rPr>
        <w:t xml:space="preserve"> podporu náhradních projektů </w:t>
      </w:r>
      <w:r w:rsidR="0049287A">
        <w:rPr>
          <w:rFonts w:ascii="Arial" w:eastAsia="Arial" w:hAnsi="Arial" w:cs="Arial"/>
          <w:color w:val="000000"/>
          <w:sz w:val="20"/>
        </w:rPr>
        <w:br/>
      </w:r>
      <w:r>
        <w:rPr>
          <w:rFonts w:ascii="Arial" w:eastAsia="Arial" w:hAnsi="Arial" w:cs="Arial"/>
          <w:color w:val="000000"/>
          <w:sz w:val="20"/>
        </w:rPr>
        <w:t xml:space="preserve">ve strukturálně postižených regionech - tzv. </w:t>
      </w:r>
      <w:proofErr w:type="gramStart"/>
      <w:r>
        <w:rPr>
          <w:rFonts w:ascii="Arial" w:eastAsia="Arial" w:hAnsi="Arial" w:cs="Arial"/>
          <w:color w:val="000000"/>
          <w:sz w:val="20"/>
        </w:rPr>
        <w:t>uhelných</w:t>
      </w:r>
      <w:proofErr w:type="gramEnd"/>
      <w:r>
        <w:rPr>
          <w:rFonts w:ascii="Arial" w:eastAsia="Arial" w:hAnsi="Arial" w:cs="Arial"/>
          <w:color w:val="000000"/>
          <w:sz w:val="20"/>
        </w:rPr>
        <w:t xml:space="preserve"> regionech (Moravskoslezský, Ústecký a Karlovarský kraj). V návaznosti </w:t>
      </w:r>
      <w:proofErr w:type="gramStart"/>
      <w:r>
        <w:rPr>
          <w:rFonts w:ascii="Arial" w:eastAsia="Arial" w:hAnsi="Arial" w:cs="Arial"/>
          <w:color w:val="000000"/>
          <w:sz w:val="20"/>
        </w:rPr>
        <w:t>na</w:t>
      </w:r>
      <w:proofErr w:type="gramEnd"/>
      <w:r>
        <w:rPr>
          <w:rFonts w:ascii="Arial" w:eastAsia="Arial" w:hAnsi="Arial" w:cs="Arial"/>
          <w:color w:val="000000"/>
          <w:sz w:val="20"/>
        </w:rPr>
        <w:t xml:space="preserve"> tuto realokaci byla zároveň retroaktivně převedena podpora udržitelných forem dopravy v SC 1.2 IROP ze stávajícího tematického cíle 7 pod tematický cíl 4. Bez provedení tohoto přesunu by nebylo převedení finančních prostředků z OP PIK do IROP možné, z důvodu pravidel tematické koncentrace zakotvené v nařízení. Evropská komise schválila revizi PD IROP Prováděcím</w:t>
      </w:r>
      <w:r w:rsidR="00084053">
        <w:rPr>
          <w:rFonts w:ascii="Arial" w:eastAsia="Arial" w:hAnsi="Arial" w:cs="Arial"/>
          <w:color w:val="000000"/>
          <w:sz w:val="20"/>
        </w:rPr>
        <w:t xml:space="preserve"> rozhodnutím </w:t>
      </w:r>
      <w:proofErr w:type="gramStart"/>
      <w:r w:rsidR="00084053">
        <w:rPr>
          <w:rFonts w:ascii="Arial" w:eastAsia="Arial" w:hAnsi="Arial" w:cs="Arial"/>
          <w:color w:val="000000"/>
          <w:sz w:val="20"/>
        </w:rPr>
        <w:t>C(</w:t>
      </w:r>
      <w:proofErr w:type="gramEnd"/>
      <w:r w:rsidR="00084053">
        <w:rPr>
          <w:rFonts w:ascii="Arial" w:eastAsia="Arial" w:hAnsi="Arial" w:cs="Arial"/>
          <w:color w:val="000000"/>
          <w:sz w:val="20"/>
        </w:rPr>
        <w:t xml:space="preserve">2019) 1933 ze dne 7. </w:t>
      </w:r>
      <w:proofErr w:type="gramStart"/>
      <w:r w:rsidR="00084053">
        <w:rPr>
          <w:rFonts w:ascii="Arial" w:eastAsia="Arial" w:hAnsi="Arial" w:cs="Arial"/>
          <w:color w:val="000000"/>
          <w:sz w:val="20"/>
        </w:rPr>
        <w:t>března</w:t>
      </w:r>
      <w:proofErr w:type="gramEnd"/>
      <w:r w:rsidR="00084053">
        <w:rPr>
          <w:rFonts w:ascii="Arial" w:eastAsia="Arial" w:hAnsi="Arial" w:cs="Arial"/>
          <w:color w:val="000000"/>
          <w:sz w:val="20"/>
        </w:rPr>
        <w:t xml:space="preserve"> 2019.</w:t>
      </w:r>
    </w:p>
    <w:p w14:paraId="3CB92B8A" w14:textId="34D1C422" w:rsidR="00A9747C" w:rsidRPr="00CE45ED" w:rsidRDefault="0046046C" w:rsidP="00CE45ED">
      <w:pPr>
        <w:spacing w:after="120" w:line="360" w:lineRule="auto"/>
        <w:ind w:left="119" w:right="121"/>
        <w:jc w:val="both"/>
        <w:rPr>
          <w:rFonts w:ascii="Arial" w:eastAsia="Arial" w:hAnsi="Arial" w:cs="Arial"/>
          <w:color w:val="000000"/>
          <w:sz w:val="20"/>
        </w:rPr>
      </w:pPr>
      <w:r>
        <w:rPr>
          <w:rFonts w:ascii="Arial" w:eastAsia="Arial" w:hAnsi="Arial" w:cs="Arial"/>
          <w:color w:val="000000"/>
          <w:sz w:val="20"/>
        </w:rPr>
        <w:t xml:space="preserve">V roce 2019 byla taktéž zahájena revize 1.4 PD IROP. Hlavní změnou je plánovaná meziprogramová realokace ve výši 38 849 979 EUR z OP PIK do PO 3, SC 3.2 IROP zaměřeného </w:t>
      </w:r>
      <w:proofErr w:type="gramStart"/>
      <w:r>
        <w:rPr>
          <w:rFonts w:ascii="Arial" w:eastAsia="Arial" w:hAnsi="Arial" w:cs="Arial"/>
          <w:color w:val="000000"/>
          <w:sz w:val="20"/>
        </w:rPr>
        <w:t>na</w:t>
      </w:r>
      <w:proofErr w:type="gramEnd"/>
      <w:r>
        <w:rPr>
          <w:rFonts w:ascii="Arial" w:eastAsia="Arial" w:hAnsi="Arial" w:cs="Arial"/>
          <w:color w:val="000000"/>
          <w:sz w:val="20"/>
        </w:rPr>
        <w:t xml:space="preserve"> eGovernment. Tyto prostředky </w:t>
      </w:r>
      <w:r w:rsidR="00823AA2">
        <w:rPr>
          <w:rFonts w:ascii="Arial" w:eastAsia="Arial" w:hAnsi="Arial" w:cs="Arial"/>
          <w:color w:val="000000"/>
          <w:sz w:val="20"/>
        </w:rPr>
        <w:t xml:space="preserve">měly </w:t>
      </w:r>
      <w:r>
        <w:rPr>
          <w:rFonts w:ascii="Arial" w:eastAsia="Arial" w:hAnsi="Arial" w:cs="Arial"/>
          <w:color w:val="000000"/>
          <w:sz w:val="20"/>
        </w:rPr>
        <w:t>sloužit k pokrytí projektů digitalizace stavebního říze</w:t>
      </w:r>
      <w:r w:rsidR="00A9747C">
        <w:rPr>
          <w:rFonts w:ascii="Arial" w:eastAsia="Arial" w:hAnsi="Arial" w:cs="Arial"/>
          <w:color w:val="000000"/>
          <w:sz w:val="20"/>
        </w:rPr>
        <w:t xml:space="preserve">ní. Změny byly schváleny </w:t>
      </w:r>
      <w:r w:rsidR="00A9747C">
        <w:rPr>
          <w:rFonts w:ascii="Arial" w:eastAsia="Arial" w:hAnsi="Arial" w:cs="Arial"/>
          <w:color w:val="000000"/>
          <w:sz w:val="20"/>
        </w:rPr>
        <w:br/>
      </w:r>
      <w:proofErr w:type="gramStart"/>
      <w:r w:rsidR="00A9747C">
        <w:rPr>
          <w:rFonts w:ascii="Arial" w:eastAsia="Arial" w:hAnsi="Arial" w:cs="Arial"/>
          <w:color w:val="000000"/>
          <w:sz w:val="20"/>
        </w:rPr>
        <w:t>na</w:t>
      </w:r>
      <w:proofErr w:type="gramEnd"/>
      <w:r w:rsidR="00A9747C">
        <w:rPr>
          <w:rFonts w:ascii="Arial" w:eastAsia="Arial" w:hAnsi="Arial" w:cs="Arial"/>
          <w:color w:val="000000"/>
          <w:sz w:val="20"/>
        </w:rPr>
        <w:t xml:space="preserve"> 12. </w:t>
      </w:r>
      <w:proofErr w:type="gramStart"/>
      <w:r>
        <w:rPr>
          <w:rFonts w:ascii="Arial" w:eastAsia="Arial" w:hAnsi="Arial" w:cs="Arial"/>
          <w:color w:val="000000"/>
          <w:sz w:val="20"/>
        </w:rPr>
        <w:t>zasedání</w:t>
      </w:r>
      <w:proofErr w:type="gramEnd"/>
      <w:r>
        <w:rPr>
          <w:rFonts w:ascii="Arial" w:eastAsia="Arial" w:hAnsi="Arial" w:cs="Arial"/>
          <w:color w:val="000000"/>
          <w:sz w:val="20"/>
        </w:rPr>
        <w:t xml:space="preserve"> Monitorovacího výboru IROP dne 20.11.2019.</w:t>
      </w:r>
      <w:r w:rsidR="00823AA2">
        <w:rPr>
          <w:rFonts w:ascii="Arial" w:eastAsia="Arial" w:hAnsi="Arial" w:cs="Arial"/>
          <w:color w:val="000000"/>
          <w:sz w:val="20"/>
        </w:rPr>
        <w:t xml:space="preserve"> Vzhledem k vypuknutí pandemie COVID</w:t>
      </w:r>
      <w:r w:rsidR="00275ACE">
        <w:rPr>
          <w:rFonts w:ascii="Arial" w:eastAsia="Arial" w:hAnsi="Arial" w:cs="Arial"/>
          <w:color w:val="000000"/>
          <w:sz w:val="20"/>
        </w:rPr>
        <w:t>-</w:t>
      </w:r>
      <w:r w:rsidR="00823AA2">
        <w:rPr>
          <w:rFonts w:ascii="Arial" w:eastAsia="Arial" w:hAnsi="Arial" w:cs="Arial"/>
          <w:color w:val="000000"/>
          <w:sz w:val="20"/>
        </w:rPr>
        <w:t xml:space="preserve">19 tuto revizi EK </w:t>
      </w:r>
      <w:proofErr w:type="gramStart"/>
      <w:r w:rsidR="00823AA2">
        <w:rPr>
          <w:rFonts w:ascii="Arial" w:eastAsia="Arial" w:hAnsi="Arial" w:cs="Arial"/>
          <w:color w:val="000000"/>
          <w:sz w:val="20"/>
        </w:rPr>
        <w:t>na</w:t>
      </w:r>
      <w:proofErr w:type="gramEnd"/>
      <w:r w:rsidR="00823AA2">
        <w:rPr>
          <w:rFonts w:ascii="Arial" w:eastAsia="Arial" w:hAnsi="Arial" w:cs="Arial"/>
          <w:color w:val="000000"/>
          <w:sz w:val="20"/>
        </w:rPr>
        <w:t xml:space="preserve"> žádost ŘO IROP 2. </w:t>
      </w:r>
      <w:proofErr w:type="gramStart"/>
      <w:r w:rsidR="00823AA2">
        <w:rPr>
          <w:rFonts w:ascii="Arial" w:eastAsia="Arial" w:hAnsi="Arial" w:cs="Arial"/>
          <w:color w:val="000000"/>
          <w:sz w:val="20"/>
        </w:rPr>
        <w:t>dubna</w:t>
      </w:r>
      <w:proofErr w:type="gramEnd"/>
      <w:r w:rsidR="00823AA2">
        <w:rPr>
          <w:rFonts w:ascii="Arial" w:eastAsia="Arial" w:hAnsi="Arial" w:cs="Arial"/>
          <w:color w:val="000000"/>
          <w:sz w:val="20"/>
        </w:rPr>
        <w:t xml:space="preserve"> 2020 stáhla. ŘO IROP předloží novou revizi zohledňující opatření </w:t>
      </w:r>
      <w:r w:rsidR="00275ACE">
        <w:rPr>
          <w:rFonts w:ascii="Arial" w:eastAsia="Arial" w:hAnsi="Arial" w:cs="Arial"/>
          <w:color w:val="000000"/>
          <w:sz w:val="20"/>
        </w:rPr>
        <w:t xml:space="preserve">související </w:t>
      </w:r>
      <w:r w:rsidR="00823AA2">
        <w:rPr>
          <w:rFonts w:ascii="Arial" w:eastAsia="Arial" w:hAnsi="Arial" w:cs="Arial"/>
          <w:color w:val="000000"/>
          <w:sz w:val="20"/>
        </w:rPr>
        <w:t>s</w:t>
      </w:r>
      <w:r w:rsidR="00275ACE">
        <w:rPr>
          <w:rFonts w:ascii="Arial" w:eastAsia="Arial" w:hAnsi="Arial" w:cs="Arial"/>
          <w:color w:val="000000"/>
          <w:sz w:val="20"/>
        </w:rPr>
        <w:t xml:space="preserve"> výskytem</w:t>
      </w:r>
      <w:r w:rsidR="00823AA2">
        <w:rPr>
          <w:rFonts w:ascii="Arial" w:eastAsia="Arial" w:hAnsi="Arial" w:cs="Arial"/>
          <w:color w:val="000000"/>
          <w:sz w:val="20"/>
        </w:rPr>
        <w:t xml:space="preserve"> COVID</w:t>
      </w:r>
      <w:r w:rsidR="00275ACE">
        <w:rPr>
          <w:rFonts w:ascii="Arial" w:eastAsia="Arial" w:hAnsi="Arial" w:cs="Arial"/>
          <w:color w:val="000000"/>
          <w:sz w:val="20"/>
        </w:rPr>
        <w:t>-</w:t>
      </w:r>
      <w:r w:rsidR="00823AA2">
        <w:rPr>
          <w:rFonts w:ascii="Arial" w:eastAsia="Arial" w:hAnsi="Arial" w:cs="Arial"/>
          <w:color w:val="000000"/>
          <w:sz w:val="20"/>
        </w:rPr>
        <w:t>19</w:t>
      </w:r>
      <w:r w:rsidR="00C220A5">
        <w:rPr>
          <w:rFonts w:ascii="Arial" w:eastAsia="Arial" w:hAnsi="Arial" w:cs="Arial"/>
          <w:color w:val="000000"/>
          <w:sz w:val="20"/>
        </w:rPr>
        <w:t>.</w:t>
      </w:r>
      <w:r w:rsidR="00823AA2">
        <w:rPr>
          <w:rFonts w:ascii="Arial" w:eastAsia="Arial" w:hAnsi="Arial" w:cs="Arial"/>
          <w:color w:val="000000"/>
          <w:sz w:val="20"/>
        </w:rPr>
        <w:t xml:space="preserve"> </w:t>
      </w:r>
    </w:p>
    <w:p w14:paraId="6E9BE519" w14:textId="77777777" w:rsidR="00084053" w:rsidRDefault="0046046C" w:rsidP="00084053">
      <w:pPr>
        <w:spacing w:after="120" w:line="360" w:lineRule="auto"/>
        <w:ind w:left="119" w:right="121"/>
        <w:jc w:val="both"/>
        <w:rPr>
          <w:rFonts w:ascii="Arial" w:eastAsia="Arial" w:hAnsi="Arial" w:cs="Arial"/>
          <w:color w:val="000000"/>
          <w:sz w:val="20"/>
        </w:rPr>
      </w:pPr>
      <w:r>
        <w:rPr>
          <w:rFonts w:ascii="Arial" w:eastAsia="Arial" w:hAnsi="Arial" w:cs="Arial"/>
          <w:color w:val="000000"/>
          <w:sz w:val="20"/>
        </w:rPr>
        <w:t xml:space="preserve">Dokumentace IROP vychází z jednotného metodického prostředí (JMP). Vzhledem k počtu metodických dokumentů JMP a frekvenci jejich změn musí ŘO IROP často měnit svou dokumentaci. Častým důvodem pro aktualizaci řídící dokumentace jsou i změny v informačním systému MS2014+. </w:t>
      </w:r>
    </w:p>
    <w:p w14:paraId="7907ACC9" w14:textId="3A3E194A" w:rsidR="0049287A" w:rsidRDefault="0046046C" w:rsidP="00084053">
      <w:pPr>
        <w:spacing w:after="120" w:line="360" w:lineRule="auto"/>
        <w:ind w:left="119" w:right="121"/>
        <w:rPr>
          <w:rFonts w:ascii="Arial" w:eastAsia="Arial" w:hAnsi="Arial" w:cs="Arial"/>
          <w:color w:val="000000"/>
          <w:sz w:val="20"/>
        </w:rPr>
      </w:pPr>
      <w:r>
        <w:rPr>
          <w:rFonts w:ascii="Arial" w:eastAsia="Arial" w:hAnsi="Arial" w:cs="Arial"/>
          <w:color w:val="000000"/>
          <w:sz w:val="20"/>
        </w:rPr>
        <w:t>V průběhu roku 2019 byly z těchto důvodů a z důvodů vznikajících během vlastní implementace programu vydány:</w:t>
      </w:r>
      <w:r>
        <w:br/>
      </w:r>
      <w:r>
        <w:rPr>
          <w:rFonts w:ascii="Arial" w:eastAsia="Arial" w:hAnsi="Arial" w:cs="Arial"/>
          <w:color w:val="000000"/>
          <w:sz w:val="20"/>
        </w:rPr>
        <w:t>-</w:t>
      </w:r>
      <w:r>
        <w:rPr>
          <w:rFonts w:ascii="Arial" w:eastAsia="Arial" w:hAnsi="Arial" w:cs="Arial"/>
          <w:color w:val="000000"/>
          <w:sz w:val="20"/>
        </w:rPr>
        <w:tab/>
        <w:t xml:space="preserve">1 revize Operačního manuálu IROP, </w:t>
      </w:r>
      <w:r>
        <w:br/>
      </w:r>
      <w:r>
        <w:rPr>
          <w:rFonts w:ascii="Arial" w:eastAsia="Arial" w:hAnsi="Arial" w:cs="Arial"/>
          <w:color w:val="000000"/>
          <w:sz w:val="20"/>
        </w:rPr>
        <w:t>-</w:t>
      </w:r>
      <w:r>
        <w:rPr>
          <w:rFonts w:ascii="Arial" w:eastAsia="Arial" w:hAnsi="Arial" w:cs="Arial"/>
          <w:color w:val="000000"/>
          <w:sz w:val="20"/>
        </w:rPr>
        <w:tab/>
        <w:t xml:space="preserve">7 Metodických dopisů ŘO IROP k Operačnímu manuálu IROP, </w:t>
      </w:r>
      <w:r>
        <w:br/>
      </w:r>
      <w:r>
        <w:rPr>
          <w:rFonts w:ascii="Arial" w:eastAsia="Arial" w:hAnsi="Arial" w:cs="Arial"/>
          <w:color w:val="000000"/>
          <w:sz w:val="20"/>
        </w:rPr>
        <w:t>-</w:t>
      </w:r>
      <w:r>
        <w:rPr>
          <w:rFonts w:ascii="Arial" w:eastAsia="Arial" w:hAnsi="Arial" w:cs="Arial"/>
          <w:color w:val="000000"/>
          <w:sz w:val="20"/>
        </w:rPr>
        <w:tab/>
        <w:t xml:space="preserve">36 Záznamů k realizaci IROP, </w:t>
      </w:r>
      <w:r>
        <w:br/>
      </w:r>
      <w:r>
        <w:rPr>
          <w:rFonts w:ascii="Arial" w:eastAsia="Arial" w:hAnsi="Arial" w:cs="Arial"/>
          <w:color w:val="000000"/>
          <w:sz w:val="20"/>
        </w:rPr>
        <w:t>-</w:t>
      </w:r>
      <w:r>
        <w:rPr>
          <w:rFonts w:ascii="Arial" w:eastAsia="Arial" w:hAnsi="Arial" w:cs="Arial"/>
          <w:color w:val="000000"/>
          <w:sz w:val="20"/>
        </w:rPr>
        <w:tab/>
        <w:t xml:space="preserve">9 Závazných stanovisek, </w:t>
      </w:r>
      <w:r>
        <w:br/>
      </w:r>
      <w:r>
        <w:rPr>
          <w:rFonts w:ascii="Arial" w:eastAsia="Arial" w:hAnsi="Arial" w:cs="Arial"/>
          <w:color w:val="000000"/>
          <w:sz w:val="20"/>
        </w:rPr>
        <w:t>-</w:t>
      </w:r>
      <w:r>
        <w:rPr>
          <w:rFonts w:ascii="Arial" w:eastAsia="Arial" w:hAnsi="Arial" w:cs="Arial"/>
          <w:color w:val="000000"/>
          <w:sz w:val="20"/>
        </w:rPr>
        <w:tab/>
        <w:t xml:space="preserve">2 revize Obecných pravidel pro žadatele a příjemce, </w:t>
      </w:r>
      <w:r>
        <w:br/>
      </w:r>
      <w:r>
        <w:rPr>
          <w:rFonts w:ascii="Arial" w:eastAsia="Arial" w:hAnsi="Arial" w:cs="Arial"/>
          <w:color w:val="000000"/>
          <w:sz w:val="20"/>
        </w:rPr>
        <w:t xml:space="preserve">- </w:t>
      </w:r>
      <w:r w:rsidR="00CE45ED">
        <w:rPr>
          <w:rFonts w:ascii="Arial" w:eastAsia="Arial" w:hAnsi="Arial" w:cs="Arial"/>
          <w:color w:val="000000"/>
          <w:sz w:val="20"/>
        </w:rPr>
        <w:tab/>
      </w:r>
      <w:r>
        <w:rPr>
          <w:rFonts w:ascii="Arial" w:eastAsia="Arial" w:hAnsi="Arial" w:cs="Arial"/>
          <w:color w:val="000000"/>
          <w:sz w:val="20"/>
        </w:rPr>
        <w:t>36 revizí Specifických pravidel pro žadatele a příjemce.</w:t>
      </w:r>
      <w:r>
        <w:br/>
      </w:r>
      <w:r>
        <w:rPr>
          <w:rFonts w:ascii="Arial" w:eastAsia="Arial" w:hAnsi="Arial" w:cs="Arial"/>
          <w:color w:val="000000"/>
          <w:sz w:val="20"/>
        </w:rPr>
        <w:t xml:space="preserve">Každých 6 měsíců je vytvářen aktuální Katalog rizik IROP, k němuž jsou zpracovávána podrobná opatření k jednotlivým rizikům. Katalog rizik IROP je aktualizován </w:t>
      </w:r>
      <w:proofErr w:type="gramStart"/>
      <w:r>
        <w:rPr>
          <w:rFonts w:ascii="Arial" w:eastAsia="Arial" w:hAnsi="Arial" w:cs="Arial"/>
          <w:color w:val="000000"/>
          <w:sz w:val="20"/>
        </w:rPr>
        <w:t>na</w:t>
      </w:r>
      <w:proofErr w:type="gramEnd"/>
      <w:r>
        <w:rPr>
          <w:rFonts w:ascii="Arial" w:eastAsia="Arial" w:hAnsi="Arial" w:cs="Arial"/>
          <w:color w:val="000000"/>
          <w:sz w:val="20"/>
        </w:rPr>
        <w:t xml:space="preserve"> základě Zprávy o zvládání rizik </w:t>
      </w:r>
      <w:r w:rsidR="0049287A">
        <w:rPr>
          <w:rFonts w:ascii="Arial" w:eastAsia="Arial" w:hAnsi="Arial" w:cs="Arial"/>
          <w:color w:val="000000"/>
          <w:sz w:val="20"/>
        </w:rPr>
        <w:br/>
      </w:r>
      <w:r>
        <w:rPr>
          <w:rFonts w:ascii="Arial" w:eastAsia="Arial" w:hAnsi="Arial" w:cs="Arial"/>
          <w:color w:val="000000"/>
          <w:sz w:val="20"/>
        </w:rPr>
        <w:t xml:space="preserve">a Dílčích analýz rizik. </w:t>
      </w:r>
    </w:p>
    <w:p w14:paraId="26C81930" w14:textId="7287876D" w:rsidR="00A9747C" w:rsidRDefault="0046046C" w:rsidP="00E806C4">
      <w:pPr>
        <w:spacing w:after="120" w:line="360" w:lineRule="auto"/>
        <w:ind w:left="119" w:right="121"/>
        <w:jc w:val="both"/>
        <w:rPr>
          <w:rFonts w:ascii="Arial" w:eastAsia="Arial" w:hAnsi="Arial" w:cs="Arial"/>
          <w:color w:val="000000"/>
          <w:sz w:val="20"/>
        </w:rPr>
      </w:pPr>
      <w:r>
        <w:rPr>
          <w:rFonts w:ascii="Arial" w:eastAsia="Arial" w:hAnsi="Arial" w:cs="Arial"/>
          <w:color w:val="000000"/>
          <w:sz w:val="20"/>
        </w:rPr>
        <w:t xml:space="preserve">K 31. 12. 2019 bylo identifikováno 48 rizik v oblastech naplňování cílů programu </w:t>
      </w:r>
      <w:r w:rsidR="0049287A">
        <w:rPr>
          <w:rFonts w:ascii="Arial" w:eastAsia="Arial" w:hAnsi="Arial" w:cs="Arial"/>
          <w:color w:val="000000"/>
          <w:sz w:val="20"/>
        </w:rPr>
        <w:br/>
      </w:r>
      <w:r>
        <w:rPr>
          <w:rFonts w:ascii="Arial" w:eastAsia="Arial" w:hAnsi="Arial" w:cs="Arial"/>
          <w:color w:val="000000"/>
          <w:sz w:val="20"/>
        </w:rPr>
        <w:t>a řízení programu, k nimž bylo přijato 173 opatření, která jsou průběžně naplňována nebo splněna, čímž dochází k minimalizaci a někdy i eliminaci identifikovaných rizik.</w:t>
      </w:r>
      <w:r>
        <w:br/>
      </w:r>
      <w:r>
        <w:rPr>
          <w:rFonts w:ascii="Arial" w:eastAsia="Arial" w:hAnsi="Arial" w:cs="Arial"/>
          <w:color w:val="000000"/>
          <w:sz w:val="20"/>
        </w:rPr>
        <w:t xml:space="preserve">NOK koordinoval tzv. </w:t>
      </w:r>
      <w:proofErr w:type="gramStart"/>
      <w:r>
        <w:rPr>
          <w:rFonts w:ascii="Arial" w:eastAsia="Arial" w:hAnsi="Arial" w:cs="Arial"/>
          <w:color w:val="000000"/>
          <w:sz w:val="20"/>
        </w:rPr>
        <w:t>zesílené</w:t>
      </w:r>
      <w:proofErr w:type="gramEnd"/>
      <w:r>
        <w:rPr>
          <w:rFonts w:ascii="Arial" w:eastAsia="Arial" w:hAnsi="Arial" w:cs="Arial"/>
          <w:color w:val="000000"/>
          <w:sz w:val="20"/>
        </w:rPr>
        <w:t xml:space="preserve"> řízení rizik IROP se čtvrtletní dobou hlášení zvládání identifikovaných rizik. Všechna horizontální opatření relevantní pro IROP jsou naplňována průběžně a mají </w:t>
      </w:r>
      <w:proofErr w:type="gramStart"/>
      <w:r>
        <w:rPr>
          <w:rFonts w:ascii="Arial" w:eastAsia="Arial" w:hAnsi="Arial" w:cs="Arial"/>
          <w:color w:val="000000"/>
          <w:sz w:val="20"/>
        </w:rPr>
        <w:t>na</w:t>
      </w:r>
      <w:proofErr w:type="gramEnd"/>
      <w:r>
        <w:rPr>
          <w:rFonts w:ascii="Arial" w:eastAsia="Arial" w:hAnsi="Arial" w:cs="Arial"/>
          <w:color w:val="000000"/>
          <w:sz w:val="20"/>
        </w:rPr>
        <w:t xml:space="preserve"> IROP pozitivní dopad ve všech ohledech. Přirozeně doplňovala opatření IROP, které vyplývají z Katalogu rizik IROP, </w:t>
      </w:r>
      <w:r w:rsidR="0049287A">
        <w:rPr>
          <w:rFonts w:ascii="Arial" w:eastAsia="Arial" w:hAnsi="Arial" w:cs="Arial"/>
          <w:color w:val="000000"/>
          <w:sz w:val="20"/>
        </w:rPr>
        <w:br/>
      </w:r>
      <w:r>
        <w:rPr>
          <w:rFonts w:ascii="Arial" w:eastAsia="Arial" w:hAnsi="Arial" w:cs="Arial"/>
          <w:color w:val="000000"/>
          <w:sz w:val="20"/>
        </w:rPr>
        <w:t>a která jsou každý půl rok aktualizována. Výsledkem je především to, že IROP splnil pravidlo n+3 pro rok 2019.</w:t>
      </w:r>
      <w:r>
        <w:br/>
      </w:r>
    </w:p>
    <w:p w14:paraId="657B07EC" w14:textId="08FB1332" w:rsidR="00A9747C" w:rsidRDefault="0046046C" w:rsidP="004016F1">
      <w:pPr>
        <w:spacing w:after="120" w:line="360" w:lineRule="auto"/>
        <w:ind w:left="119" w:right="121"/>
        <w:rPr>
          <w:rFonts w:ascii="Arial" w:eastAsia="Arial" w:hAnsi="Arial" w:cs="Arial"/>
          <w:color w:val="000000"/>
          <w:sz w:val="20"/>
        </w:rPr>
      </w:pPr>
      <w:r>
        <w:rPr>
          <w:rFonts w:ascii="Arial" w:eastAsia="Arial" w:hAnsi="Arial" w:cs="Arial"/>
          <w:color w:val="000000"/>
          <w:sz w:val="20"/>
        </w:rPr>
        <w:t xml:space="preserve">Všechny rizikové oblasti programu byly podchyceny v rámci řízení rizik IROP. Jedná se o rizikové oblasti jednotného informačního systému, výběru a hodnocení projektů, legislativy, jednotného metodického prostředí, administrativní kapacity, absorpční kapacity, veřejných zakázek, kontrolního systému, podvodů a korupce, neplnění stanovených věcných a finančních milníků, neplnění pravidla n+3, nebo neplnění hlavních indikátorů. Díky kvalitnímu řízení rizikových oblastí a plnění mnohých přijatých opatření se povedlo snížit rizikovost zmíněných oblastí </w:t>
      </w:r>
      <w:proofErr w:type="gramStart"/>
      <w:r>
        <w:rPr>
          <w:rFonts w:ascii="Arial" w:eastAsia="Arial" w:hAnsi="Arial" w:cs="Arial"/>
          <w:color w:val="000000"/>
          <w:sz w:val="20"/>
        </w:rPr>
        <w:t>na</w:t>
      </w:r>
      <w:proofErr w:type="gramEnd"/>
      <w:r>
        <w:rPr>
          <w:rFonts w:ascii="Arial" w:eastAsia="Arial" w:hAnsi="Arial" w:cs="Arial"/>
          <w:color w:val="000000"/>
          <w:sz w:val="20"/>
        </w:rPr>
        <w:t xml:space="preserve"> minimum. </w:t>
      </w:r>
      <w:r>
        <w:br/>
      </w:r>
    </w:p>
    <w:p w14:paraId="36C75830" w14:textId="77777777" w:rsidR="00053F41" w:rsidRDefault="0046046C" w:rsidP="00053F41">
      <w:pPr>
        <w:spacing w:after="120" w:line="360" w:lineRule="auto"/>
        <w:ind w:left="119" w:right="121"/>
        <w:jc w:val="both"/>
        <w:rPr>
          <w:rFonts w:ascii="Arial" w:eastAsia="Arial" w:hAnsi="Arial" w:cs="Arial"/>
          <w:color w:val="000000"/>
          <w:sz w:val="20"/>
        </w:rPr>
      </w:pPr>
      <w:r>
        <w:rPr>
          <w:rFonts w:ascii="Arial" w:eastAsia="Arial" w:hAnsi="Arial" w:cs="Arial"/>
          <w:color w:val="000000"/>
          <w:sz w:val="20"/>
        </w:rPr>
        <w:t xml:space="preserve">Dále se ŘO intenzivně věnuje projektům sociálního bydlení (SC 2.1). Z provedených kontrol ŘO IROP </w:t>
      </w:r>
      <w:r w:rsidR="002B5F4E">
        <w:rPr>
          <w:rFonts w:ascii="Arial" w:eastAsia="Arial" w:hAnsi="Arial" w:cs="Arial"/>
          <w:color w:val="000000"/>
          <w:sz w:val="20"/>
        </w:rPr>
        <w:br/>
      </w:r>
      <w:proofErr w:type="gramStart"/>
      <w:r>
        <w:rPr>
          <w:rFonts w:ascii="Arial" w:eastAsia="Arial" w:hAnsi="Arial" w:cs="Arial"/>
          <w:color w:val="000000"/>
          <w:sz w:val="20"/>
        </w:rPr>
        <w:t>a Centra</w:t>
      </w:r>
      <w:proofErr w:type="gramEnd"/>
      <w:r>
        <w:rPr>
          <w:rFonts w:ascii="Arial" w:eastAsia="Arial" w:hAnsi="Arial" w:cs="Arial"/>
          <w:color w:val="000000"/>
          <w:sz w:val="20"/>
        </w:rPr>
        <w:t xml:space="preserve"> a z veřejně dostupných zdrojů vyplynuly následující problematické oblasti, které se týkají zejména projektů realizovaných NNO (zejm. zapsané spolky, zapsané ústavy, obecně prospěšné s</w:t>
      </w:r>
      <w:r w:rsidR="00CE45ED">
        <w:rPr>
          <w:rFonts w:ascii="Arial" w:eastAsia="Arial" w:hAnsi="Arial" w:cs="Arial"/>
          <w:color w:val="000000"/>
          <w:sz w:val="20"/>
        </w:rPr>
        <w:t>polečnosti),</w:t>
      </w:r>
      <w:r w:rsidR="00053F41" w:rsidRPr="00053F41">
        <w:rPr>
          <w:rFonts w:ascii="Arial" w:eastAsia="Arial" w:hAnsi="Arial" w:cs="Arial"/>
          <w:color w:val="000000"/>
          <w:sz w:val="20"/>
        </w:rPr>
        <w:t xml:space="preserve"> </w:t>
      </w:r>
      <w:r w:rsidR="00053F41">
        <w:rPr>
          <w:rFonts w:ascii="Arial" w:eastAsia="Arial" w:hAnsi="Arial" w:cs="Arial"/>
          <w:color w:val="000000"/>
          <w:sz w:val="20"/>
        </w:rPr>
        <w:t>často založenými po vyhlášení výzev:</w:t>
      </w:r>
    </w:p>
    <w:p w14:paraId="516A83AD" w14:textId="09F172AB" w:rsidR="0049287A" w:rsidRPr="00053F41" w:rsidRDefault="00053F41" w:rsidP="00053F41">
      <w:pPr>
        <w:spacing w:after="120" w:line="360" w:lineRule="auto"/>
        <w:ind w:right="121"/>
        <w:jc w:val="both"/>
        <w:rPr>
          <w:rFonts w:ascii="Arial" w:eastAsia="Arial" w:hAnsi="Arial" w:cs="Arial"/>
          <w:color w:val="000000"/>
          <w:sz w:val="20"/>
        </w:rPr>
      </w:pPr>
      <w:r w:rsidRPr="00053F41">
        <w:rPr>
          <w:rFonts w:ascii="Arial" w:eastAsia="Arial" w:hAnsi="Arial" w:cs="Arial"/>
          <w:color w:val="000000"/>
          <w:sz w:val="20"/>
        </w:rPr>
        <w:t xml:space="preserve">- </w:t>
      </w:r>
      <w:r w:rsidR="0046046C" w:rsidRPr="00053F41">
        <w:rPr>
          <w:rFonts w:ascii="Arial" w:eastAsia="Arial" w:hAnsi="Arial" w:cs="Arial"/>
          <w:color w:val="000000"/>
          <w:sz w:val="20"/>
        </w:rPr>
        <w:t>pořizování nemovitostí od osob blízkých/propojených s příjemcem --&gt; umělé navýšení CZV projektu</w:t>
      </w:r>
      <w:r w:rsidR="0046046C">
        <w:br/>
      </w:r>
      <w:r w:rsidR="0046046C" w:rsidRPr="00053F41">
        <w:rPr>
          <w:rFonts w:ascii="Arial" w:eastAsia="Arial" w:hAnsi="Arial" w:cs="Arial"/>
          <w:color w:val="000000"/>
          <w:sz w:val="20"/>
        </w:rPr>
        <w:t>- poskytnutí sociálních bytů osobám nespadajícím do cílové skupiny --&gt; obcházení pravidel IROP</w:t>
      </w:r>
      <w:r w:rsidR="0046046C">
        <w:br/>
      </w:r>
      <w:r w:rsidR="0046046C">
        <w:br/>
      </w:r>
      <w:r w:rsidR="0046046C" w:rsidRPr="00053F41">
        <w:rPr>
          <w:rFonts w:ascii="Arial" w:eastAsia="Arial" w:hAnsi="Arial" w:cs="Arial"/>
          <w:color w:val="000000"/>
          <w:sz w:val="20"/>
        </w:rPr>
        <w:t xml:space="preserve">Mimo standardní veřejnosprávní kontroly na místě prováděné Centrem na vzorku projektů dle analýzy rizik proto zahájil ŘO IROP již v roce 2018 první sérii mimořádných veřejnosprávních kontrol na místě </w:t>
      </w:r>
      <w:r w:rsidR="002B5F4E" w:rsidRPr="00053F41">
        <w:rPr>
          <w:rFonts w:ascii="Arial" w:eastAsia="Arial" w:hAnsi="Arial" w:cs="Arial"/>
          <w:color w:val="000000"/>
          <w:sz w:val="20"/>
        </w:rPr>
        <w:br/>
      </w:r>
      <w:r w:rsidR="0046046C" w:rsidRPr="00053F41">
        <w:rPr>
          <w:rFonts w:ascii="Arial" w:eastAsia="Arial" w:hAnsi="Arial" w:cs="Arial"/>
          <w:color w:val="000000"/>
          <w:sz w:val="20"/>
        </w:rPr>
        <w:t xml:space="preserve">u vzorku 7 projektů, jejichž příjemci vykazovali rizikové znaky - založení spolku v období po vyhlášení výzev 34 a 35, případně propojení v osobě statutárního orgánu spolku nebo administrátora projektu. </w:t>
      </w:r>
      <w:r w:rsidR="002B5F4E" w:rsidRPr="00053F41">
        <w:rPr>
          <w:rFonts w:ascii="Arial" w:eastAsia="Arial" w:hAnsi="Arial" w:cs="Arial"/>
          <w:color w:val="000000"/>
          <w:sz w:val="20"/>
        </w:rPr>
        <w:br/>
      </w:r>
      <w:r w:rsidR="0046046C" w:rsidRPr="00053F41">
        <w:rPr>
          <w:rFonts w:ascii="Arial" w:eastAsia="Arial" w:hAnsi="Arial" w:cs="Arial"/>
          <w:color w:val="000000"/>
          <w:sz w:val="20"/>
        </w:rPr>
        <w:t xml:space="preserve">Na základě zjištění z těchto kontrol byl v září 2019 vzorek rozšířen </w:t>
      </w:r>
      <w:proofErr w:type="gramStart"/>
      <w:r w:rsidR="0046046C" w:rsidRPr="00053F41">
        <w:rPr>
          <w:rFonts w:ascii="Arial" w:eastAsia="Arial" w:hAnsi="Arial" w:cs="Arial"/>
          <w:color w:val="000000"/>
          <w:sz w:val="20"/>
        </w:rPr>
        <w:t>na</w:t>
      </w:r>
      <w:proofErr w:type="gramEnd"/>
      <w:r w:rsidR="0046046C" w:rsidRPr="00053F41">
        <w:rPr>
          <w:rFonts w:ascii="Arial" w:eastAsia="Arial" w:hAnsi="Arial" w:cs="Arial"/>
          <w:color w:val="000000"/>
          <w:sz w:val="20"/>
        </w:rPr>
        <w:t xml:space="preserve"> všechny projekty příjemců z řad neziskových organizací, u kterých již byla ukončena realizace projektu (dalších 33 kontrol). Mimořádné kontroly projektů sociálního bydlení stále probíhají a průběžný stav je následující:</w:t>
      </w:r>
    </w:p>
    <w:p w14:paraId="3BEBDF7F" w14:textId="0480F126" w:rsidR="00533CD2" w:rsidRPr="00003847" w:rsidRDefault="00003847" w:rsidP="00003847">
      <w:pPr>
        <w:spacing w:line="360" w:lineRule="auto"/>
      </w:pPr>
      <w:r>
        <w:rPr>
          <w:rFonts w:ascii="Arial" w:eastAsia="Arial" w:hAnsi="Arial" w:cs="Arial"/>
          <w:color w:val="000000"/>
          <w:sz w:val="20"/>
        </w:rPr>
        <w:t>- kontrol ukončeno: 7</w:t>
      </w:r>
      <w:r>
        <w:br/>
      </w:r>
      <w:r>
        <w:rPr>
          <w:rFonts w:ascii="Arial" w:eastAsia="Arial" w:hAnsi="Arial" w:cs="Arial"/>
          <w:color w:val="000000"/>
          <w:sz w:val="20"/>
        </w:rPr>
        <w:t>- bez zjištění: 3</w:t>
      </w:r>
      <w:r>
        <w:br/>
      </w:r>
      <w:r>
        <w:rPr>
          <w:rFonts w:ascii="Arial" w:eastAsia="Arial" w:hAnsi="Arial" w:cs="Arial"/>
          <w:color w:val="000000"/>
          <w:sz w:val="20"/>
        </w:rPr>
        <w:t xml:space="preserve">- se zjištěním: 4 (1 případ předán k vymožení na finanční úřad, u 1 případu bylo v žádosti o platbu "kráceno" 1,4 mil. Kč, 1 případ bude předán na FÚ - byly identifikovány nezpůsobilé výdaje ve výši </w:t>
      </w:r>
      <w:r>
        <w:rPr>
          <w:rFonts w:ascii="Arial" w:eastAsia="Arial" w:hAnsi="Arial" w:cs="Arial"/>
          <w:color w:val="000000"/>
          <w:sz w:val="20"/>
        </w:rPr>
        <w:br/>
        <w:t>1</w:t>
      </w:r>
      <w:proofErr w:type="gramStart"/>
      <w:r>
        <w:rPr>
          <w:rFonts w:ascii="Arial" w:eastAsia="Arial" w:hAnsi="Arial" w:cs="Arial"/>
          <w:color w:val="000000"/>
          <w:sz w:val="20"/>
        </w:rPr>
        <w:t>,2</w:t>
      </w:r>
      <w:proofErr w:type="gramEnd"/>
      <w:r>
        <w:rPr>
          <w:rFonts w:ascii="Arial" w:eastAsia="Arial" w:hAnsi="Arial" w:cs="Arial"/>
          <w:color w:val="000000"/>
          <w:sz w:val="20"/>
        </w:rPr>
        <w:t xml:space="preserve"> mil. Kč z důvodu nevyužití části bytů osobami z cílové skupiny a u 1 případu existuje riziko nezpůsobilosti, ale projekt ještě nebyl ukončen a příjemce má proto možnost některé chyby napravit)</w:t>
      </w:r>
      <w:r>
        <w:br/>
      </w:r>
      <w:r>
        <w:rPr>
          <w:rFonts w:ascii="Arial" w:eastAsia="Arial" w:hAnsi="Arial" w:cs="Arial"/>
          <w:color w:val="000000"/>
          <w:sz w:val="20"/>
        </w:rPr>
        <w:t>- kontrol zahájeno: 33 (v 5 případech byl odeslán protokol bez zjištění).</w:t>
      </w:r>
      <w:r w:rsidR="00CE45ED">
        <w:br w:type="page"/>
      </w:r>
    </w:p>
    <w:p w14:paraId="62E9E127" w14:textId="77777777" w:rsidR="00533CD2" w:rsidRDefault="0046046C">
      <w:pPr>
        <w:spacing w:after="120" w:line="264" w:lineRule="auto"/>
        <w:ind w:left="119" w:right="121"/>
        <w:jc w:val="both"/>
        <w:rPr>
          <w:rFonts w:ascii="Arial" w:eastAsia="Arial" w:hAnsi="Arial" w:cs="Arial"/>
          <w:color w:val="000000"/>
          <w:sz w:val="20"/>
        </w:rPr>
      </w:pPr>
      <w:r>
        <w:rPr>
          <w:rFonts w:ascii="Arial" w:eastAsia="Arial" w:hAnsi="Arial" w:cs="Arial"/>
          <w:color w:val="000000"/>
          <w:sz w:val="20"/>
        </w:rPr>
        <w:t>b) VOLITELNĚ U KRÁTKÝCH ZPRÁV, v opačném případě to bude uvedeno v bodě 11.1 vzoru (čl. 50 odst. 4 nařízení (EU) č. 1303/2013):</w:t>
      </w:r>
    </w:p>
    <w:p w14:paraId="416F8317" w14:textId="77777777" w:rsidR="00533CD2" w:rsidRDefault="0046046C">
      <w:pPr>
        <w:spacing w:after="120" w:line="264" w:lineRule="auto"/>
        <w:ind w:left="119" w:right="121"/>
        <w:jc w:val="both"/>
        <w:rPr>
          <w:rFonts w:ascii="Arial" w:eastAsia="Arial" w:hAnsi="Arial" w:cs="Arial"/>
          <w:color w:val="000000"/>
          <w:sz w:val="20"/>
        </w:rPr>
      </w:pPr>
      <w:r>
        <w:rPr>
          <w:rFonts w:ascii="Arial" w:eastAsia="Arial" w:hAnsi="Arial" w:cs="Arial"/>
          <w:color w:val="000000"/>
          <w:sz w:val="20"/>
        </w:rPr>
        <w:t>Posouzení, zda pokrok při dosahování cílů postačuje k zajištění jejich splnění, s uvedením případných přijatých nebo plánovaných nápravných opatření.</w:t>
      </w:r>
    </w:p>
    <w:p w14:paraId="497C0A24" w14:textId="6BCBFC93" w:rsidR="00533CD2" w:rsidRDefault="00A9747C" w:rsidP="00CE45ED">
      <w:pPr>
        <w:rPr>
          <w:rFonts w:ascii="Arial" w:eastAsia="Arial" w:hAnsi="Arial" w:cs="Arial"/>
          <w:color w:val="000000"/>
          <w:sz w:val="20"/>
        </w:rPr>
      </w:pPr>
      <w:r>
        <w:rPr>
          <w:rFonts w:ascii="Arial" w:eastAsia="Arial" w:hAnsi="Arial" w:cs="Arial"/>
          <w:color w:val="000000"/>
          <w:sz w:val="20"/>
        </w:rPr>
        <w:br w:type="page"/>
      </w:r>
    </w:p>
    <w:p w14:paraId="369DED0E" w14:textId="77777777" w:rsidR="00533CD2" w:rsidRPr="007429C8" w:rsidRDefault="0046046C" w:rsidP="007429C8">
      <w:pPr>
        <w:pStyle w:val="Nadpis1"/>
      </w:pPr>
      <w:bookmarkStart w:id="13" w:name="_Toc40877821"/>
      <w:r w:rsidRPr="007429C8">
        <w:t>SHRNUTÍ PRO VEŘEJNOST (čl. 50 odst. 9 nařízení (EU) č. 1303/2013)</w:t>
      </w:r>
      <w:bookmarkEnd w:id="13"/>
      <w:r w:rsidRPr="007429C8">
        <w:t xml:space="preserve"> </w:t>
      </w:r>
    </w:p>
    <w:p w14:paraId="639C1417" w14:textId="39C66602" w:rsidR="002B5F4E" w:rsidRDefault="0046046C" w:rsidP="00E806C4">
      <w:pPr>
        <w:spacing w:after="120" w:line="360" w:lineRule="auto"/>
        <w:ind w:left="119" w:right="121"/>
        <w:jc w:val="both"/>
      </w:pPr>
      <w:r>
        <w:br/>
      </w:r>
      <w:r>
        <w:rPr>
          <w:rFonts w:ascii="Arial" w:eastAsia="Arial" w:hAnsi="Arial" w:cs="Arial"/>
          <w:color w:val="000000"/>
          <w:sz w:val="20"/>
        </w:rPr>
        <w:t>Integrovaný regionální operační program (IROP) navazuje na Integrovaný operační program (IOP</w:t>
      </w:r>
      <w:proofErr w:type="gramStart"/>
      <w:r>
        <w:rPr>
          <w:rFonts w:ascii="Arial" w:eastAsia="Arial" w:hAnsi="Arial" w:cs="Arial"/>
          <w:color w:val="000000"/>
          <w:sz w:val="20"/>
        </w:rPr>
        <w:t>)</w:t>
      </w:r>
      <w:proofErr w:type="gramEnd"/>
      <w:r w:rsidR="0049287A">
        <w:rPr>
          <w:rFonts w:ascii="Arial" w:eastAsia="Arial" w:hAnsi="Arial" w:cs="Arial"/>
          <w:color w:val="000000"/>
          <w:sz w:val="20"/>
        </w:rPr>
        <w:br/>
      </w:r>
      <w:r>
        <w:rPr>
          <w:rFonts w:ascii="Arial" w:eastAsia="Arial" w:hAnsi="Arial" w:cs="Arial"/>
          <w:color w:val="000000"/>
          <w:sz w:val="20"/>
        </w:rPr>
        <w:t xml:space="preserve">a regionální operační programy z programového období 2007-2013. IROP usiluje o vyvážený rozvoj území, zkvalitnění infrastruktury, zlepšení veřejných služeb a veřejné správy a zajištění udržitelného rozvoje </w:t>
      </w:r>
      <w:r w:rsidR="0049287A">
        <w:rPr>
          <w:rFonts w:ascii="Arial" w:eastAsia="Arial" w:hAnsi="Arial" w:cs="Arial"/>
          <w:color w:val="000000"/>
          <w:sz w:val="20"/>
        </w:rPr>
        <w:br/>
      </w:r>
      <w:r>
        <w:rPr>
          <w:rFonts w:ascii="Arial" w:eastAsia="Arial" w:hAnsi="Arial" w:cs="Arial"/>
          <w:color w:val="000000"/>
          <w:sz w:val="20"/>
        </w:rPr>
        <w:t>v obcích, městech a regionech. Cílem programu je posílení regionální konkurenceschopnosti a kvality života všech obyvatel ČR. IROP má k dispozici 5</w:t>
      </w:r>
      <w:proofErr w:type="gramStart"/>
      <w:r>
        <w:rPr>
          <w:rFonts w:ascii="Arial" w:eastAsia="Arial" w:hAnsi="Arial" w:cs="Arial"/>
          <w:color w:val="000000"/>
          <w:sz w:val="20"/>
        </w:rPr>
        <w:t>,6</w:t>
      </w:r>
      <w:proofErr w:type="gramEnd"/>
      <w:r>
        <w:rPr>
          <w:rFonts w:ascii="Arial" w:eastAsia="Arial" w:hAnsi="Arial" w:cs="Arial"/>
          <w:color w:val="000000"/>
          <w:sz w:val="20"/>
        </w:rPr>
        <w:t xml:space="preserve"> mld. EUR, v přepočtu 142</w:t>
      </w:r>
      <w:proofErr w:type="gramStart"/>
      <w:r>
        <w:rPr>
          <w:rFonts w:ascii="Arial" w:eastAsia="Arial" w:hAnsi="Arial" w:cs="Arial"/>
          <w:color w:val="000000"/>
          <w:sz w:val="20"/>
        </w:rPr>
        <w:t>,6</w:t>
      </w:r>
      <w:proofErr w:type="gramEnd"/>
      <w:r>
        <w:rPr>
          <w:rFonts w:ascii="Arial" w:eastAsia="Arial" w:hAnsi="Arial" w:cs="Arial"/>
          <w:color w:val="000000"/>
          <w:sz w:val="20"/>
        </w:rPr>
        <w:t xml:space="preserve"> mld. Kč. Funkci Řídícího orgánu IROP (ŘO IROP) vykonává Ministerstvo pro místní rozvoj.</w:t>
      </w:r>
    </w:p>
    <w:p w14:paraId="61696489" w14:textId="77777777" w:rsidR="00E806C4" w:rsidRDefault="00E806C4" w:rsidP="00A9747C">
      <w:pPr>
        <w:spacing w:after="120" w:line="360" w:lineRule="auto"/>
        <w:ind w:left="119" w:right="121"/>
        <w:rPr>
          <w:rFonts w:ascii="Arial" w:eastAsia="Arial" w:hAnsi="Arial" w:cs="Arial"/>
          <w:b/>
          <w:color w:val="000000"/>
          <w:sz w:val="20"/>
        </w:rPr>
      </w:pPr>
    </w:p>
    <w:p w14:paraId="265D871B" w14:textId="7743A00C" w:rsidR="00317E44" w:rsidRPr="00CB5F44" w:rsidRDefault="0046046C" w:rsidP="00CB5F44">
      <w:pPr>
        <w:spacing w:after="120" w:line="360" w:lineRule="auto"/>
        <w:ind w:left="119" w:right="121"/>
        <w:rPr>
          <w:rFonts w:ascii="Arial" w:eastAsia="Arial" w:hAnsi="Arial" w:cs="Arial"/>
          <w:b/>
          <w:color w:val="000000"/>
          <w:sz w:val="20"/>
        </w:rPr>
      </w:pPr>
      <w:r w:rsidRPr="002B5F4E">
        <w:rPr>
          <w:rFonts w:ascii="Arial" w:eastAsia="Arial" w:hAnsi="Arial" w:cs="Arial"/>
          <w:b/>
          <w:color w:val="000000"/>
          <w:sz w:val="20"/>
        </w:rPr>
        <w:t>IROP v číslech</w:t>
      </w:r>
      <w:proofErr w:type="gramStart"/>
      <w:r w:rsidRPr="002B5F4E">
        <w:rPr>
          <w:rFonts w:ascii="Arial" w:eastAsia="Arial" w:hAnsi="Arial" w:cs="Arial"/>
          <w:b/>
          <w:color w:val="000000"/>
          <w:sz w:val="20"/>
        </w:rPr>
        <w:t>:</w:t>
      </w:r>
      <w:proofErr w:type="gramEnd"/>
      <w:r>
        <w:br/>
      </w:r>
      <w:r w:rsidR="00CB5F44">
        <w:rPr>
          <w:rFonts w:ascii="Arial" w:eastAsia="Arial" w:hAnsi="Arial" w:cs="Arial"/>
          <w:color w:val="000000"/>
          <w:sz w:val="20"/>
        </w:rPr>
        <w:t>-  vyhlášeno 92</w:t>
      </w:r>
      <w:r>
        <w:rPr>
          <w:rFonts w:ascii="Arial" w:eastAsia="Arial" w:hAnsi="Arial" w:cs="Arial"/>
          <w:color w:val="000000"/>
          <w:sz w:val="20"/>
        </w:rPr>
        <w:t xml:space="preserve"> výzev pro předkládání</w:t>
      </w:r>
      <w:r w:rsidR="00CB5F44">
        <w:rPr>
          <w:rFonts w:ascii="Arial" w:eastAsia="Arial" w:hAnsi="Arial" w:cs="Arial"/>
          <w:color w:val="000000"/>
          <w:sz w:val="20"/>
        </w:rPr>
        <w:t xml:space="preserve"> žádostí o podporu celkem za 179</w:t>
      </w:r>
      <w:r>
        <w:rPr>
          <w:rFonts w:ascii="Arial" w:eastAsia="Arial" w:hAnsi="Arial" w:cs="Arial"/>
          <w:color w:val="000000"/>
          <w:sz w:val="20"/>
        </w:rPr>
        <w:t>,6 mld. Kč</w:t>
      </w:r>
      <w:r>
        <w:br/>
      </w:r>
      <w:proofErr w:type="gramStart"/>
      <w:r>
        <w:rPr>
          <w:rFonts w:ascii="Arial" w:eastAsia="Arial" w:hAnsi="Arial" w:cs="Arial"/>
          <w:color w:val="000000"/>
          <w:sz w:val="20"/>
        </w:rPr>
        <w:t xml:space="preserve">- </w:t>
      </w:r>
      <w:r w:rsidR="00CB5F44">
        <w:rPr>
          <w:rFonts w:ascii="Arial" w:eastAsia="Arial" w:hAnsi="Arial" w:cs="Arial"/>
          <w:color w:val="000000"/>
          <w:sz w:val="20"/>
        </w:rPr>
        <w:t xml:space="preserve"> </w:t>
      </w:r>
      <w:r>
        <w:rPr>
          <w:rFonts w:ascii="Arial" w:eastAsia="Arial" w:hAnsi="Arial" w:cs="Arial"/>
          <w:color w:val="000000"/>
          <w:sz w:val="20"/>
        </w:rPr>
        <w:t>předloženo</w:t>
      </w:r>
      <w:proofErr w:type="gramEnd"/>
      <w:r>
        <w:rPr>
          <w:rFonts w:ascii="Arial" w:eastAsia="Arial" w:hAnsi="Arial" w:cs="Arial"/>
          <w:color w:val="000000"/>
          <w:sz w:val="20"/>
        </w:rPr>
        <w:t xml:space="preserve"> 13 265 žádostí o podporu celkem za 216 mld. Kč</w:t>
      </w:r>
      <w:r>
        <w:br/>
      </w:r>
      <w:r>
        <w:rPr>
          <w:rFonts w:ascii="Arial" w:eastAsia="Arial" w:hAnsi="Arial" w:cs="Arial"/>
          <w:color w:val="000000"/>
          <w:sz w:val="20"/>
        </w:rPr>
        <w:t>- vyřazeno 3 196 žádostí celkem za 52</w:t>
      </w:r>
      <w:proofErr w:type="gramStart"/>
      <w:r>
        <w:rPr>
          <w:rFonts w:ascii="Arial" w:eastAsia="Arial" w:hAnsi="Arial" w:cs="Arial"/>
          <w:color w:val="000000"/>
          <w:sz w:val="20"/>
        </w:rPr>
        <w:t>,4</w:t>
      </w:r>
      <w:proofErr w:type="gramEnd"/>
      <w:r>
        <w:rPr>
          <w:rFonts w:ascii="Arial" w:eastAsia="Arial" w:hAnsi="Arial" w:cs="Arial"/>
          <w:color w:val="000000"/>
          <w:sz w:val="20"/>
        </w:rPr>
        <w:t xml:space="preserve"> mld. Kč pro nesplnění podmínek výzvy nebo nedostatku financí </w:t>
      </w:r>
      <w:r w:rsidR="00C9336C">
        <w:rPr>
          <w:rFonts w:ascii="Arial" w:eastAsia="Arial" w:hAnsi="Arial" w:cs="Arial"/>
          <w:color w:val="000000"/>
          <w:sz w:val="20"/>
        </w:rPr>
        <w:t xml:space="preserve">                       </w:t>
      </w:r>
      <w:r w:rsidR="00A9747C">
        <w:rPr>
          <w:rFonts w:ascii="Arial" w:eastAsia="Arial" w:hAnsi="Arial" w:cs="Arial"/>
          <w:color w:val="000000"/>
          <w:sz w:val="20"/>
        </w:rPr>
        <w:t xml:space="preserve">  </w:t>
      </w:r>
      <w:r w:rsidR="00346AA6">
        <w:rPr>
          <w:rFonts w:ascii="Arial" w:eastAsia="Arial" w:hAnsi="Arial" w:cs="Arial"/>
          <w:color w:val="000000"/>
          <w:sz w:val="20"/>
        </w:rPr>
        <w:t xml:space="preserve">    </w:t>
      </w:r>
      <w:r w:rsidR="00CB5F44">
        <w:rPr>
          <w:rFonts w:ascii="Arial" w:eastAsia="Arial" w:hAnsi="Arial" w:cs="Arial"/>
          <w:color w:val="000000"/>
          <w:sz w:val="20"/>
        </w:rPr>
        <w:t xml:space="preserve">         </w:t>
      </w:r>
      <w:r>
        <w:rPr>
          <w:rFonts w:ascii="Arial" w:eastAsia="Arial" w:hAnsi="Arial" w:cs="Arial"/>
          <w:color w:val="000000"/>
          <w:sz w:val="20"/>
        </w:rPr>
        <w:t xml:space="preserve">ve výzvě </w:t>
      </w:r>
      <w:r>
        <w:br/>
      </w:r>
      <w:r>
        <w:rPr>
          <w:rFonts w:ascii="Arial" w:eastAsia="Arial" w:hAnsi="Arial" w:cs="Arial"/>
          <w:color w:val="000000"/>
          <w:sz w:val="20"/>
        </w:rPr>
        <w:t>- schváleno 8 252 projektů celkem za 133</w:t>
      </w:r>
      <w:proofErr w:type="gramStart"/>
      <w:r>
        <w:rPr>
          <w:rFonts w:ascii="Arial" w:eastAsia="Arial" w:hAnsi="Arial" w:cs="Arial"/>
          <w:color w:val="000000"/>
          <w:sz w:val="20"/>
        </w:rPr>
        <w:t>,7</w:t>
      </w:r>
      <w:proofErr w:type="gramEnd"/>
      <w:r>
        <w:rPr>
          <w:rFonts w:ascii="Arial" w:eastAsia="Arial" w:hAnsi="Arial" w:cs="Arial"/>
          <w:color w:val="000000"/>
          <w:sz w:val="20"/>
        </w:rPr>
        <w:t xml:space="preserve"> mld. Kč</w:t>
      </w:r>
      <w:r>
        <w:br/>
      </w:r>
      <w:r>
        <w:rPr>
          <w:rFonts w:ascii="Arial" w:eastAsia="Arial" w:hAnsi="Arial" w:cs="Arial"/>
          <w:color w:val="000000"/>
          <w:sz w:val="20"/>
        </w:rPr>
        <w:t>- právní akt vydán k 7 986 projektům celkem za 128</w:t>
      </w:r>
      <w:proofErr w:type="gramStart"/>
      <w:r>
        <w:rPr>
          <w:rFonts w:ascii="Arial" w:eastAsia="Arial" w:hAnsi="Arial" w:cs="Arial"/>
          <w:color w:val="000000"/>
          <w:sz w:val="20"/>
        </w:rPr>
        <w:t>,4</w:t>
      </w:r>
      <w:proofErr w:type="gramEnd"/>
      <w:r>
        <w:rPr>
          <w:rFonts w:ascii="Arial" w:eastAsia="Arial" w:hAnsi="Arial" w:cs="Arial"/>
          <w:color w:val="000000"/>
          <w:sz w:val="20"/>
        </w:rPr>
        <w:t xml:space="preserve"> mld. Kč, tj. 90 % alokace IROP </w:t>
      </w:r>
      <w:r>
        <w:br/>
      </w:r>
      <w:r>
        <w:rPr>
          <w:rFonts w:ascii="Arial" w:eastAsia="Arial" w:hAnsi="Arial" w:cs="Arial"/>
          <w:color w:val="000000"/>
          <w:sz w:val="20"/>
        </w:rPr>
        <w:t>- příjemcům proplaceno celkem 51</w:t>
      </w:r>
      <w:proofErr w:type="gramStart"/>
      <w:r>
        <w:rPr>
          <w:rFonts w:ascii="Arial" w:eastAsia="Arial" w:hAnsi="Arial" w:cs="Arial"/>
          <w:color w:val="000000"/>
          <w:sz w:val="20"/>
        </w:rPr>
        <w:t>,4</w:t>
      </w:r>
      <w:proofErr w:type="gramEnd"/>
      <w:r>
        <w:rPr>
          <w:rFonts w:ascii="Arial" w:eastAsia="Arial" w:hAnsi="Arial" w:cs="Arial"/>
          <w:color w:val="000000"/>
          <w:sz w:val="20"/>
        </w:rPr>
        <w:t xml:space="preserve"> mld. Kč </w:t>
      </w:r>
    </w:p>
    <w:p w14:paraId="71179663" w14:textId="34513C27" w:rsidR="00CB5F44" w:rsidRPr="00CB5F44" w:rsidRDefault="00CB5F44" w:rsidP="00E86407">
      <w:pPr>
        <w:spacing w:after="120" w:line="360" w:lineRule="auto"/>
        <w:ind w:left="119" w:right="121"/>
        <w:rPr>
          <w:rFonts w:ascii="Arial" w:eastAsia="Arial" w:hAnsi="Arial" w:cs="Arial"/>
          <w:b/>
          <w:color w:val="000000"/>
          <w:sz w:val="20"/>
        </w:rPr>
      </w:pPr>
      <w:r>
        <w:rPr>
          <w:rFonts w:ascii="Arial" w:eastAsia="Arial" w:hAnsi="Arial" w:cs="Arial"/>
          <w:color w:val="000000"/>
          <w:sz w:val="20"/>
        </w:rPr>
        <w:t xml:space="preserve">- </w:t>
      </w:r>
      <w:r w:rsidR="00317E44" w:rsidRPr="00CB5F44">
        <w:rPr>
          <w:rFonts w:ascii="Arial" w:eastAsia="Arial" w:hAnsi="Arial" w:cs="Arial"/>
          <w:color w:val="000000"/>
          <w:sz w:val="20"/>
        </w:rPr>
        <w:t>ŘO IROP připravil žádosti o průběžnou platbu z EK ve výši 43</w:t>
      </w:r>
      <w:proofErr w:type="gramStart"/>
      <w:r w:rsidR="00317E44" w:rsidRPr="00CB5F44">
        <w:rPr>
          <w:rFonts w:ascii="Arial" w:eastAsia="Arial" w:hAnsi="Arial" w:cs="Arial"/>
          <w:color w:val="000000"/>
          <w:sz w:val="20"/>
        </w:rPr>
        <w:t>,5</w:t>
      </w:r>
      <w:proofErr w:type="gramEnd"/>
      <w:r w:rsidR="00317E44" w:rsidRPr="00CB5F44">
        <w:rPr>
          <w:rFonts w:ascii="Arial" w:eastAsia="Arial" w:hAnsi="Arial" w:cs="Arial"/>
          <w:color w:val="000000"/>
          <w:sz w:val="20"/>
        </w:rPr>
        <w:t xml:space="preserve"> mld. Kč</w:t>
      </w:r>
      <w:r w:rsidR="008C7474">
        <w:rPr>
          <w:rFonts w:ascii="Arial" w:eastAsia="Arial" w:hAnsi="Arial" w:cs="Arial"/>
          <w:color w:val="000000"/>
          <w:sz w:val="20"/>
        </w:rPr>
        <w:t xml:space="preserve"> (EFRR)</w:t>
      </w:r>
      <w:proofErr w:type="gramStart"/>
      <w:r w:rsidR="008C7474">
        <w:rPr>
          <w:rFonts w:ascii="Arial" w:eastAsia="Arial" w:hAnsi="Arial" w:cs="Arial"/>
          <w:color w:val="000000"/>
          <w:sz w:val="20"/>
        </w:rPr>
        <w:t>,tj</w:t>
      </w:r>
      <w:proofErr w:type="gramEnd"/>
      <w:r w:rsidR="008C7474">
        <w:rPr>
          <w:rFonts w:ascii="Arial" w:eastAsia="Arial" w:hAnsi="Arial" w:cs="Arial"/>
          <w:color w:val="000000"/>
          <w:sz w:val="20"/>
        </w:rPr>
        <w:t xml:space="preserve">. </w:t>
      </w:r>
      <w:r w:rsidR="00A77A92">
        <w:rPr>
          <w:rFonts w:ascii="Arial" w:eastAsia="Arial" w:hAnsi="Arial" w:cs="Arial"/>
          <w:color w:val="000000"/>
          <w:sz w:val="20"/>
        </w:rPr>
        <w:t>3</w:t>
      </w:r>
      <w:r w:rsidR="00E86407">
        <w:rPr>
          <w:rFonts w:ascii="Arial" w:eastAsia="Arial" w:hAnsi="Arial" w:cs="Arial"/>
          <w:color w:val="000000"/>
          <w:sz w:val="20"/>
        </w:rPr>
        <w:t>5</w:t>
      </w:r>
      <w:r w:rsidR="008C7474">
        <w:rPr>
          <w:rFonts w:ascii="Arial" w:eastAsia="Arial" w:hAnsi="Arial" w:cs="Arial"/>
          <w:color w:val="000000"/>
          <w:sz w:val="20"/>
        </w:rPr>
        <w:t xml:space="preserve"> % </w:t>
      </w:r>
      <w:r w:rsidR="00E86407">
        <w:rPr>
          <w:rFonts w:ascii="Arial" w:eastAsia="Arial" w:hAnsi="Arial" w:cs="Arial"/>
          <w:color w:val="000000"/>
          <w:sz w:val="20"/>
        </w:rPr>
        <w:t xml:space="preserve">celkové </w:t>
      </w:r>
      <w:r w:rsidR="008C7474">
        <w:rPr>
          <w:rFonts w:ascii="Arial" w:eastAsia="Arial" w:hAnsi="Arial" w:cs="Arial"/>
          <w:color w:val="000000"/>
          <w:sz w:val="20"/>
        </w:rPr>
        <w:t>alokace</w:t>
      </w:r>
      <w:r w:rsidR="00E86407">
        <w:rPr>
          <w:rFonts w:ascii="Arial" w:eastAsia="Arial" w:hAnsi="Arial" w:cs="Arial"/>
          <w:color w:val="000000"/>
          <w:sz w:val="20"/>
        </w:rPr>
        <w:t xml:space="preserve"> programu (EFRR)</w:t>
      </w:r>
    </w:p>
    <w:p w14:paraId="75BBA6AC" w14:textId="0E8DC145" w:rsidR="006930A8" w:rsidRPr="00CB5F44" w:rsidRDefault="00CB5F44" w:rsidP="00CB5F44">
      <w:pPr>
        <w:spacing w:after="120" w:line="360" w:lineRule="auto"/>
        <w:ind w:right="121" w:firstLine="119"/>
        <w:rPr>
          <w:rFonts w:ascii="Arial" w:eastAsia="Arial" w:hAnsi="Arial" w:cs="Arial"/>
          <w:b/>
          <w:color w:val="000000"/>
          <w:sz w:val="20"/>
        </w:rPr>
      </w:pPr>
      <w:r>
        <w:t xml:space="preserve">- </w:t>
      </w:r>
      <w:proofErr w:type="gramStart"/>
      <w:r>
        <w:t>u</w:t>
      </w:r>
      <w:r w:rsidR="0046046C" w:rsidRPr="00CB5F44">
        <w:rPr>
          <w:rFonts w:ascii="Arial" w:eastAsia="Arial" w:hAnsi="Arial" w:cs="Arial"/>
          <w:color w:val="000000"/>
          <w:sz w:val="20"/>
        </w:rPr>
        <w:t>končeno</w:t>
      </w:r>
      <w:proofErr w:type="gramEnd"/>
      <w:r w:rsidR="0046046C" w:rsidRPr="00CB5F44">
        <w:rPr>
          <w:rFonts w:ascii="Arial" w:eastAsia="Arial" w:hAnsi="Arial" w:cs="Arial"/>
          <w:color w:val="000000"/>
          <w:sz w:val="20"/>
        </w:rPr>
        <w:t xml:space="preserve"> 4 486 </w:t>
      </w:r>
      <w:r w:rsidR="006930A8" w:rsidRPr="00CB5F44">
        <w:rPr>
          <w:rFonts w:ascii="Arial" w:eastAsia="Arial" w:hAnsi="Arial" w:cs="Arial"/>
          <w:color w:val="000000"/>
          <w:sz w:val="20"/>
        </w:rPr>
        <w:t>projektů celkem za 50,4 mld. Kč</w:t>
      </w:r>
    </w:p>
    <w:p w14:paraId="312D9703" w14:textId="60F8E72E" w:rsidR="00346AA6" w:rsidRDefault="0046046C" w:rsidP="00E806C4">
      <w:pPr>
        <w:spacing w:after="120" w:line="360" w:lineRule="auto"/>
        <w:ind w:left="119" w:right="121"/>
        <w:jc w:val="both"/>
      </w:pPr>
      <w:r>
        <w:br/>
      </w:r>
      <w:r w:rsidRPr="00F557AD">
        <w:rPr>
          <w:rFonts w:ascii="Arial" w:eastAsia="Arial" w:hAnsi="Arial" w:cs="Arial"/>
          <w:b/>
          <w:color w:val="000000"/>
          <w:sz w:val="20"/>
        </w:rPr>
        <w:t>Integrované nástroje v IROP</w:t>
      </w:r>
    </w:p>
    <w:p w14:paraId="58E710AF" w14:textId="65E42245" w:rsidR="007A694E" w:rsidRDefault="00A9747C" w:rsidP="00E806C4">
      <w:pPr>
        <w:spacing w:after="120" w:line="360" w:lineRule="auto"/>
        <w:ind w:left="119" w:right="121"/>
        <w:jc w:val="both"/>
        <w:rPr>
          <w:rFonts w:ascii="Arial" w:eastAsia="Arial" w:hAnsi="Arial" w:cs="Arial"/>
          <w:color w:val="000000"/>
          <w:sz w:val="20"/>
        </w:rPr>
      </w:pPr>
      <w:r>
        <w:br/>
      </w:r>
      <w:r w:rsidR="0046046C">
        <w:rPr>
          <w:rFonts w:ascii="Arial" w:eastAsia="Arial" w:hAnsi="Arial" w:cs="Arial"/>
          <w:color w:val="000000"/>
          <w:sz w:val="20"/>
        </w:rPr>
        <w:t>Kromě výzev pro individuální projekty byly v roce 2019 ve svižném tempu vyhlašovány výzvy integrovaných nástrojů, které mají k dispozici 26,3 % finančních prostředků programu, tj. 38</w:t>
      </w:r>
      <w:proofErr w:type="gramStart"/>
      <w:r w:rsidR="0046046C">
        <w:rPr>
          <w:rFonts w:ascii="Arial" w:eastAsia="Arial" w:hAnsi="Arial" w:cs="Arial"/>
          <w:color w:val="000000"/>
          <w:sz w:val="20"/>
        </w:rPr>
        <w:t>,4</w:t>
      </w:r>
      <w:proofErr w:type="gramEnd"/>
      <w:r w:rsidR="0046046C">
        <w:rPr>
          <w:rFonts w:ascii="Arial" w:eastAsia="Arial" w:hAnsi="Arial" w:cs="Arial"/>
          <w:color w:val="000000"/>
          <w:sz w:val="20"/>
        </w:rPr>
        <w:t xml:space="preserve"> mld. Kč. </w:t>
      </w:r>
      <w:r w:rsidR="0046046C">
        <w:br/>
      </w:r>
      <w:r w:rsidR="0046046C" w:rsidRPr="007A694E">
        <w:rPr>
          <w:rFonts w:ascii="Arial" w:eastAsia="Arial" w:hAnsi="Arial" w:cs="Arial"/>
          <w:b/>
          <w:color w:val="000000"/>
          <w:sz w:val="20"/>
        </w:rPr>
        <w:t>Městské aglomerace integrovaných územních investic</w:t>
      </w:r>
      <w:r w:rsidR="0046046C">
        <w:rPr>
          <w:rFonts w:ascii="Arial" w:eastAsia="Arial" w:hAnsi="Arial" w:cs="Arial"/>
          <w:color w:val="000000"/>
          <w:sz w:val="20"/>
        </w:rPr>
        <w:t xml:space="preserve"> (ITI) vyhlásily 187 výzev, do kterých bylo předloženo celkem 821 žádostí o </w:t>
      </w:r>
      <w:proofErr w:type="gramStart"/>
      <w:r w:rsidR="0046046C">
        <w:rPr>
          <w:rFonts w:ascii="Arial" w:eastAsia="Arial" w:hAnsi="Arial" w:cs="Arial"/>
          <w:color w:val="000000"/>
          <w:sz w:val="20"/>
        </w:rPr>
        <w:t>podporu  celkem</w:t>
      </w:r>
      <w:proofErr w:type="gramEnd"/>
      <w:r w:rsidR="0046046C">
        <w:rPr>
          <w:rFonts w:ascii="Arial" w:eastAsia="Arial" w:hAnsi="Arial" w:cs="Arial"/>
          <w:color w:val="000000"/>
          <w:sz w:val="20"/>
        </w:rPr>
        <w:t xml:space="preserve"> za 16,4 mld. Kč. 543 projektů </w:t>
      </w:r>
      <w:r w:rsidR="0046046C">
        <w:br/>
      </w:r>
      <w:r w:rsidR="0046046C">
        <w:rPr>
          <w:rFonts w:ascii="Arial" w:eastAsia="Arial" w:hAnsi="Arial" w:cs="Arial"/>
          <w:color w:val="000000"/>
          <w:sz w:val="20"/>
        </w:rPr>
        <w:t xml:space="preserve">za 10 </w:t>
      </w:r>
      <w:proofErr w:type="gramStart"/>
      <w:r w:rsidR="0046046C">
        <w:rPr>
          <w:rFonts w:ascii="Arial" w:eastAsia="Arial" w:hAnsi="Arial" w:cs="Arial"/>
          <w:color w:val="000000"/>
          <w:sz w:val="20"/>
        </w:rPr>
        <w:t>mld</w:t>
      </w:r>
      <w:proofErr w:type="gramEnd"/>
      <w:r w:rsidR="0046046C">
        <w:rPr>
          <w:rFonts w:ascii="Arial" w:eastAsia="Arial" w:hAnsi="Arial" w:cs="Arial"/>
          <w:color w:val="000000"/>
          <w:sz w:val="20"/>
        </w:rPr>
        <w:t xml:space="preserve">. Kč je již v realizaci. Proplaceno bylo 5 </w:t>
      </w:r>
      <w:proofErr w:type="gramStart"/>
      <w:r w:rsidR="0046046C">
        <w:rPr>
          <w:rFonts w:ascii="Arial" w:eastAsia="Arial" w:hAnsi="Arial" w:cs="Arial"/>
          <w:color w:val="000000"/>
          <w:sz w:val="20"/>
        </w:rPr>
        <w:t>mld</w:t>
      </w:r>
      <w:proofErr w:type="gramEnd"/>
      <w:r w:rsidR="0046046C">
        <w:rPr>
          <w:rFonts w:ascii="Arial" w:eastAsia="Arial" w:hAnsi="Arial" w:cs="Arial"/>
          <w:color w:val="000000"/>
          <w:sz w:val="20"/>
        </w:rPr>
        <w:t>. Kč, tedy 33</w:t>
      </w:r>
      <w:proofErr w:type="gramStart"/>
      <w:r w:rsidR="0046046C">
        <w:rPr>
          <w:rFonts w:ascii="Arial" w:eastAsia="Arial" w:hAnsi="Arial" w:cs="Arial"/>
          <w:color w:val="000000"/>
          <w:sz w:val="20"/>
        </w:rPr>
        <w:t>,1</w:t>
      </w:r>
      <w:proofErr w:type="gramEnd"/>
      <w:r w:rsidR="0046046C">
        <w:rPr>
          <w:rFonts w:ascii="Arial" w:eastAsia="Arial" w:hAnsi="Arial" w:cs="Arial"/>
          <w:color w:val="000000"/>
          <w:sz w:val="20"/>
        </w:rPr>
        <w:t xml:space="preserve"> % celkové alokace ITI v IROP. </w:t>
      </w:r>
      <w:r w:rsidR="0046046C">
        <w:br/>
      </w:r>
      <w:r w:rsidR="0046046C" w:rsidRPr="007A694E">
        <w:rPr>
          <w:rFonts w:ascii="Arial" w:eastAsia="Arial" w:hAnsi="Arial" w:cs="Arial"/>
          <w:b/>
          <w:color w:val="000000"/>
          <w:sz w:val="20"/>
        </w:rPr>
        <w:t>Městské aglomerace Integrovaných plánů rozvoje území</w:t>
      </w:r>
      <w:r w:rsidR="0046046C">
        <w:rPr>
          <w:rFonts w:ascii="Arial" w:eastAsia="Arial" w:hAnsi="Arial" w:cs="Arial"/>
          <w:color w:val="000000"/>
          <w:sz w:val="20"/>
        </w:rPr>
        <w:t xml:space="preserve"> (IPRÚ) vyhlásily 145 výzev, </w:t>
      </w:r>
      <w:r w:rsidR="0046046C">
        <w:br/>
      </w:r>
      <w:r w:rsidR="0046046C">
        <w:rPr>
          <w:rFonts w:ascii="Arial" w:eastAsia="Arial" w:hAnsi="Arial" w:cs="Arial"/>
          <w:color w:val="000000"/>
          <w:sz w:val="20"/>
        </w:rPr>
        <w:t>do kterých bylo předloženo 265 žádostí o podporu za 4</w:t>
      </w:r>
      <w:proofErr w:type="gramStart"/>
      <w:r w:rsidR="0046046C">
        <w:rPr>
          <w:rFonts w:ascii="Arial" w:eastAsia="Arial" w:hAnsi="Arial" w:cs="Arial"/>
          <w:color w:val="000000"/>
          <w:sz w:val="20"/>
        </w:rPr>
        <w:t>,3</w:t>
      </w:r>
      <w:proofErr w:type="gramEnd"/>
      <w:r w:rsidR="0046046C">
        <w:rPr>
          <w:rFonts w:ascii="Arial" w:eastAsia="Arial" w:hAnsi="Arial" w:cs="Arial"/>
          <w:color w:val="000000"/>
          <w:sz w:val="20"/>
        </w:rPr>
        <w:t xml:space="preserve"> mld. Kč. 189 projektů v celkové částce 2</w:t>
      </w:r>
      <w:proofErr w:type="gramStart"/>
      <w:r w:rsidR="0046046C">
        <w:rPr>
          <w:rFonts w:ascii="Arial" w:eastAsia="Arial" w:hAnsi="Arial" w:cs="Arial"/>
          <w:color w:val="000000"/>
          <w:sz w:val="20"/>
        </w:rPr>
        <w:t>,8</w:t>
      </w:r>
      <w:proofErr w:type="gramEnd"/>
      <w:r w:rsidR="0046046C">
        <w:rPr>
          <w:rFonts w:ascii="Arial" w:eastAsia="Arial" w:hAnsi="Arial" w:cs="Arial"/>
          <w:color w:val="000000"/>
          <w:sz w:val="20"/>
        </w:rPr>
        <w:t xml:space="preserve"> mld. Kč je již v realizaci. Proplaceno bylo 1</w:t>
      </w:r>
      <w:proofErr w:type="gramStart"/>
      <w:r w:rsidR="0046046C">
        <w:rPr>
          <w:rFonts w:ascii="Arial" w:eastAsia="Arial" w:hAnsi="Arial" w:cs="Arial"/>
          <w:color w:val="000000"/>
          <w:sz w:val="20"/>
        </w:rPr>
        <w:t>,7</w:t>
      </w:r>
      <w:proofErr w:type="gramEnd"/>
      <w:r w:rsidR="0046046C">
        <w:rPr>
          <w:rFonts w:ascii="Arial" w:eastAsia="Arial" w:hAnsi="Arial" w:cs="Arial"/>
          <w:color w:val="000000"/>
          <w:sz w:val="20"/>
        </w:rPr>
        <w:t xml:space="preserve"> mld. Kč, tedy 28</w:t>
      </w:r>
      <w:proofErr w:type="gramStart"/>
      <w:r w:rsidR="0046046C">
        <w:rPr>
          <w:rFonts w:ascii="Arial" w:eastAsia="Arial" w:hAnsi="Arial" w:cs="Arial"/>
          <w:color w:val="000000"/>
          <w:sz w:val="20"/>
        </w:rPr>
        <w:t>,9</w:t>
      </w:r>
      <w:proofErr w:type="gramEnd"/>
      <w:r w:rsidR="0046046C">
        <w:rPr>
          <w:rFonts w:ascii="Arial" w:eastAsia="Arial" w:hAnsi="Arial" w:cs="Arial"/>
          <w:color w:val="000000"/>
          <w:sz w:val="20"/>
        </w:rPr>
        <w:t xml:space="preserve"> % celkové alokace IPRÚ v IROP.</w:t>
      </w:r>
      <w:r w:rsidR="0046046C">
        <w:br/>
      </w:r>
      <w:r w:rsidR="0046046C" w:rsidRPr="007A694E">
        <w:rPr>
          <w:rFonts w:ascii="Arial" w:eastAsia="Arial" w:hAnsi="Arial" w:cs="Arial"/>
          <w:b/>
          <w:color w:val="000000"/>
          <w:sz w:val="20"/>
        </w:rPr>
        <w:t>Místní akční skupiny</w:t>
      </w:r>
      <w:r w:rsidR="0046046C">
        <w:rPr>
          <w:rFonts w:ascii="Arial" w:eastAsia="Arial" w:hAnsi="Arial" w:cs="Arial"/>
          <w:color w:val="000000"/>
          <w:sz w:val="20"/>
        </w:rPr>
        <w:t xml:space="preserve"> (MAS) vyhlásily 1 403 výzev, do kterých bylo předloženo 3 </w:t>
      </w:r>
      <w:proofErr w:type="gramStart"/>
      <w:r w:rsidR="0046046C">
        <w:rPr>
          <w:rFonts w:ascii="Arial" w:eastAsia="Arial" w:hAnsi="Arial" w:cs="Arial"/>
          <w:color w:val="000000"/>
          <w:sz w:val="20"/>
        </w:rPr>
        <w:t>002 žádostí</w:t>
      </w:r>
      <w:proofErr w:type="gramEnd"/>
      <w:r w:rsidR="0046046C">
        <w:rPr>
          <w:rFonts w:ascii="Arial" w:eastAsia="Arial" w:hAnsi="Arial" w:cs="Arial"/>
          <w:color w:val="000000"/>
          <w:sz w:val="20"/>
        </w:rPr>
        <w:t xml:space="preserve"> </w:t>
      </w:r>
      <w:r w:rsidR="0046046C">
        <w:br/>
      </w:r>
      <w:r w:rsidR="0046046C">
        <w:rPr>
          <w:rFonts w:ascii="Arial" w:eastAsia="Arial" w:hAnsi="Arial" w:cs="Arial"/>
          <w:color w:val="000000"/>
          <w:sz w:val="20"/>
        </w:rPr>
        <w:t xml:space="preserve">o podporu za 7 mld. Kč. V realizaci je 1 </w:t>
      </w:r>
      <w:proofErr w:type="gramStart"/>
      <w:r w:rsidR="0046046C">
        <w:rPr>
          <w:rFonts w:ascii="Arial" w:eastAsia="Arial" w:hAnsi="Arial" w:cs="Arial"/>
          <w:color w:val="000000"/>
          <w:sz w:val="20"/>
        </w:rPr>
        <w:t>782 projektů</w:t>
      </w:r>
      <w:proofErr w:type="gramEnd"/>
      <w:r w:rsidR="0046046C">
        <w:rPr>
          <w:rFonts w:ascii="Arial" w:eastAsia="Arial" w:hAnsi="Arial" w:cs="Arial"/>
          <w:color w:val="000000"/>
          <w:sz w:val="20"/>
        </w:rPr>
        <w:t xml:space="preserve"> za 4 mld. Kč. Proplaceno bylo 1</w:t>
      </w:r>
      <w:proofErr w:type="gramStart"/>
      <w:r w:rsidR="0046046C">
        <w:rPr>
          <w:rFonts w:ascii="Arial" w:eastAsia="Arial" w:hAnsi="Arial" w:cs="Arial"/>
          <w:color w:val="000000"/>
          <w:sz w:val="20"/>
        </w:rPr>
        <w:t>,7</w:t>
      </w:r>
      <w:proofErr w:type="gramEnd"/>
      <w:r w:rsidR="0046046C">
        <w:rPr>
          <w:rFonts w:ascii="Arial" w:eastAsia="Arial" w:hAnsi="Arial" w:cs="Arial"/>
          <w:color w:val="000000"/>
          <w:sz w:val="20"/>
        </w:rPr>
        <w:t xml:space="preserve"> mld. Kč, </w:t>
      </w:r>
      <w:proofErr w:type="gramStart"/>
      <w:r w:rsidR="0046046C">
        <w:rPr>
          <w:rFonts w:ascii="Arial" w:eastAsia="Arial" w:hAnsi="Arial" w:cs="Arial"/>
          <w:color w:val="000000"/>
          <w:sz w:val="20"/>
        </w:rPr>
        <w:t>tedy</w:t>
      </w:r>
      <w:r w:rsidR="007A694E">
        <w:rPr>
          <w:rFonts w:ascii="Arial" w:eastAsia="Arial" w:hAnsi="Arial" w:cs="Arial"/>
          <w:color w:val="000000"/>
          <w:sz w:val="20"/>
        </w:rPr>
        <w:t xml:space="preserve">  21,1</w:t>
      </w:r>
      <w:proofErr w:type="gramEnd"/>
      <w:r w:rsidR="007A694E">
        <w:rPr>
          <w:rFonts w:ascii="Arial" w:eastAsia="Arial" w:hAnsi="Arial" w:cs="Arial"/>
          <w:color w:val="000000"/>
          <w:sz w:val="20"/>
        </w:rPr>
        <w:t xml:space="preserve"> % celkové alokace MAS v IROP.</w:t>
      </w:r>
    </w:p>
    <w:p w14:paraId="557A4396" w14:textId="3030AD74" w:rsidR="00694B36" w:rsidRDefault="0046046C" w:rsidP="007A694E">
      <w:pPr>
        <w:spacing w:after="120" w:line="360" w:lineRule="auto"/>
        <w:ind w:right="121"/>
        <w:rPr>
          <w:rFonts w:ascii="Arial" w:eastAsia="Arial" w:hAnsi="Arial" w:cs="Arial"/>
          <w:b/>
          <w:color w:val="000000"/>
          <w:sz w:val="20"/>
        </w:rPr>
      </w:pPr>
      <w:r>
        <w:br/>
      </w:r>
    </w:p>
    <w:p w14:paraId="45F70556" w14:textId="77777777" w:rsidR="00E806C4" w:rsidRDefault="00E806C4">
      <w:pPr>
        <w:rPr>
          <w:rFonts w:ascii="Arial" w:eastAsia="Arial" w:hAnsi="Arial" w:cs="Arial"/>
          <w:b/>
          <w:color w:val="000000"/>
          <w:sz w:val="20"/>
        </w:rPr>
      </w:pPr>
      <w:r>
        <w:rPr>
          <w:rFonts w:ascii="Arial" w:eastAsia="Arial" w:hAnsi="Arial" w:cs="Arial"/>
          <w:b/>
          <w:color w:val="000000"/>
          <w:sz w:val="20"/>
        </w:rPr>
        <w:br w:type="page"/>
      </w:r>
    </w:p>
    <w:p w14:paraId="63366EEC" w14:textId="3E7913BD" w:rsidR="00694B36" w:rsidRDefault="00694B36" w:rsidP="00694B36">
      <w:pPr>
        <w:spacing w:after="120" w:line="360" w:lineRule="auto"/>
        <w:ind w:left="119" w:right="121"/>
        <w:jc w:val="both"/>
      </w:pPr>
      <w:r w:rsidRPr="00E806C4">
        <w:rPr>
          <w:rFonts w:ascii="Arial" w:eastAsia="Arial" w:hAnsi="Arial" w:cs="Arial"/>
          <w:b/>
          <w:color w:val="000000"/>
          <w:sz w:val="20"/>
        </w:rPr>
        <w:t>Jak IROP konkrétně pomáhá v regionech</w:t>
      </w:r>
    </w:p>
    <w:p w14:paraId="73E632C2" w14:textId="6C0A539C" w:rsidR="00694B36" w:rsidRDefault="0046046C" w:rsidP="00694B36">
      <w:pPr>
        <w:spacing w:after="120" w:line="360" w:lineRule="auto"/>
        <w:ind w:left="119" w:right="121"/>
        <w:jc w:val="both"/>
        <w:rPr>
          <w:rFonts w:ascii="Arial" w:eastAsia="Arial" w:hAnsi="Arial" w:cs="Arial"/>
          <w:color w:val="000000"/>
          <w:sz w:val="20"/>
        </w:rPr>
      </w:pPr>
      <w:r>
        <w:br/>
      </w:r>
      <w:r w:rsidR="00694B36" w:rsidRPr="006930A8">
        <w:rPr>
          <w:rFonts w:ascii="Arial" w:eastAsia="Arial" w:hAnsi="Arial" w:cs="Arial"/>
          <w:color w:val="000000"/>
          <w:sz w:val="20"/>
        </w:rPr>
        <w:t xml:space="preserve">Do konce roku 2019 bylo díky podpoře z Integrovaného regionálního operačního programu zrekonstruováno 510 kilometrů silnic. Pro potřeby veřejné dopravy bylo zakoupeno 545 vozidel. </w:t>
      </w:r>
      <w:r w:rsidR="00694B36">
        <w:rPr>
          <w:rFonts w:ascii="Arial" w:eastAsia="Arial" w:hAnsi="Arial" w:cs="Arial"/>
          <w:color w:val="000000"/>
          <w:sz w:val="20"/>
        </w:rPr>
        <w:br/>
      </w:r>
      <w:r w:rsidR="00694B36" w:rsidRPr="006930A8">
        <w:rPr>
          <w:rFonts w:ascii="Arial" w:eastAsia="Arial" w:hAnsi="Arial" w:cs="Arial"/>
          <w:color w:val="000000"/>
          <w:sz w:val="20"/>
        </w:rPr>
        <w:t>S podporou IROP se podařilo navýšit kapacitu sociálních služeb o 8 299 klientů a podpořit 662 zázemí pro sociální služby. V oblasti sociálního b</w:t>
      </w:r>
      <w:r w:rsidR="00694B36">
        <w:rPr>
          <w:rFonts w:ascii="Arial" w:eastAsia="Arial" w:hAnsi="Arial" w:cs="Arial"/>
          <w:color w:val="000000"/>
          <w:sz w:val="20"/>
        </w:rPr>
        <w:t>ydlení bylo podpořeno 687 bytů.</w:t>
      </w:r>
      <w:r w:rsidR="00694B36" w:rsidRPr="006930A8">
        <w:rPr>
          <w:rFonts w:ascii="Arial" w:eastAsia="Arial" w:hAnsi="Arial" w:cs="Arial"/>
          <w:color w:val="000000"/>
          <w:sz w:val="20"/>
        </w:rPr>
        <w:t xml:space="preserve">Celkem bylo podpořeno 1 330 vzdělávacích zařízení napříč ČR. Zhruba čtvrtinu z toho tvoří mateřské školky, polovinu základní školy </w:t>
      </w:r>
      <w:r w:rsidR="00694B36">
        <w:rPr>
          <w:rFonts w:ascii="Arial" w:eastAsia="Arial" w:hAnsi="Arial" w:cs="Arial"/>
          <w:color w:val="000000"/>
          <w:sz w:val="20"/>
        </w:rPr>
        <w:br/>
      </w:r>
      <w:r w:rsidR="00694B36" w:rsidRPr="006930A8">
        <w:rPr>
          <w:rFonts w:ascii="Arial" w:eastAsia="Arial" w:hAnsi="Arial" w:cs="Arial"/>
          <w:color w:val="000000"/>
          <w:sz w:val="20"/>
        </w:rPr>
        <w:t xml:space="preserve">a čtvrtina připadá </w:t>
      </w:r>
      <w:proofErr w:type="gramStart"/>
      <w:r w:rsidR="00694B36" w:rsidRPr="006930A8">
        <w:rPr>
          <w:rFonts w:ascii="Arial" w:eastAsia="Arial" w:hAnsi="Arial" w:cs="Arial"/>
          <w:color w:val="000000"/>
          <w:sz w:val="20"/>
        </w:rPr>
        <w:t>na</w:t>
      </w:r>
      <w:proofErr w:type="gramEnd"/>
      <w:r w:rsidR="00694B36" w:rsidRPr="006930A8">
        <w:rPr>
          <w:rFonts w:ascii="Arial" w:eastAsia="Arial" w:hAnsi="Arial" w:cs="Arial"/>
          <w:color w:val="000000"/>
          <w:sz w:val="20"/>
        </w:rPr>
        <w:t xml:space="preserve"> střední školy.</w:t>
      </w:r>
    </w:p>
    <w:p w14:paraId="5000102B" w14:textId="472F18FA" w:rsidR="00346AA6" w:rsidRDefault="00694B36" w:rsidP="004016F1">
      <w:pPr>
        <w:spacing w:after="120" w:line="360" w:lineRule="auto"/>
        <w:ind w:left="119" w:right="121"/>
      </w:pPr>
      <w:r w:rsidRPr="006930A8">
        <w:rPr>
          <w:rFonts w:ascii="Arial" w:eastAsia="Arial" w:hAnsi="Arial" w:cs="Arial"/>
          <w:color w:val="000000"/>
          <w:sz w:val="20"/>
        </w:rPr>
        <w:t xml:space="preserve">Dohromady 32 272 českým domácnostem se díky podpoře z IROP snížila spotřeba energie a bylo zařazeno do lepší klasifikace spotřeby energie. Z peněz IROP bylo dosud revitalizováno </w:t>
      </w:r>
      <w:proofErr w:type="gramStart"/>
      <w:r w:rsidRPr="006930A8">
        <w:rPr>
          <w:rFonts w:ascii="Arial" w:eastAsia="Arial" w:hAnsi="Arial" w:cs="Arial"/>
          <w:color w:val="000000"/>
          <w:sz w:val="20"/>
        </w:rPr>
        <w:t>na</w:t>
      </w:r>
      <w:proofErr w:type="gramEnd"/>
      <w:r w:rsidRPr="006930A8">
        <w:rPr>
          <w:rFonts w:ascii="Arial" w:eastAsia="Arial" w:hAnsi="Arial" w:cs="Arial"/>
          <w:color w:val="000000"/>
          <w:sz w:val="20"/>
        </w:rPr>
        <w:t xml:space="preserve"> 22 památek </w:t>
      </w:r>
      <w:r>
        <w:rPr>
          <w:rFonts w:ascii="Arial" w:eastAsia="Arial" w:hAnsi="Arial" w:cs="Arial"/>
          <w:color w:val="000000"/>
          <w:sz w:val="20"/>
        </w:rPr>
        <w:br/>
      </w:r>
      <w:r w:rsidRPr="006930A8">
        <w:rPr>
          <w:rFonts w:ascii="Arial" w:eastAsia="Arial" w:hAnsi="Arial" w:cs="Arial"/>
          <w:color w:val="000000"/>
          <w:sz w:val="20"/>
        </w:rPr>
        <w:t>a pořízeno 288 informačních systémů.</w:t>
      </w:r>
      <w:r>
        <w:br/>
      </w:r>
      <w:r w:rsidR="0046046C">
        <w:br/>
      </w:r>
      <w:r w:rsidR="0046046C" w:rsidRPr="00F557AD">
        <w:rPr>
          <w:rFonts w:ascii="Arial" w:eastAsia="Arial" w:hAnsi="Arial" w:cs="Arial"/>
          <w:b/>
          <w:color w:val="000000"/>
          <w:sz w:val="20"/>
        </w:rPr>
        <w:t>Plnění pravidla n+</w:t>
      </w:r>
      <w:r w:rsidR="00346AA6">
        <w:t>3</w:t>
      </w:r>
    </w:p>
    <w:p w14:paraId="25C25C00" w14:textId="53C4110F" w:rsidR="00533CD2" w:rsidRDefault="0046046C" w:rsidP="00E806C4">
      <w:pPr>
        <w:spacing w:after="120" w:line="360" w:lineRule="auto"/>
        <w:ind w:left="119" w:right="121"/>
        <w:jc w:val="both"/>
        <w:rPr>
          <w:rFonts w:ascii="Arial" w:eastAsia="Arial" w:hAnsi="Arial" w:cs="Arial"/>
          <w:color w:val="000000"/>
          <w:sz w:val="20"/>
        </w:rPr>
      </w:pPr>
      <w:r>
        <w:rPr>
          <w:rFonts w:ascii="Arial" w:eastAsia="Arial" w:hAnsi="Arial" w:cs="Arial"/>
          <w:color w:val="000000"/>
          <w:sz w:val="20"/>
        </w:rPr>
        <w:t xml:space="preserve">V roce 2019 IROP splnil limit stanovený tzv. </w:t>
      </w:r>
      <w:proofErr w:type="gramStart"/>
      <w:r>
        <w:rPr>
          <w:rFonts w:ascii="Arial" w:eastAsia="Arial" w:hAnsi="Arial" w:cs="Arial"/>
          <w:color w:val="000000"/>
          <w:sz w:val="20"/>
        </w:rPr>
        <w:t>pravidlem</w:t>
      </w:r>
      <w:proofErr w:type="gramEnd"/>
      <w:r>
        <w:rPr>
          <w:rFonts w:ascii="Arial" w:eastAsia="Arial" w:hAnsi="Arial" w:cs="Arial"/>
          <w:color w:val="000000"/>
          <w:sz w:val="20"/>
        </w:rPr>
        <w:t xml:space="preserve"> n+3. To stanoví, že prostředky přidělené v daném roce je nutné vyčerpat do 3 let. V tomto případě bylo nutné do konce roku 2019 vyčerpat 31 </w:t>
      </w:r>
      <w:proofErr w:type="gramStart"/>
      <w:r>
        <w:rPr>
          <w:rFonts w:ascii="Arial" w:eastAsia="Arial" w:hAnsi="Arial" w:cs="Arial"/>
          <w:color w:val="000000"/>
          <w:sz w:val="20"/>
        </w:rPr>
        <w:t>mld</w:t>
      </w:r>
      <w:proofErr w:type="gramEnd"/>
      <w:r>
        <w:rPr>
          <w:rFonts w:ascii="Arial" w:eastAsia="Arial" w:hAnsi="Arial" w:cs="Arial"/>
          <w:color w:val="000000"/>
          <w:sz w:val="20"/>
        </w:rPr>
        <w:t xml:space="preserve">. Kč (podíl prostředků z EU). Řídicímu orgánu IROP se podařilo tento limit </w:t>
      </w:r>
      <w:proofErr w:type="gramStart"/>
      <w:r>
        <w:rPr>
          <w:rFonts w:ascii="Arial" w:eastAsia="Arial" w:hAnsi="Arial" w:cs="Arial"/>
          <w:color w:val="000000"/>
          <w:sz w:val="20"/>
        </w:rPr>
        <w:t xml:space="preserve">překročit  </w:t>
      </w:r>
      <w:r w:rsidR="00317E44">
        <w:rPr>
          <w:rFonts w:ascii="Arial" w:eastAsia="Arial" w:hAnsi="Arial" w:cs="Arial"/>
          <w:color w:val="000000"/>
          <w:sz w:val="20"/>
        </w:rPr>
        <w:t>o</w:t>
      </w:r>
      <w:proofErr w:type="gramEnd"/>
      <w:r w:rsidR="00317E44">
        <w:rPr>
          <w:rFonts w:ascii="Arial" w:eastAsia="Arial" w:hAnsi="Arial" w:cs="Arial"/>
          <w:color w:val="000000"/>
          <w:sz w:val="20"/>
        </w:rPr>
        <w:t xml:space="preserve"> 12,5 </w:t>
      </w:r>
      <w:r>
        <w:rPr>
          <w:rFonts w:ascii="Arial" w:eastAsia="Arial" w:hAnsi="Arial" w:cs="Arial"/>
          <w:color w:val="000000"/>
          <w:sz w:val="20"/>
        </w:rPr>
        <w:t xml:space="preserve">mld. Kč. </w:t>
      </w:r>
    </w:p>
    <w:p w14:paraId="4DD8544C" w14:textId="06E75593" w:rsidR="00E806C4" w:rsidRDefault="00E806C4" w:rsidP="00E806C4">
      <w:pPr>
        <w:spacing w:after="120" w:line="360" w:lineRule="auto"/>
        <w:ind w:left="119" w:right="121"/>
        <w:jc w:val="both"/>
        <w:rPr>
          <w:rFonts w:ascii="Arial" w:eastAsia="Arial" w:hAnsi="Arial" w:cs="Arial"/>
          <w:color w:val="000000"/>
          <w:sz w:val="20"/>
        </w:rPr>
      </w:pPr>
    </w:p>
    <w:p w14:paraId="3D641BC4" w14:textId="77777777" w:rsidR="00E806C4" w:rsidRDefault="00E806C4" w:rsidP="00E806C4">
      <w:r w:rsidRPr="00F557AD">
        <w:rPr>
          <w:rFonts w:ascii="Arial" w:eastAsia="Arial" w:hAnsi="Arial" w:cs="Arial"/>
          <w:b/>
          <w:color w:val="000000"/>
          <w:sz w:val="20"/>
        </w:rPr>
        <w:t>Revize Programového dokumentu IROP</w:t>
      </w:r>
    </w:p>
    <w:p w14:paraId="448A0FC3" w14:textId="653ACEDA" w:rsidR="00E806C4" w:rsidRPr="00A9747C" w:rsidRDefault="00E806C4" w:rsidP="00E806C4">
      <w:pPr>
        <w:spacing w:after="120" w:line="360" w:lineRule="auto"/>
        <w:ind w:left="119" w:right="121"/>
        <w:jc w:val="both"/>
      </w:pPr>
      <w:r>
        <w:br/>
      </w:r>
      <w:r>
        <w:rPr>
          <w:rFonts w:ascii="Arial" w:eastAsia="Arial" w:hAnsi="Arial" w:cs="Arial"/>
          <w:color w:val="000000"/>
          <w:sz w:val="20"/>
        </w:rPr>
        <w:t xml:space="preserve">V roce 2019 </w:t>
      </w:r>
      <w:r w:rsidR="00EC3872">
        <w:rPr>
          <w:rFonts w:ascii="Arial" w:eastAsia="Arial" w:hAnsi="Arial" w:cs="Arial"/>
          <w:color w:val="000000"/>
          <w:sz w:val="20"/>
        </w:rPr>
        <w:t xml:space="preserve">ŘO provedl </w:t>
      </w:r>
      <w:r>
        <w:rPr>
          <w:rFonts w:ascii="Arial" w:eastAsia="Arial" w:hAnsi="Arial" w:cs="Arial"/>
          <w:color w:val="000000"/>
          <w:sz w:val="20"/>
        </w:rPr>
        <w:t xml:space="preserve">  třetí revizi Programového dokumentu (PD) IROP. Nejvýznamnější změnou byla meziprogramová realokace ve výši 5</w:t>
      </w:r>
      <w:proofErr w:type="gramStart"/>
      <w:r>
        <w:rPr>
          <w:rFonts w:ascii="Arial" w:eastAsia="Arial" w:hAnsi="Arial" w:cs="Arial"/>
          <w:color w:val="000000"/>
          <w:sz w:val="20"/>
        </w:rPr>
        <w:t>,1</w:t>
      </w:r>
      <w:proofErr w:type="gramEnd"/>
      <w:r>
        <w:rPr>
          <w:rFonts w:ascii="Arial" w:eastAsia="Arial" w:hAnsi="Arial" w:cs="Arial"/>
          <w:color w:val="000000"/>
          <w:sz w:val="20"/>
        </w:rPr>
        <w:t xml:space="preserve"> mld. Kč z Operačního programu podnikání </w:t>
      </w:r>
      <w:proofErr w:type="gramStart"/>
      <w:r>
        <w:rPr>
          <w:rFonts w:ascii="Arial" w:eastAsia="Arial" w:hAnsi="Arial" w:cs="Arial"/>
          <w:color w:val="000000"/>
          <w:sz w:val="20"/>
        </w:rPr>
        <w:t>a</w:t>
      </w:r>
      <w:proofErr w:type="gramEnd"/>
      <w:r>
        <w:rPr>
          <w:rFonts w:ascii="Arial" w:eastAsia="Arial" w:hAnsi="Arial" w:cs="Arial"/>
          <w:color w:val="000000"/>
          <w:sz w:val="20"/>
        </w:rPr>
        <w:t xml:space="preserve"> inovace pro konkurenceschopnost (OP PIK). Finanční prostředky byly rozděleny: 2</w:t>
      </w:r>
      <w:proofErr w:type="gramStart"/>
      <w:r>
        <w:rPr>
          <w:rFonts w:ascii="Arial" w:eastAsia="Arial" w:hAnsi="Arial" w:cs="Arial"/>
          <w:color w:val="000000"/>
          <w:sz w:val="20"/>
        </w:rPr>
        <w:t>,5</w:t>
      </w:r>
      <w:proofErr w:type="gramEnd"/>
      <w:r>
        <w:rPr>
          <w:rFonts w:ascii="Arial" w:eastAsia="Arial" w:hAnsi="Arial" w:cs="Arial"/>
          <w:color w:val="000000"/>
          <w:sz w:val="20"/>
        </w:rPr>
        <w:t xml:space="preserve"> mld. Kč do SC 1.2 Doprava (projekty </w:t>
      </w:r>
      <w:proofErr w:type="gramStart"/>
      <w:r>
        <w:rPr>
          <w:rFonts w:ascii="Arial" w:eastAsia="Arial" w:hAnsi="Arial" w:cs="Arial"/>
          <w:color w:val="000000"/>
          <w:sz w:val="20"/>
        </w:rPr>
        <w:t>na</w:t>
      </w:r>
      <w:proofErr w:type="gramEnd"/>
      <w:r>
        <w:rPr>
          <w:rFonts w:ascii="Arial" w:eastAsia="Arial" w:hAnsi="Arial" w:cs="Arial"/>
          <w:color w:val="000000"/>
          <w:sz w:val="20"/>
        </w:rPr>
        <w:t xml:space="preserve"> nízkoemisní a bezemisní vozidla veřejné dopravy), 2 mld. Kč do SC 2.3 Zdravotnictví (projekty v oblasti návazné péče) a 693 mil. Kč do SC 2.4 Vzdělávání (projekty v oblasti základních škol). Evropská komise schválila revizi PD IROP Prováděcím rozhodnutím </w:t>
      </w:r>
      <w:proofErr w:type="gramStart"/>
      <w:r>
        <w:rPr>
          <w:rFonts w:ascii="Arial" w:eastAsia="Arial" w:hAnsi="Arial" w:cs="Arial"/>
          <w:color w:val="000000"/>
          <w:sz w:val="20"/>
        </w:rPr>
        <w:t>C(</w:t>
      </w:r>
      <w:proofErr w:type="gramEnd"/>
      <w:r>
        <w:rPr>
          <w:rFonts w:ascii="Arial" w:eastAsia="Arial" w:hAnsi="Arial" w:cs="Arial"/>
          <w:color w:val="000000"/>
          <w:sz w:val="20"/>
        </w:rPr>
        <w:t xml:space="preserve">2019) 1933 ze dne 7. </w:t>
      </w:r>
      <w:proofErr w:type="gramStart"/>
      <w:r>
        <w:rPr>
          <w:rFonts w:ascii="Arial" w:eastAsia="Arial" w:hAnsi="Arial" w:cs="Arial"/>
          <w:color w:val="000000"/>
          <w:sz w:val="20"/>
        </w:rPr>
        <w:t>března</w:t>
      </w:r>
      <w:proofErr w:type="gramEnd"/>
      <w:r>
        <w:rPr>
          <w:rFonts w:ascii="Arial" w:eastAsia="Arial" w:hAnsi="Arial" w:cs="Arial"/>
          <w:color w:val="000000"/>
          <w:sz w:val="20"/>
        </w:rPr>
        <w:t xml:space="preserve"> 2019.</w:t>
      </w:r>
    </w:p>
    <w:p w14:paraId="73CAACC6" w14:textId="77777777" w:rsidR="00E806C4" w:rsidRDefault="00E806C4" w:rsidP="00E806C4">
      <w:pPr>
        <w:spacing w:after="120" w:line="360" w:lineRule="auto"/>
        <w:ind w:left="119" w:right="121"/>
        <w:jc w:val="both"/>
        <w:rPr>
          <w:rFonts w:ascii="Arial" w:eastAsia="Arial" w:hAnsi="Arial" w:cs="Arial"/>
          <w:color w:val="000000"/>
          <w:sz w:val="20"/>
        </w:rPr>
      </w:pPr>
    </w:p>
    <w:p w14:paraId="6448D47F" w14:textId="49797885" w:rsidR="00694B36" w:rsidRDefault="00694B36" w:rsidP="00E806C4">
      <w:pPr>
        <w:spacing w:after="120" w:line="360" w:lineRule="auto"/>
        <w:ind w:left="119" w:right="121"/>
        <w:jc w:val="both"/>
        <w:rPr>
          <w:rFonts w:ascii="Arial" w:eastAsia="Arial" w:hAnsi="Arial" w:cs="Arial"/>
          <w:color w:val="000000"/>
          <w:sz w:val="20"/>
        </w:rPr>
      </w:pPr>
    </w:p>
    <w:p w14:paraId="541154B9" w14:textId="22B135C8" w:rsidR="00E806C4" w:rsidRDefault="00E806C4">
      <w:pPr>
        <w:rPr>
          <w:rFonts w:ascii="Arial" w:eastAsia="Arial" w:hAnsi="Arial" w:cs="Arial"/>
          <w:color w:val="000000"/>
          <w:sz w:val="20"/>
        </w:rPr>
      </w:pPr>
      <w:r>
        <w:rPr>
          <w:rFonts w:ascii="Arial" w:eastAsia="Arial" w:hAnsi="Arial" w:cs="Arial"/>
          <w:color w:val="000000"/>
          <w:sz w:val="20"/>
        </w:rPr>
        <w:br w:type="page"/>
      </w:r>
    </w:p>
    <w:p w14:paraId="03691107" w14:textId="77777777" w:rsidR="00694B36" w:rsidRPr="00A9747C" w:rsidRDefault="00694B36" w:rsidP="00E806C4"/>
    <w:p w14:paraId="2C5033A2" w14:textId="1C2801FC" w:rsidR="00533CD2" w:rsidRPr="007429C8" w:rsidRDefault="0046046C" w:rsidP="007429C8">
      <w:pPr>
        <w:pStyle w:val="Nadpis1"/>
      </w:pPr>
      <w:bookmarkStart w:id="14" w:name="_Toc40877822"/>
      <w:r w:rsidRPr="007429C8">
        <w:t>ZPRÁVA O IMPLEMENTACI FINANČNÍCH NÁSTROJŮ (článek 46 nařízení (EU) č. 1303/2013)</w:t>
      </w:r>
      <w:bookmarkEnd w:id="14"/>
    </w:p>
    <w:p w14:paraId="1BD99A35" w14:textId="5EB76B52" w:rsidR="00533CD2" w:rsidRDefault="0046046C" w:rsidP="00A9747C">
      <w:pPr>
        <w:spacing w:after="120" w:line="360" w:lineRule="auto"/>
        <w:ind w:left="119" w:right="121"/>
        <w:jc w:val="both"/>
        <w:rPr>
          <w:rFonts w:ascii="Arial" w:eastAsia="Arial" w:hAnsi="Arial" w:cs="Arial"/>
          <w:color w:val="000000"/>
          <w:sz w:val="20"/>
        </w:rPr>
      </w:pPr>
      <w:r>
        <w:br/>
      </w:r>
      <w:r>
        <w:rPr>
          <w:rFonts w:ascii="Arial" w:eastAsia="Arial" w:hAnsi="Arial" w:cs="Arial"/>
          <w:color w:val="000000"/>
          <w:sz w:val="20"/>
        </w:rPr>
        <w:t xml:space="preserve">S implementací Finančního nástroje IROP se počítá v SC 2.5 IROP zaměřeném </w:t>
      </w:r>
      <w:proofErr w:type="gramStart"/>
      <w:r>
        <w:rPr>
          <w:rFonts w:ascii="Arial" w:eastAsia="Arial" w:hAnsi="Arial" w:cs="Arial"/>
          <w:color w:val="000000"/>
          <w:sz w:val="20"/>
        </w:rPr>
        <w:t>na</w:t>
      </w:r>
      <w:proofErr w:type="gramEnd"/>
      <w:r>
        <w:rPr>
          <w:rFonts w:ascii="Arial" w:eastAsia="Arial" w:hAnsi="Arial" w:cs="Arial"/>
          <w:color w:val="000000"/>
          <w:sz w:val="20"/>
        </w:rPr>
        <w:t xml:space="preserve"> úspory energie </w:t>
      </w:r>
      <w:r w:rsidR="00346AA6">
        <w:rPr>
          <w:rFonts w:ascii="Arial" w:eastAsia="Arial" w:hAnsi="Arial" w:cs="Arial"/>
          <w:color w:val="000000"/>
          <w:sz w:val="20"/>
        </w:rPr>
        <w:br/>
      </w:r>
      <w:r>
        <w:rPr>
          <w:rFonts w:ascii="Arial" w:eastAsia="Arial" w:hAnsi="Arial" w:cs="Arial"/>
          <w:color w:val="000000"/>
          <w:sz w:val="20"/>
        </w:rPr>
        <w:t xml:space="preserve">v bytových domech. Na základě rozhodnutí ministryně pro místní rozvoj došlo po zrušení veřejné zakázky z důvodu nezájmu potencionálních dodavatelů ke změně v přístupu k implementaci FN IROP, kdy FN IROP bude implementován prostřednictvím Státního fondu rozvoje bydlení (SFRB) dle čl. 38, odst. 4) </w:t>
      </w:r>
      <w:proofErr w:type="gramStart"/>
      <w:r>
        <w:rPr>
          <w:rFonts w:ascii="Arial" w:eastAsia="Arial" w:hAnsi="Arial" w:cs="Arial"/>
          <w:color w:val="000000"/>
          <w:sz w:val="20"/>
        </w:rPr>
        <w:t>písm</w:t>
      </w:r>
      <w:proofErr w:type="gramEnd"/>
      <w:r>
        <w:rPr>
          <w:rFonts w:ascii="Arial" w:eastAsia="Arial" w:hAnsi="Arial" w:cs="Arial"/>
          <w:color w:val="000000"/>
          <w:sz w:val="20"/>
        </w:rPr>
        <w:t xml:space="preserve">. c) Obecného nařízení, ve znění Nařízení Evropského Parlamentu a Rady (EU, </w:t>
      </w:r>
      <w:proofErr w:type="gramStart"/>
      <w:r>
        <w:rPr>
          <w:rFonts w:ascii="Arial" w:eastAsia="Arial" w:hAnsi="Arial" w:cs="Arial"/>
          <w:color w:val="000000"/>
          <w:sz w:val="20"/>
        </w:rPr>
        <w:t>Euratom</w:t>
      </w:r>
      <w:proofErr w:type="gramEnd"/>
      <w:r>
        <w:rPr>
          <w:rFonts w:ascii="Arial" w:eastAsia="Arial" w:hAnsi="Arial" w:cs="Arial"/>
          <w:color w:val="000000"/>
          <w:sz w:val="20"/>
        </w:rPr>
        <w:t xml:space="preserve">) 2018/1046. Výběr správce finančního nástroje, tedy SFRB, poté proběhne vyhlášením výzvy Řídicím orgánem IROP, která stanoví požadavky </w:t>
      </w:r>
      <w:proofErr w:type="gramStart"/>
      <w:r>
        <w:rPr>
          <w:rFonts w:ascii="Arial" w:eastAsia="Arial" w:hAnsi="Arial" w:cs="Arial"/>
          <w:color w:val="000000"/>
          <w:sz w:val="20"/>
        </w:rPr>
        <w:t>na</w:t>
      </w:r>
      <w:proofErr w:type="gramEnd"/>
      <w:r>
        <w:rPr>
          <w:rFonts w:ascii="Arial" w:eastAsia="Arial" w:hAnsi="Arial" w:cs="Arial"/>
          <w:color w:val="000000"/>
          <w:sz w:val="20"/>
        </w:rPr>
        <w:t xml:space="preserve"> činnost finančního zprostředkovatele, a následné svěření prováděcích úkonů SFRB jako finančnímu zprostředkovateli. Výběr správce FN IROP je plánován </w:t>
      </w:r>
      <w:proofErr w:type="gramStart"/>
      <w:r>
        <w:rPr>
          <w:rFonts w:ascii="Arial" w:eastAsia="Arial" w:hAnsi="Arial" w:cs="Arial"/>
          <w:color w:val="000000"/>
          <w:sz w:val="20"/>
        </w:rPr>
        <w:t>na</w:t>
      </w:r>
      <w:proofErr w:type="gramEnd"/>
      <w:r>
        <w:rPr>
          <w:rFonts w:ascii="Arial" w:eastAsia="Arial" w:hAnsi="Arial" w:cs="Arial"/>
          <w:color w:val="000000"/>
          <w:sz w:val="20"/>
        </w:rPr>
        <w:t xml:space="preserve"> 1. </w:t>
      </w:r>
      <w:proofErr w:type="gramStart"/>
      <w:r>
        <w:rPr>
          <w:rFonts w:ascii="Arial" w:eastAsia="Arial" w:hAnsi="Arial" w:cs="Arial"/>
          <w:color w:val="000000"/>
          <w:sz w:val="20"/>
        </w:rPr>
        <w:t>čtvrtletí</w:t>
      </w:r>
      <w:proofErr w:type="gramEnd"/>
      <w:r>
        <w:rPr>
          <w:rFonts w:ascii="Arial" w:eastAsia="Arial" w:hAnsi="Arial" w:cs="Arial"/>
          <w:color w:val="000000"/>
          <w:sz w:val="20"/>
        </w:rPr>
        <w:t xml:space="preserve"> roku 2020. </w:t>
      </w:r>
      <w:r>
        <w:rPr>
          <w:rFonts w:ascii="Arial" w:eastAsia="Arial" w:hAnsi="Arial" w:cs="Arial"/>
          <w:color w:val="000000"/>
          <w:sz w:val="20"/>
        </w:rPr>
        <w:tab/>
      </w:r>
    </w:p>
    <w:p w14:paraId="05FD9A41" w14:textId="77777777" w:rsidR="00533CD2" w:rsidRPr="007429C8" w:rsidRDefault="0046046C" w:rsidP="007429C8">
      <w:pPr>
        <w:pStyle w:val="Nadpis1"/>
      </w:pPr>
      <w:bookmarkStart w:id="15" w:name="_Toc40877823"/>
      <w:r w:rsidRPr="007429C8">
        <w:t xml:space="preserve">Nepovinné u zprávy, která byla předložena v roce 2016, nevztahuje se </w:t>
      </w:r>
      <w:proofErr w:type="gramStart"/>
      <w:r w:rsidRPr="007429C8">
        <w:t>na</w:t>
      </w:r>
      <w:proofErr w:type="gramEnd"/>
      <w:r w:rsidRPr="007429C8">
        <w:t xml:space="preserve"> ostatní krátké zprávy: OPATŘENÍ PŘIJATÁ ZA ÚČELEM SPLNĚNÍ PŘEDBĚŽNÝCH PODMÍNEK (čl. 50 odst. 2 nařízení (EU) č. 1303/2013), pokud při přijetí OP nebyly splněny použitelné předběžné podmínky: (viz bod 13 vzoru)</w:t>
      </w:r>
      <w:bookmarkEnd w:id="15"/>
    </w:p>
    <w:p w14:paraId="6D136F86" w14:textId="77777777" w:rsidR="00533CD2" w:rsidRDefault="00533CD2">
      <w:pPr>
        <w:spacing w:after="120" w:line="264" w:lineRule="auto"/>
        <w:ind w:left="119" w:right="121"/>
        <w:jc w:val="both"/>
        <w:rPr>
          <w:rFonts w:ascii="Arial" w:eastAsia="Arial" w:hAnsi="Arial" w:cs="Arial"/>
          <w:color w:val="000000"/>
          <w:sz w:val="20"/>
        </w:rPr>
      </w:pPr>
    </w:p>
    <w:p w14:paraId="1DAA6590" w14:textId="77777777" w:rsidR="00533CD2" w:rsidRDefault="00533CD2">
      <w:pPr>
        <w:sectPr w:rsidR="00533CD2">
          <w:headerReference w:type="default" r:id="rId11"/>
          <w:footerReference w:type="default" r:id="rId12"/>
          <w:pgSz w:w="11900" w:h="16820"/>
          <w:pgMar w:top="520" w:right="1540" w:bottom="560" w:left="840" w:header="539" w:footer="567" w:gutter="0"/>
          <w:cols w:space="720"/>
          <w:noEndnote/>
        </w:sectPr>
      </w:pPr>
    </w:p>
    <w:p w14:paraId="2D06FEC9" w14:textId="77777777" w:rsidR="00533CD2" w:rsidRPr="007429C8" w:rsidRDefault="0046046C" w:rsidP="007429C8">
      <w:pPr>
        <w:pStyle w:val="Nadpis1"/>
      </w:pPr>
      <w:bookmarkStart w:id="16" w:name="_Toc40877824"/>
      <w:r w:rsidRPr="007429C8">
        <w:t>POKROK PŘI PŘÍPRAVĚ A IMPLEMENTACI VELKÝCH PROJEKTŮ A SPOLEČNÝCH AKČNÍCH PLÁNŮ (čl. 101 písm. h) a čl. 111 odst. 3 nařízení (EU) č. 1303/2013)</w:t>
      </w:r>
      <w:bookmarkEnd w:id="16"/>
    </w:p>
    <w:p w14:paraId="006924B6" w14:textId="185D1D18" w:rsidR="00533CD2" w:rsidRDefault="0046046C" w:rsidP="007429C8">
      <w:pPr>
        <w:pStyle w:val="Nadpis2"/>
      </w:pPr>
      <w:bookmarkStart w:id="17" w:name="_Toc40877825"/>
      <w:r>
        <w:t>Velké projekty</w:t>
      </w:r>
      <w:r w:rsidR="00AA26C8">
        <w:t xml:space="preserve"> – pro IROP nerelevantní</w:t>
      </w:r>
      <w:bookmarkEnd w:id="17"/>
    </w:p>
    <w:p w14:paraId="5CB21CBA" w14:textId="77777777" w:rsidR="007429C8" w:rsidRPr="007429C8" w:rsidRDefault="007429C8" w:rsidP="007429C8"/>
    <w:p w14:paraId="3804F7C5" w14:textId="77777777" w:rsidR="00533CD2" w:rsidRPr="007429C8" w:rsidRDefault="0046046C" w:rsidP="007429C8">
      <w:pPr>
        <w:keepNext/>
        <w:tabs>
          <w:tab w:val="left" w:pos="1675"/>
        </w:tabs>
        <w:ind w:left="115" w:right="109"/>
        <w:rPr>
          <w:rFonts w:ascii="Arial" w:eastAsia="Arial" w:hAnsi="Arial" w:cs="Arial"/>
          <w:b/>
          <w:bCs/>
          <w:i/>
          <w:iCs/>
          <w:color w:val="000000"/>
          <w:sz w:val="20"/>
        </w:rPr>
      </w:pPr>
      <w:r>
        <w:rPr>
          <w:rFonts w:ascii="Arial" w:eastAsia="Arial" w:hAnsi="Arial" w:cs="Arial"/>
          <w:b/>
          <w:bCs/>
          <w:i/>
          <w:iCs/>
          <w:color w:val="000000"/>
          <w:sz w:val="20"/>
        </w:rPr>
        <w:t>Tabulka 12: Velké projekty</w:t>
      </w:r>
    </w:p>
    <w:tbl>
      <w:tblPr>
        <w:tblW w:w="0" w:type="auto"/>
        <w:tblInd w:w="166" w:type="dxa"/>
        <w:tblLayout w:type="fixed"/>
        <w:tblCellMar>
          <w:left w:w="0" w:type="dxa"/>
          <w:right w:w="0" w:type="dxa"/>
        </w:tblCellMar>
        <w:tblLook w:val="04A0" w:firstRow="1" w:lastRow="0" w:firstColumn="1" w:lastColumn="0" w:noHBand="0" w:noVBand="1"/>
      </w:tblPr>
      <w:tblGrid>
        <w:gridCol w:w="1225"/>
        <w:gridCol w:w="567"/>
        <w:gridCol w:w="851"/>
        <w:gridCol w:w="1134"/>
        <w:gridCol w:w="1134"/>
        <w:gridCol w:w="992"/>
        <w:gridCol w:w="992"/>
        <w:gridCol w:w="992"/>
        <w:gridCol w:w="993"/>
        <w:gridCol w:w="992"/>
        <w:gridCol w:w="992"/>
        <w:gridCol w:w="1010"/>
        <w:gridCol w:w="1126"/>
        <w:gridCol w:w="992"/>
        <w:gridCol w:w="1029"/>
      </w:tblGrid>
      <w:tr w:rsidR="00533CD2" w14:paraId="0EE9EE42" w14:textId="77777777">
        <w:trPr>
          <w:cantSplit/>
          <w:tblHeader/>
        </w:trPr>
        <w:tc>
          <w:tcPr>
            <w:tcW w:w="12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A20D85"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Projekt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ED6FB3"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CCI</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E2EB57"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Stav velkého projektu</w:t>
            </w:r>
          </w:p>
          <w:p w14:paraId="5F6B1CC1"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1. dokončen</w:t>
            </w:r>
          </w:p>
          <w:p w14:paraId="2B3B0223"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2. schválen</w:t>
            </w:r>
          </w:p>
          <w:p w14:paraId="11CDD362"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3. předložen</w:t>
            </w:r>
          </w:p>
          <w:p w14:paraId="203301D6"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4. plánuje se oznámení / předložení Komisi</w:t>
            </w:r>
          </w:p>
          <w:p w14:paraId="5FDA4129" w14:textId="77777777" w:rsidR="00533CD2" w:rsidRDefault="00533CD2">
            <w:pPr>
              <w:keepLines/>
              <w:ind w:left="57" w:right="57"/>
              <w:jc w:val="center"/>
              <w:rPr>
                <w:rFonts w:ascii="Arial" w:eastAsia="Arial" w:hAnsi="Arial" w:cs="Arial"/>
                <w:color w:val="000000"/>
                <w:sz w:val="14"/>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2BA9A"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Celkové investice</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BD97B0"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Celkové způsobilé náklady</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710A70"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Plánované datum oznámení / předložení</w:t>
            </w:r>
          </w:p>
          <w:p w14:paraId="79AA39CF"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(je-li použitelné)</w:t>
            </w:r>
          </w:p>
          <w:p w14:paraId="1278B336"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(rok, čtvrtletí)</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7FDF95"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Datum automatického schválení Komisí</w:t>
            </w:r>
          </w:p>
          <w:p w14:paraId="33B11D1D"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(je-li použitelné)</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B6AE0A"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Plánované datum zahájení realizace</w:t>
            </w:r>
          </w:p>
          <w:p w14:paraId="773F7A90" w14:textId="77777777" w:rsidR="00533CD2" w:rsidRDefault="00533CD2">
            <w:pPr>
              <w:keepLines/>
              <w:ind w:left="57" w:right="57"/>
              <w:jc w:val="center"/>
              <w:rPr>
                <w:rFonts w:ascii="Arial" w:eastAsia="Arial" w:hAnsi="Arial" w:cs="Arial"/>
                <w:color w:val="000000"/>
                <w:sz w:val="14"/>
              </w:rPr>
            </w:pPr>
          </w:p>
          <w:p w14:paraId="594DEAB6"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(rok, čtvrtletí)</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322076"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Plánované datum dokončení</w:t>
            </w:r>
          </w:p>
          <w:p w14:paraId="27140844"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(rok, čtvrtletí)</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8DD16C"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Priorita / osa / investiční priority</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A80954"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Současný stav realizace – finanční pokrok</w:t>
            </w:r>
          </w:p>
          <w:p w14:paraId="4E7AC756"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 výdajů certifikovaných Komisi v porovnání s celkovými způsobilými náklady)</w:t>
            </w:r>
          </w:p>
        </w:tc>
        <w:tc>
          <w:tcPr>
            <w:tcW w:w="10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3E16B1"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Současný stav realizace – fyzický pokrok</w:t>
            </w:r>
          </w:p>
          <w:p w14:paraId="03F96616"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Hlavní fáze provádění projektu</w:t>
            </w:r>
          </w:p>
          <w:p w14:paraId="11CE0F0B"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1. dokončeno / v provozu;</w:t>
            </w:r>
          </w:p>
          <w:p w14:paraId="2923E38D"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2. pokročilá výstavba;</w:t>
            </w:r>
          </w:p>
          <w:p w14:paraId="60DD67CB"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3. výstavba;</w:t>
            </w:r>
          </w:p>
          <w:p w14:paraId="28E3D334"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4. zadávání zakázek</w:t>
            </w:r>
          </w:p>
          <w:p w14:paraId="472A406A"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5. návrh</w:t>
            </w:r>
          </w:p>
        </w:tc>
        <w:tc>
          <w:tcPr>
            <w:tcW w:w="1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F60A22"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Hlavní výstupy</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F9C36" w14:textId="77777777" w:rsidR="00533CD2" w:rsidRDefault="0046046C">
            <w:pPr>
              <w:keepLines/>
              <w:ind w:left="57" w:right="57"/>
              <w:jc w:val="center"/>
              <w:rPr>
                <w:rFonts w:ascii="Arial" w:eastAsia="Arial" w:hAnsi="Arial" w:cs="Arial"/>
                <w:b/>
                <w:bCs/>
                <w:color w:val="000000"/>
                <w:sz w:val="16"/>
              </w:rPr>
            </w:pPr>
            <w:r>
              <w:rPr>
                <w:rFonts w:ascii="Arial" w:eastAsia="Arial" w:hAnsi="Arial" w:cs="Arial"/>
                <w:b/>
                <w:bCs/>
                <w:color w:val="000000"/>
                <w:sz w:val="14"/>
              </w:rPr>
              <w:t>Datum podpisu první smlouvy o dílo</w:t>
            </w:r>
            <w:r>
              <w:rPr>
                <w:rFonts w:ascii="Arial" w:eastAsia="Arial" w:hAnsi="Arial" w:cs="Arial"/>
                <w:b/>
                <w:bCs/>
                <w:color w:val="000000"/>
                <w:sz w:val="16"/>
              </w:rPr>
              <w:t>1</w:t>
            </w:r>
          </w:p>
          <w:p w14:paraId="02487FA4"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(je-li použitelné)</w:t>
            </w:r>
          </w:p>
        </w:tc>
        <w:tc>
          <w:tcPr>
            <w:tcW w:w="10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5556A6"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Připomínky (v případě potřeby)</w:t>
            </w:r>
          </w:p>
        </w:tc>
      </w:tr>
    </w:tbl>
    <w:p w14:paraId="3F661D30" w14:textId="77777777" w:rsidR="00533CD2" w:rsidRDefault="0046046C">
      <w:pPr>
        <w:ind w:left="115" w:right="109"/>
        <w:rPr>
          <w:rFonts w:ascii="Times New Roman" w:hAnsi="Times New Roman" w:cs="Times New Roman"/>
          <w:color w:val="000000"/>
          <w:sz w:val="18"/>
        </w:rPr>
      </w:pPr>
      <w:r>
        <w:rPr>
          <w:rFonts w:ascii="Times New Roman" w:hAnsi="Times New Roman" w:cs="Times New Roman"/>
          <w:color w:val="000000"/>
          <w:sz w:val="18"/>
        </w:rPr>
        <w:t>1</w:t>
      </w:r>
      <w:r>
        <w:rPr>
          <w:rFonts w:ascii="Times New Roman" w:hAnsi="Times New Roman" w:cs="Times New Roman"/>
          <w:color w:val="000000"/>
          <w:sz w:val="18"/>
        </w:rPr>
        <w:tab/>
        <w:t>U operací prováděných v rámci struktur partnerství veřejného a soukromého sektoru podpis dohody o partnerství mezi veřejným a soukromým subjektem (čl. 102 odst. 3 nařízení (EU) č. 1303/2013).</w:t>
      </w:r>
    </w:p>
    <w:p w14:paraId="4B7A91A7" w14:textId="77777777" w:rsidR="00533CD2" w:rsidRDefault="0046046C" w:rsidP="00A9747C">
      <w:pPr>
        <w:keepNext/>
        <w:spacing w:before="120" w:after="120"/>
        <w:ind w:right="109"/>
        <w:jc w:val="both"/>
        <w:rPr>
          <w:rFonts w:ascii="Arial" w:eastAsia="Arial" w:hAnsi="Arial" w:cs="Arial"/>
          <w:color w:val="000000"/>
          <w:sz w:val="20"/>
        </w:rPr>
      </w:pPr>
      <w:r>
        <w:rPr>
          <w:rFonts w:ascii="Arial" w:eastAsia="Arial" w:hAnsi="Arial" w:cs="Arial"/>
          <w:color w:val="000000"/>
          <w:sz w:val="20"/>
        </w:rPr>
        <w:t xml:space="preserve">Významné problémy, které se vyskytly při implementaci velkých projektů, </w:t>
      </w:r>
      <w:proofErr w:type="gramStart"/>
      <w:r>
        <w:rPr>
          <w:rFonts w:ascii="Arial" w:eastAsia="Arial" w:hAnsi="Arial" w:cs="Arial"/>
          <w:color w:val="000000"/>
          <w:sz w:val="20"/>
        </w:rPr>
        <w:t>a</w:t>
      </w:r>
      <w:proofErr w:type="gramEnd"/>
      <w:r>
        <w:rPr>
          <w:rFonts w:ascii="Arial" w:eastAsia="Arial" w:hAnsi="Arial" w:cs="Arial"/>
          <w:color w:val="000000"/>
          <w:sz w:val="20"/>
        </w:rPr>
        <w:t xml:space="preserve"> opatření přijatá k jejich odstranění.</w:t>
      </w:r>
    </w:p>
    <w:p w14:paraId="38329DFE" w14:textId="77777777" w:rsidR="00533CD2" w:rsidRDefault="0046046C" w:rsidP="00A9747C">
      <w:pPr>
        <w:keepNext/>
        <w:spacing w:after="120"/>
        <w:ind w:right="109"/>
        <w:jc w:val="both"/>
        <w:rPr>
          <w:rFonts w:ascii="Arial" w:eastAsia="Arial" w:hAnsi="Arial" w:cs="Arial"/>
          <w:color w:val="000000"/>
          <w:sz w:val="20"/>
        </w:rPr>
      </w:pPr>
      <w:r>
        <w:rPr>
          <w:rFonts w:ascii="Arial" w:eastAsia="Arial" w:hAnsi="Arial" w:cs="Arial"/>
          <w:color w:val="000000"/>
          <w:sz w:val="20"/>
        </w:rPr>
        <w:t>Případná plánovaná změna v seznamu velkých projektů v rámci operačního programu.</w:t>
      </w:r>
    </w:p>
    <w:p w14:paraId="08E3E973" w14:textId="3AFC8C6B" w:rsidR="00533CD2" w:rsidRDefault="0046046C" w:rsidP="007429C8">
      <w:pPr>
        <w:pStyle w:val="Nadpis2"/>
      </w:pPr>
      <w:bookmarkStart w:id="18" w:name="_Toc40877826"/>
      <w:r>
        <w:t>Společné akční plány</w:t>
      </w:r>
      <w:r w:rsidR="00AA26C8">
        <w:t xml:space="preserve"> - pro IROP nerelevantní</w:t>
      </w:r>
      <w:bookmarkEnd w:id="18"/>
    </w:p>
    <w:p w14:paraId="2A7FA1E4" w14:textId="77777777" w:rsidR="00533CD2" w:rsidRDefault="0046046C" w:rsidP="002F6B93">
      <w:pPr>
        <w:keepNext/>
        <w:spacing w:after="120"/>
        <w:ind w:right="109"/>
        <w:jc w:val="both"/>
        <w:rPr>
          <w:rFonts w:ascii="Arial" w:eastAsia="Arial" w:hAnsi="Arial" w:cs="Arial"/>
          <w:color w:val="000000"/>
          <w:sz w:val="20"/>
        </w:rPr>
      </w:pPr>
      <w:r>
        <w:rPr>
          <w:rFonts w:ascii="Arial" w:eastAsia="Arial" w:hAnsi="Arial" w:cs="Arial"/>
          <w:color w:val="000000"/>
          <w:sz w:val="20"/>
        </w:rPr>
        <w:t>Pokrok při implementaci jednotlivých fází společných akčních plánů.</w:t>
      </w:r>
    </w:p>
    <w:p w14:paraId="7D727BBF" w14:textId="77777777" w:rsidR="00533CD2" w:rsidRDefault="0046046C" w:rsidP="00A9747C">
      <w:pPr>
        <w:keepNext/>
        <w:tabs>
          <w:tab w:val="left" w:pos="1675"/>
        </w:tabs>
        <w:ind w:right="109"/>
        <w:rPr>
          <w:rFonts w:ascii="Arial" w:eastAsia="Arial" w:hAnsi="Arial" w:cs="Arial"/>
          <w:b/>
          <w:bCs/>
          <w:i/>
          <w:iCs/>
          <w:color w:val="000000"/>
          <w:sz w:val="20"/>
        </w:rPr>
      </w:pPr>
      <w:r>
        <w:rPr>
          <w:rFonts w:ascii="Arial" w:eastAsia="Arial" w:hAnsi="Arial" w:cs="Arial"/>
          <w:b/>
          <w:bCs/>
          <w:i/>
          <w:iCs/>
          <w:color w:val="000000"/>
          <w:sz w:val="20"/>
        </w:rPr>
        <w:t>Tabulka 13: Společné akční plány (SAP)</w:t>
      </w:r>
    </w:p>
    <w:p w14:paraId="2C023903" w14:textId="77777777" w:rsidR="00533CD2" w:rsidRDefault="00533CD2">
      <w:pPr>
        <w:keepNext/>
        <w:tabs>
          <w:tab w:val="left" w:pos="1675"/>
        </w:tabs>
        <w:ind w:left="115" w:right="109"/>
        <w:rPr>
          <w:rFonts w:ascii="Arial" w:eastAsia="Arial" w:hAnsi="Arial" w:cs="Arial"/>
          <w:color w:val="000000"/>
          <w:sz w:val="20"/>
        </w:rPr>
      </w:pPr>
    </w:p>
    <w:tbl>
      <w:tblPr>
        <w:tblW w:w="0" w:type="auto"/>
        <w:tblInd w:w="58" w:type="dxa"/>
        <w:tblLayout w:type="fixed"/>
        <w:tblCellMar>
          <w:left w:w="0" w:type="dxa"/>
          <w:right w:w="0" w:type="dxa"/>
        </w:tblCellMar>
        <w:tblLook w:val="04A0" w:firstRow="1" w:lastRow="0" w:firstColumn="1" w:lastColumn="0" w:noHBand="0" w:noVBand="1"/>
      </w:tblPr>
      <w:tblGrid>
        <w:gridCol w:w="905"/>
        <w:gridCol w:w="597"/>
        <w:gridCol w:w="1349"/>
        <w:gridCol w:w="930"/>
        <w:gridCol w:w="1050"/>
        <w:gridCol w:w="1133"/>
        <w:gridCol w:w="1133"/>
        <w:gridCol w:w="1133"/>
        <w:gridCol w:w="1118"/>
        <w:gridCol w:w="1346"/>
        <w:gridCol w:w="1343"/>
        <w:gridCol w:w="1198"/>
        <w:gridCol w:w="1001"/>
        <w:gridCol w:w="1161"/>
      </w:tblGrid>
      <w:tr w:rsidR="00533CD2" w14:paraId="0EC50B6C" w14:textId="77777777">
        <w:trPr>
          <w:cantSplit/>
          <w:tblHeader/>
        </w:trPr>
        <w:tc>
          <w:tcPr>
            <w:tcW w:w="9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51EDD9" w14:textId="77777777" w:rsidR="00533CD2" w:rsidRDefault="0046046C">
            <w:pPr>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Název SAP</w:t>
            </w:r>
          </w:p>
        </w:tc>
        <w:tc>
          <w:tcPr>
            <w:tcW w:w="5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1E7BCB" w14:textId="77777777" w:rsidR="00533CD2" w:rsidRDefault="0046046C">
            <w:pPr>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CCI</w:t>
            </w:r>
          </w:p>
        </w:tc>
        <w:tc>
          <w:tcPr>
            <w:tcW w:w="13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7FEC32" w14:textId="77777777" w:rsidR="00533CD2" w:rsidRDefault="0046046C">
            <w:pPr>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Fáze provádění SAP</w:t>
            </w:r>
          </w:p>
          <w:p w14:paraId="5094FEA6" w14:textId="77777777" w:rsidR="00533CD2" w:rsidRDefault="0046046C">
            <w:pPr>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1. dokončen</w:t>
            </w:r>
          </w:p>
          <w:p w14:paraId="7EFA00E4" w14:textId="77777777" w:rsidR="00533CD2" w:rsidRDefault="0046046C">
            <w:pPr>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2. provedeno &gt; 50 %</w:t>
            </w:r>
          </w:p>
          <w:p w14:paraId="58011BD2" w14:textId="77777777" w:rsidR="00533CD2" w:rsidRDefault="0046046C">
            <w:pPr>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3. zahájen</w:t>
            </w:r>
          </w:p>
          <w:p w14:paraId="3D951DD5" w14:textId="77777777" w:rsidR="00533CD2" w:rsidRDefault="0046046C">
            <w:pPr>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4. schválen</w:t>
            </w:r>
          </w:p>
          <w:p w14:paraId="1CA6465A" w14:textId="77777777" w:rsidR="00533CD2" w:rsidRDefault="0046046C">
            <w:pPr>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5. předložen</w:t>
            </w:r>
          </w:p>
          <w:p w14:paraId="31E5B999" w14:textId="77777777" w:rsidR="00533CD2" w:rsidRDefault="0046046C">
            <w:pPr>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6. plánuje se</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0DE052" w14:textId="77777777" w:rsidR="00533CD2" w:rsidRDefault="0046046C">
            <w:pPr>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Celkové způsobilé náklady</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639D68" w14:textId="77777777" w:rsidR="00533CD2" w:rsidRDefault="0046046C">
            <w:pPr>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Celková podpora z veřejných zdrojů</w:t>
            </w:r>
          </w:p>
        </w:tc>
        <w:tc>
          <w:tcPr>
            <w:tcW w:w="11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9A5CAC" w14:textId="77777777" w:rsidR="00533CD2" w:rsidRDefault="0046046C">
            <w:pPr>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Přínos OP k SAP</w:t>
            </w:r>
          </w:p>
        </w:tc>
        <w:tc>
          <w:tcPr>
            <w:tcW w:w="11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E20DAC" w14:textId="77777777" w:rsidR="00533CD2" w:rsidRDefault="0046046C">
            <w:pPr>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Prioritní osa</w:t>
            </w:r>
          </w:p>
        </w:tc>
        <w:tc>
          <w:tcPr>
            <w:tcW w:w="11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335B7F" w14:textId="77777777" w:rsidR="00533CD2" w:rsidRDefault="0046046C">
            <w:pPr>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Druh SAP</w:t>
            </w:r>
          </w:p>
          <w:p w14:paraId="5049F313" w14:textId="77777777" w:rsidR="00533CD2" w:rsidRDefault="0046046C">
            <w:pPr>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1. normální</w:t>
            </w:r>
          </w:p>
          <w:p w14:paraId="3FFEF4DF" w14:textId="77777777" w:rsidR="00533CD2" w:rsidRDefault="0046046C">
            <w:pPr>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2. první SAP</w:t>
            </w:r>
          </w:p>
          <w:p w14:paraId="3304E81A" w14:textId="77777777" w:rsidR="00533CD2" w:rsidRDefault="0046046C">
            <w:pPr>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3. YEI</w:t>
            </w:r>
          </w:p>
        </w:tc>
        <w:tc>
          <w:tcPr>
            <w:tcW w:w="11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490629" w14:textId="77777777" w:rsidR="00533CD2" w:rsidRDefault="0046046C">
            <w:pPr>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[Plánované]</w:t>
            </w:r>
          </w:p>
          <w:p w14:paraId="327E2F22" w14:textId="77777777" w:rsidR="00533CD2" w:rsidRDefault="0046046C">
            <w:pPr>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předložení Komisi</w:t>
            </w:r>
          </w:p>
        </w:tc>
        <w:tc>
          <w:tcPr>
            <w:tcW w:w="13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E2F5D5" w14:textId="77777777" w:rsidR="00533CD2" w:rsidRDefault="0046046C">
            <w:pPr>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[Plánované] zahájení implementace</w:t>
            </w:r>
          </w:p>
        </w:tc>
        <w:tc>
          <w:tcPr>
            <w:tcW w:w="13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FDB4FB" w14:textId="77777777" w:rsidR="00533CD2" w:rsidRDefault="0046046C">
            <w:pPr>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[Plánované] dokončení</w:t>
            </w:r>
          </w:p>
        </w:tc>
        <w:tc>
          <w:tcPr>
            <w:tcW w:w="11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1501C2" w14:textId="77777777" w:rsidR="00533CD2" w:rsidRDefault="0046046C">
            <w:pPr>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Hlavní výstupy a výsledky</w:t>
            </w:r>
          </w:p>
        </w:tc>
        <w:tc>
          <w:tcPr>
            <w:tcW w:w="10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F163FE" w14:textId="77777777" w:rsidR="00533CD2" w:rsidRDefault="0046046C">
            <w:pPr>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Celkové způsobilé náklady certifikované Komisi</w:t>
            </w:r>
          </w:p>
        </w:tc>
        <w:tc>
          <w:tcPr>
            <w:tcW w:w="11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95CC21" w14:textId="77777777" w:rsidR="00533CD2" w:rsidRDefault="0046046C">
            <w:pPr>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Připomínky (v případě potřeby)</w:t>
            </w:r>
          </w:p>
        </w:tc>
      </w:tr>
      <w:tr w:rsidR="00533CD2" w14:paraId="72E96126" w14:textId="77777777">
        <w:tc>
          <w:tcPr>
            <w:tcW w:w="9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53E469" w14:textId="77777777" w:rsidR="00533CD2" w:rsidRDefault="00533CD2">
            <w:pPr>
              <w:ind w:left="57" w:right="57"/>
            </w:pPr>
          </w:p>
        </w:tc>
        <w:tc>
          <w:tcPr>
            <w:tcW w:w="5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6E5023" w14:textId="77777777" w:rsidR="00533CD2" w:rsidRDefault="00533CD2">
            <w:pPr>
              <w:ind w:left="57" w:right="57"/>
            </w:pPr>
          </w:p>
        </w:tc>
        <w:tc>
          <w:tcPr>
            <w:tcW w:w="13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0506D5" w14:textId="77777777" w:rsidR="00533CD2" w:rsidRDefault="00533CD2">
            <w:pPr>
              <w:ind w:left="57" w:right="57"/>
            </w:pP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E41B73" w14:textId="77777777" w:rsidR="00533CD2" w:rsidRDefault="00533CD2">
            <w:pPr>
              <w:ind w:left="57" w:right="57"/>
            </w:pP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FE1791" w14:textId="77777777" w:rsidR="00533CD2" w:rsidRDefault="00533CD2">
            <w:pPr>
              <w:ind w:left="57" w:right="57"/>
            </w:pPr>
          </w:p>
        </w:tc>
        <w:tc>
          <w:tcPr>
            <w:tcW w:w="11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DAFB34" w14:textId="77777777" w:rsidR="00533CD2" w:rsidRDefault="00533CD2">
            <w:pPr>
              <w:ind w:left="57" w:right="57"/>
            </w:pPr>
          </w:p>
        </w:tc>
        <w:tc>
          <w:tcPr>
            <w:tcW w:w="11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E3D886" w14:textId="77777777" w:rsidR="00533CD2" w:rsidRDefault="00533CD2">
            <w:pPr>
              <w:ind w:left="57" w:right="57"/>
            </w:pPr>
          </w:p>
        </w:tc>
        <w:tc>
          <w:tcPr>
            <w:tcW w:w="11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F67667" w14:textId="77777777" w:rsidR="00533CD2" w:rsidRDefault="00533CD2">
            <w:pPr>
              <w:ind w:left="57" w:right="57"/>
            </w:pPr>
          </w:p>
        </w:tc>
        <w:tc>
          <w:tcPr>
            <w:tcW w:w="11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2932A6" w14:textId="77777777" w:rsidR="00533CD2" w:rsidRDefault="00533CD2">
            <w:pPr>
              <w:ind w:left="57" w:right="57"/>
            </w:pPr>
          </w:p>
        </w:tc>
        <w:tc>
          <w:tcPr>
            <w:tcW w:w="13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88CCFF" w14:textId="77777777" w:rsidR="00533CD2" w:rsidRDefault="00533CD2">
            <w:pPr>
              <w:ind w:left="57" w:right="57"/>
            </w:pPr>
          </w:p>
        </w:tc>
        <w:tc>
          <w:tcPr>
            <w:tcW w:w="13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2CF913" w14:textId="77777777" w:rsidR="00533CD2" w:rsidRDefault="00533CD2">
            <w:pPr>
              <w:ind w:left="57" w:right="57"/>
            </w:pPr>
          </w:p>
        </w:tc>
        <w:tc>
          <w:tcPr>
            <w:tcW w:w="11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5C45B4" w14:textId="77777777" w:rsidR="00533CD2" w:rsidRDefault="00533CD2">
            <w:pPr>
              <w:ind w:left="57" w:right="57"/>
            </w:pPr>
          </w:p>
        </w:tc>
        <w:tc>
          <w:tcPr>
            <w:tcW w:w="10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EB087F" w14:textId="77777777" w:rsidR="00533CD2" w:rsidRDefault="00533CD2">
            <w:pPr>
              <w:ind w:left="57" w:right="57"/>
            </w:pPr>
          </w:p>
        </w:tc>
        <w:tc>
          <w:tcPr>
            <w:tcW w:w="11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B1BE96" w14:textId="77777777" w:rsidR="00533CD2" w:rsidRDefault="00533CD2">
            <w:pPr>
              <w:ind w:left="57" w:right="57"/>
            </w:pPr>
          </w:p>
        </w:tc>
      </w:tr>
    </w:tbl>
    <w:p w14:paraId="7E40D4C7" w14:textId="77777777" w:rsidR="00533CD2" w:rsidRDefault="0046046C" w:rsidP="00A9747C">
      <w:pPr>
        <w:keepNext/>
        <w:spacing w:before="120" w:after="120"/>
        <w:ind w:right="109"/>
        <w:jc w:val="both"/>
        <w:rPr>
          <w:rFonts w:ascii="Arial" w:eastAsia="Arial" w:hAnsi="Arial" w:cs="Arial"/>
          <w:color w:val="000000"/>
          <w:sz w:val="20"/>
        </w:rPr>
      </w:pPr>
      <w:r>
        <w:rPr>
          <w:rFonts w:ascii="Arial" w:eastAsia="Arial" w:hAnsi="Arial" w:cs="Arial"/>
          <w:color w:val="000000"/>
          <w:sz w:val="20"/>
        </w:rPr>
        <w:t xml:space="preserve">Významné problémy, které se vyskytly, </w:t>
      </w:r>
      <w:proofErr w:type="gramStart"/>
      <w:r>
        <w:rPr>
          <w:rFonts w:ascii="Arial" w:eastAsia="Arial" w:hAnsi="Arial" w:cs="Arial"/>
          <w:color w:val="000000"/>
          <w:sz w:val="20"/>
        </w:rPr>
        <w:t>a</w:t>
      </w:r>
      <w:proofErr w:type="gramEnd"/>
      <w:r>
        <w:rPr>
          <w:rFonts w:ascii="Arial" w:eastAsia="Arial" w:hAnsi="Arial" w:cs="Arial"/>
          <w:color w:val="000000"/>
          <w:sz w:val="20"/>
        </w:rPr>
        <w:t xml:space="preserve"> opatření přijatá k jejich odstranění.</w:t>
      </w:r>
    </w:p>
    <w:p w14:paraId="182FDEBD" w14:textId="77777777" w:rsidR="00533CD2" w:rsidRDefault="00533CD2">
      <w:pPr>
        <w:spacing w:after="120" w:line="264" w:lineRule="auto"/>
        <w:ind w:left="115" w:right="109"/>
        <w:jc w:val="both"/>
        <w:rPr>
          <w:rFonts w:ascii="Arial" w:eastAsia="Arial" w:hAnsi="Arial" w:cs="Arial"/>
          <w:color w:val="000000"/>
          <w:sz w:val="20"/>
        </w:rPr>
      </w:pPr>
    </w:p>
    <w:p w14:paraId="7F80C9A7" w14:textId="77777777" w:rsidR="00B56CBB" w:rsidRDefault="00B56CBB"/>
    <w:sectPr w:rsidR="00B56CBB" w:rsidSect="00A9747C">
      <w:headerReference w:type="default" r:id="rId13"/>
      <w:footerReference w:type="default" r:id="rId14"/>
      <w:pgSz w:w="16820" w:h="11900" w:orient="landscape"/>
      <w:pgMar w:top="839" w:right="522" w:bottom="1542" w:left="561" w:header="539"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8690ED" w14:textId="77777777" w:rsidR="00C97ADE" w:rsidRDefault="00C97ADE">
      <w:r>
        <w:separator/>
      </w:r>
    </w:p>
  </w:endnote>
  <w:endnote w:type="continuationSeparator" w:id="0">
    <w:p w14:paraId="17C045BA" w14:textId="77777777" w:rsidR="00C97ADE" w:rsidRDefault="00C97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Palatino Linotype"/>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3" w:type="dxa"/>
      <w:tblLayout w:type="fixed"/>
      <w:tblCellMar>
        <w:left w:w="0" w:type="dxa"/>
        <w:right w:w="0" w:type="dxa"/>
      </w:tblCellMar>
      <w:tblLook w:val="04A0" w:firstRow="1" w:lastRow="0" w:firstColumn="1" w:lastColumn="0" w:noHBand="0" w:noVBand="1"/>
    </w:tblPr>
    <w:tblGrid>
      <w:gridCol w:w="2890"/>
      <w:gridCol w:w="2952"/>
      <w:gridCol w:w="3218"/>
    </w:tblGrid>
    <w:tr w:rsidR="00C97ADE" w14:paraId="1C264F6B" w14:textId="77777777">
      <w:tc>
        <w:tcPr>
          <w:tcW w:w="2890" w:type="dxa"/>
          <w:shd w:val="clear" w:color="auto" w:fill="FFFFFF"/>
          <w:vAlign w:val="center"/>
        </w:tcPr>
        <w:p w14:paraId="7CD0D4C4" w14:textId="77777777" w:rsidR="00C97ADE" w:rsidRDefault="00C97ADE">
          <w:pPr>
            <w:tabs>
              <w:tab w:val="center" w:pos="4644"/>
              <w:tab w:val="right" w:pos="9180"/>
            </w:tabs>
            <w:ind w:left="108" w:right="108"/>
            <w:rPr>
              <w:rFonts w:ascii="Calibri" w:eastAsia="Calibri" w:hAnsi="Calibri" w:cs="Calibri"/>
              <w:color w:val="000000"/>
            </w:rPr>
          </w:pPr>
          <w:r>
            <w:rPr>
              <w:rFonts w:ascii="Calibri" w:eastAsia="Calibri" w:hAnsi="Calibri" w:cs="Calibri"/>
              <w:color w:val="000000"/>
            </w:rPr>
            <w:t>Sestava vytvořena v MS2014+</w:t>
          </w:r>
        </w:p>
      </w:tc>
      <w:tc>
        <w:tcPr>
          <w:tcW w:w="2952" w:type="dxa"/>
          <w:shd w:val="clear" w:color="auto" w:fill="FFFFFF"/>
          <w:vAlign w:val="center"/>
        </w:tcPr>
        <w:p w14:paraId="727F6A4C" w14:textId="77777777" w:rsidR="00C97ADE" w:rsidRDefault="00C97ADE">
          <w:pPr>
            <w:tabs>
              <w:tab w:val="center" w:pos="4644"/>
              <w:tab w:val="right" w:pos="9180"/>
            </w:tabs>
            <w:ind w:left="43" w:right="108"/>
            <w:jc w:val="center"/>
            <w:rPr>
              <w:rFonts w:ascii="Calibri" w:eastAsia="Calibri" w:hAnsi="Calibri" w:cs="Calibri"/>
              <w:color w:val="000000"/>
            </w:rPr>
          </w:pPr>
          <w:r>
            <w:rPr>
              <w:rFonts w:ascii="Calibri" w:eastAsia="Calibri" w:hAnsi="Calibri" w:cs="Calibri"/>
              <w:color w:val="000000"/>
            </w:rPr>
            <w:t xml:space="preserve">Mgr. Jan Čirka </w:t>
          </w:r>
        </w:p>
      </w:tc>
      <w:tc>
        <w:tcPr>
          <w:tcW w:w="3218" w:type="dxa"/>
          <w:shd w:val="clear" w:color="auto" w:fill="FFFFFF"/>
          <w:vAlign w:val="center"/>
        </w:tcPr>
        <w:p w14:paraId="1D1DD2A2" w14:textId="77777777" w:rsidR="00C97ADE" w:rsidRDefault="00C97ADE">
          <w:pPr>
            <w:tabs>
              <w:tab w:val="center" w:pos="4644"/>
              <w:tab w:val="right" w:pos="9180"/>
            </w:tabs>
            <w:ind w:left="282" w:right="108"/>
            <w:jc w:val="right"/>
            <w:rPr>
              <w:rFonts w:ascii="Calibri" w:eastAsia="Calibri" w:hAnsi="Calibri" w:cs="Calibri"/>
              <w:color w:val="000000"/>
            </w:rPr>
          </w:pPr>
          <w:r>
            <w:rPr>
              <w:rFonts w:ascii="Calibri" w:eastAsia="Calibri" w:hAnsi="Calibri" w:cs="Calibri"/>
              <w:color w:val="000000"/>
            </w:rPr>
            <w:t>02.03.2020  13:37:32</w:t>
          </w:r>
        </w:p>
      </w:tc>
    </w:tr>
  </w:tbl>
  <w:p w14:paraId="04C1890D" w14:textId="2CB021F2" w:rsidR="00C97ADE" w:rsidRDefault="00C97ADE">
    <w:pPr>
      <w:tabs>
        <w:tab w:val="center" w:pos="4644"/>
        <w:tab w:val="right" w:pos="9180"/>
      </w:tabs>
      <w:ind w:left="111" w:right="105"/>
      <w:jc w:val="center"/>
    </w:pPr>
    <w:r>
      <w:rPr>
        <w:rFonts w:ascii="Calibri" w:eastAsia="Calibri" w:hAnsi="Calibri" w:cs="Calibri"/>
        <w:color w:val="000000"/>
      </w:rPr>
      <w:fldChar w:fldCharType="begin"/>
    </w:r>
    <w:r>
      <w:rPr>
        <w:rFonts w:ascii="Calibri" w:eastAsia="Calibri" w:hAnsi="Calibri" w:cs="Calibri"/>
        <w:color w:val="000000"/>
      </w:rPr>
      <w:instrText xml:space="preserve"> PAGE   \* MERGEFORMAT </w:instrText>
    </w:r>
    <w:r>
      <w:rPr>
        <w:rFonts w:ascii="Calibri" w:eastAsia="Calibri" w:hAnsi="Calibri" w:cs="Calibri"/>
        <w:color w:val="000000"/>
      </w:rPr>
      <w:fldChar w:fldCharType="separate"/>
    </w:r>
    <w:r w:rsidR="001E3EC2">
      <w:rPr>
        <w:rFonts w:ascii="Calibri" w:eastAsia="Calibri" w:hAnsi="Calibri" w:cs="Calibri"/>
        <w:noProof/>
        <w:color w:val="000000"/>
      </w:rPr>
      <w:t>9</w:t>
    </w:r>
    <w:r>
      <w:rPr>
        <w:rFonts w:ascii="Calibri" w:eastAsia="Calibri" w:hAnsi="Calibri" w:cs="Calibri"/>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7" w:type="dxa"/>
      <w:tblLayout w:type="fixed"/>
      <w:tblCellMar>
        <w:left w:w="0" w:type="dxa"/>
        <w:right w:w="0" w:type="dxa"/>
      </w:tblCellMar>
      <w:tblLook w:val="04A0" w:firstRow="1" w:lastRow="0" w:firstColumn="1" w:lastColumn="0" w:noHBand="0" w:noVBand="1"/>
    </w:tblPr>
    <w:tblGrid>
      <w:gridCol w:w="5665"/>
      <w:gridCol w:w="6243"/>
      <w:gridCol w:w="3545"/>
    </w:tblGrid>
    <w:tr w:rsidR="00C97ADE" w14:paraId="71F7C788" w14:textId="77777777">
      <w:tc>
        <w:tcPr>
          <w:tcW w:w="5665" w:type="dxa"/>
          <w:shd w:val="clear" w:color="auto" w:fill="FFFFFF"/>
          <w:vAlign w:val="center"/>
        </w:tcPr>
        <w:p w14:paraId="272D9500" w14:textId="77777777" w:rsidR="00C97ADE" w:rsidRDefault="00C97ADE">
          <w:pPr>
            <w:tabs>
              <w:tab w:val="center" w:pos="4644"/>
              <w:tab w:val="right" w:pos="9180"/>
            </w:tabs>
            <w:ind w:left="108" w:right="108"/>
            <w:rPr>
              <w:rFonts w:ascii="Calibri" w:eastAsia="Calibri" w:hAnsi="Calibri" w:cs="Calibri"/>
              <w:color w:val="000000"/>
            </w:rPr>
          </w:pPr>
          <w:r>
            <w:rPr>
              <w:rFonts w:ascii="Calibri" w:eastAsia="Calibri" w:hAnsi="Calibri" w:cs="Calibri"/>
              <w:color w:val="000000"/>
            </w:rPr>
            <w:t>Sestava vytvořena v MS2014+</w:t>
          </w:r>
        </w:p>
      </w:tc>
      <w:tc>
        <w:tcPr>
          <w:tcW w:w="6243" w:type="dxa"/>
          <w:shd w:val="clear" w:color="auto" w:fill="FFFFFF"/>
          <w:vAlign w:val="center"/>
        </w:tcPr>
        <w:p w14:paraId="1AB9EB2E" w14:textId="77777777" w:rsidR="00C97ADE" w:rsidRDefault="00C97ADE">
          <w:pPr>
            <w:tabs>
              <w:tab w:val="center" w:pos="4644"/>
              <w:tab w:val="right" w:pos="9180"/>
            </w:tabs>
            <w:ind w:left="43" w:right="108"/>
            <w:jc w:val="center"/>
            <w:rPr>
              <w:rFonts w:ascii="Calibri" w:eastAsia="Calibri" w:hAnsi="Calibri" w:cs="Calibri"/>
              <w:color w:val="000000"/>
            </w:rPr>
          </w:pPr>
          <w:r>
            <w:rPr>
              <w:rFonts w:ascii="Calibri" w:eastAsia="Calibri" w:hAnsi="Calibri" w:cs="Calibri"/>
              <w:color w:val="000000"/>
            </w:rPr>
            <w:t xml:space="preserve">Mgr. Jan Čirka </w:t>
          </w:r>
        </w:p>
      </w:tc>
      <w:tc>
        <w:tcPr>
          <w:tcW w:w="3545" w:type="dxa"/>
          <w:shd w:val="clear" w:color="auto" w:fill="FFFFFF"/>
          <w:vAlign w:val="center"/>
        </w:tcPr>
        <w:p w14:paraId="698016CE" w14:textId="77777777" w:rsidR="00C97ADE" w:rsidRDefault="00C97ADE">
          <w:pPr>
            <w:tabs>
              <w:tab w:val="center" w:pos="4644"/>
              <w:tab w:val="right" w:pos="9180"/>
            </w:tabs>
            <w:ind w:left="282" w:right="108"/>
            <w:jc w:val="right"/>
            <w:rPr>
              <w:rFonts w:ascii="Calibri" w:eastAsia="Calibri" w:hAnsi="Calibri" w:cs="Calibri"/>
              <w:color w:val="000000"/>
            </w:rPr>
          </w:pPr>
          <w:r>
            <w:rPr>
              <w:rFonts w:ascii="Calibri" w:eastAsia="Calibri" w:hAnsi="Calibri" w:cs="Calibri"/>
              <w:color w:val="000000"/>
            </w:rPr>
            <w:t>02.03.2020  13:37:32</w:t>
          </w:r>
        </w:p>
      </w:tc>
    </w:tr>
  </w:tbl>
  <w:p w14:paraId="49AE9F6C" w14:textId="6004D7D2" w:rsidR="00C97ADE" w:rsidRDefault="00C97ADE">
    <w:pPr>
      <w:tabs>
        <w:tab w:val="center" w:pos="4644"/>
        <w:tab w:val="right" w:pos="9180"/>
      </w:tabs>
      <w:ind w:left="115" w:right="106"/>
      <w:jc w:val="center"/>
    </w:pPr>
    <w:r>
      <w:rPr>
        <w:rFonts w:ascii="Calibri" w:eastAsia="Calibri" w:hAnsi="Calibri" w:cs="Calibri"/>
        <w:color w:val="000000"/>
      </w:rPr>
      <w:fldChar w:fldCharType="begin"/>
    </w:r>
    <w:r>
      <w:rPr>
        <w:rFonts w:ascii="Calibri" w:eastAsia="Calibri" w:hAnsi="Calibri" w:cs="Calibri"/>
        <w:color w:val="000000"/>
      </w:rPr>
      <w:instrText xml:space="preserve"> PAGE   \* MERGEFORMAT </w:instrText>
    </w:r>
    <w:r>
      <w:rPr>
        <w:rFonts w:ascii="Calibri" w:eastAsia="Calibri" w:hAnsi="Calibri" w:cs="Calibri"/>
        <w:color w:val="000000"/>
      </w:rPr>
      <w:fldChar w:fldCharType="separate"/>
    </w:r>
    <w:r w:rsidR="001E3EC2">
      <w:rPr>
        <w:rFonts w:ascii="Calibri" w:eastAsia="Calibri" w:hAnsi="Calibri" w:cs="Calibri"/>
        <w:noProof/>
        <w:color w:val="000000"/>
      </w:rPr>
      <w:t>21</w:t>
    </w:r>
    <w:r>
      <w:rPr>
        <w:rFonts w:ascii="Calibri" w:eastAsia="Calibri" w:hAnsi="Calibri" w:cs="Calibri"/>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1" w:type="dxa"/>
      <w:tblLayout w:type="fixed"/>
      <w:tblCellMar>
        <w:left w:w="0" w:type="dxa"/>
        <w:right w:w="0" w:type="dxa"/>
      </w:tblCellMar>
      <w:tblLook w:val="04A0" w:firstRow="1" w:lastRow="0" w:firstColumn="1" w:lastColumn="0" w:noHBand="0" w:noVBand="1"/>
    </w:tblPr>
    <w:tblGrid>
      <w:gridCol w:w="2878"/>
      <w:gridCol w:w="2910"/>
      <w:gridCol w:w="3188"/>
    </w:tblGrid>
    <w:tr w:rsidR="00C97ADE" w14:paraId="76D657E3" w14:textId="77777777">
      <w:tc>
        <w:tcPr>
          <w:tcW w:w="2878" w:type="dxa"/>
          <w:shd w:val="clear" w:color="auto" w:fill="FFFFFF"/>
          <w:vAlign w:val="center"/>
        </w:tcPr>
        <w:p w14:paraId="059A3D52" w14:textId="77777777" w:rsidR="00C97ADE" w:rsidRDefault="00C97ADE">
          <w:pPr>
            <w:tabs>
              <w:tab w:val="center" w:pos="4644"/>
              <w:tab w:val="right" w:pos="9180"/>
            </w:tabs>
            <w:ind w:left="108" w:right="108"/>
            <w:rPr>
              <w:rFonts w:ascii="Calibri" w:eastAsia="Calibri" w:hAnsi="Calibri" w:cs="Calibri"/>
              <w:color w:val="000000"/>
            </w:rPr>
          </w:pPr>
          <w:r>
            <w:rPr>
              <w:rFonts w:ascii="Calibri" w:eastAsia="Calibri" w:hAnsi="Calibri" w:cs="Calibri"/>
              <w:color w:val="000000"/>
            </w:rPr>
            <w:t>Sestava vytvořena v MS2014+</w:t>
          </w:r>
        </w:p>
      </w:tc>
      <w:tc>
        <w:tcPr>
          <w:tcW w:w="2910" w:type="dxa"/>
          <w:shd w:val="clear" w:color="auto" w:fill="FFFFFF"/>
          <w:vAlign w:val="center"/>
        </w:tcPr>
        <w:p w14:paraId="092F2944" w14:textId="77777777" w:rsidR="00C97ADE" w:rsidRDefault="00C97ADE">
          <w:pPr>
            <w:tabs>
              <w:tab w:val="center" w:pos="4644"/>
              <w:tab w:val="right" w:pos="9180"/>
            </w:tabs>
            <w:ind w:left="283" w:right="108"/>
            <w:jc w:val="center"/>
            <w:rPr>
              <w:rFonts w:ascii="Calibri" w:eastAsia="Calibri" w:hAnsi="Calibri" w:cs="Calibri"/>
              <w:color w:val="000000"/>
            </w:rPr>
          </w:pPr>
          <w:r>
            <w:rPr>
              <w:rFonts w:ascii="Calibri" w:eastAsia="Calibri" w:hAnsi="Calibri" w:cs="Calibri"/>
              <w:color w:val="000000"/>
            </w:rPr>
            <w:t xml:space="preserve">Mgr. Jan Čirka </w:t>
          </w:r>
        </w:p>
      </w:tc>
      <w:tc>
        <w:tcPr>
          <w:tcW w:w="3188" w:type="dxa"/>
          <w:shd w:val="clear" w:color="auto" w:fill="FFFFFF"/>
          <w:vAlign w:val="center"/>
        </w:tcPr>
        <w:p w14:paraId="714ECB33" w14:textId="77777777" w:rsidR="00C97ADE" w:rsidRDefault="00C97ADE">
          <w:pPr>
            <w:tabs>
              <w:tab w:val="center" w:pos="4644"/>
              <w:tab w:val="right" w:pos="9180"/>
            </w:tabs>
            <w:ind w:left="282" w:right="108"/>
            <w:jc w:val="right"/>
            <w:rPr>
              <w:rFonts w:ascii="Calibri" w:eastAsia="Calibri" w:hAnsi="Calibri" w:cs="Calibri"/>
              <w:color w:val="000000"/>
            </w:rPr>
          </w:pPr>
          <w:r>
            <w:rPr>
              <w:rFonts w:ascii="Calibri" w:eastAsia="Calibri" w:hAnsi="Calibri" w:cs="Calibri"/>
              <w:color w:val="000000"/>
            </w:rPr>
            <w:t>02.03.2020  13:37:32</w:t>
          </w:r>
        </w:p>
      </w:tc>
    </w:tr>
  </w:tbl>
  <w:p w14:paraId="17F6A31E" w14:textId="3222D51D" w:rsidR="00C97ADE" w:rsidRDefault="00C97ADE">
    <w:pPr>
      <w:tabs>
        <w:tab w:val="center" w:pos="4644"/>
        <w:tab w:val="right" w:pos="9180"/>
      </w:tabs>
      <w:ind w:left="119" w:right="121"/>
      <w:jc w:val="center"/>
    </w:pPr>
    <w:r>
      <w:rPr>
        <w:rFonts w:ascii="Calibri" w:eastAsia="Calibri" w:hAnsi="Calibri" w:cs="Calibri"/>
        <w:color w:val="000000"/>
      </w:rPr>
      <w:fldChar w:fldCharType="begin"/>
    </w:r>
    <w:r>
      <w:rPr>
        <w:rFonts w:ascii="Calibri" w:eastAsia="Calibri" w:hAnsi="Calibri" w:cs="Calibri"/>
        <w:color w:val="000000"/>
      </w:rPr>
      <w:instrText xml:space="preserve"> PAGE   \* MERGEFORMAT </w:instrText>
    </w:r>
    <w:r>
      <w:rPr>
        <w:rFonts w:ascii="Calibri" w:eastAsia="Calibri" w:hAnsi="Calibri" w:cs="Calibri"/>
        <w:color w:val="000000"/>
      </w:rPr>
      <w:fldChar w:fldCharType="separate"/>
    </w:r>
    <w:r w:rsidR="001E3EC2">
      <w:rPr>
        <w:rFonts w:ascii="Calibri" w:eastAsia="Calibri" w:hAnsi="Calibri" w:cs="Calibri"/>
        <w:noProof/>
        <w:color w:val="000000"/>
      </w:rPr>
      <w:t>138</w:t>
    </w:r>
    <w:r>
      <w:rPr>
        <w:rFonts w:ascii="Calibri" w:eastAsia="Calibri" w:hAnsi="Calibri" w:cs="Calibri"/>
        <w:color w:val="00000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1" w:type="dxa"/>
      <w:tblLayout w:type="fixed"/>
      <w:tblCellMar>
        <w:left w:w="0" w:type="dxa"/>
        <w:right w:w="0" w:type="dxa"/>
      </w:tblCellMar>
      <w:tblLook w:val="04A0" w:firstRow="1" w:lastRow="0" w:firstColumn="1" w:lastColumn="0" w:noHBand="0" w:noVBand="1"/>
    </w:tblPr>
    <w:tblGrid>
      <w:gridCol w:w="2867"/>
      <w:gridCol w:w="2899"/>
      <w:gridCol w:w="3208"/>
    </w:tblGrid>
    <w:tr w:rsidR="00C97ADE" w14:paraId="5B47DA7C" w14:textId="77777777">
      <w:tc>
        <w:tcPr>
          <w:tcW w:w="2867" w:type="dxa"/>
          <w:shd w:val="clear" w:color="auto" w:fill="FFFFFF"/>
          <w:vAlign w:val="center"/>
        </w:tcPr>
        <w:p w14:paraId="71FD797B" w14:textId="77777777" w:rsidR="00C97ADE" w:rsidRDefault="00C97ADE">
          <w:pPr>
            <w:tabs>
              <w:tab w:val="center" w:pos="4644"/>
              <w:tab w:val="right" w:pos="9180"/>
            </w:tabs>
            <w:ind w:left="108" w:right="108"/>
            <w:rPr>
              <w:rFonts w:ascii="Calibri" w:eastAsia="Calibri" w:hAnsi="Calibri" w:cs="Calibri"/>
              <w:color w:val="000000"/>
            </w:rPr>
          </w:pPr>
          <w:r>
            <w:rPr>
              <w:rFonts w:ascii="Calibri" w:eastAsia="Calibri" w:hAnsi="Calibri" w:cs="Calibri"/>
              <w:color w:val="000000"/>
            </w:rPr>
            <w:t>Sestava vytvořena v MS2014+</w:t>
          </w:r>
        </w:p>
      </w:tc>
      <w:tc>
        <w:tcPr>
          <w:tcW w:w="2899" w:type="dxa"/>
          <w:shd w:val="clear" w:color="auto" w:fill="FFFFFF"/>
          <w:vAlign w:val="center"/>
        </w:tcPr>
        <w:p w14:paraId="242A4E62" w14:textId="77777777" w:rsidR="00C97ADE" w:rsidRDefault="00C97ADE">
          <w:pPr>
            <w:tabs>
              <w:tab w:val="center" w:pos="4644"/>
              <w:tab w:val="right" w:pos="9180"/>
            </w:tabs>
            <w:ind w:left="43" w:right="108"/>
            <w:jc w:val="center"/>
            <w:rPr>
              <w:rFonts w:ascii="Calibri" w:eastAsia="Calibri" w:hAnsi="Calibri" w:cs="Calibri"/>
              <w:color w:val="000000"/>
            </w:rPr>
          </w:pPr>
          <w:r>
            <w:rPr>
              <w:rFonts w:ascii="Calibri" w:eastAsia="Calibri" w:hAnsi="Calibri" w:cs="Calibri"/>
              <w:color w:val="000000"/>
            </w:rPr>
            <w:t xml:space="preserve">Mgr. Jan Čirka </w:t>
          </w:r>
        </w:p>
      </w:tc>
      <w:tc>
        <w:tcPr>
          <w:tcW w:w="3208" w:type="dxa"/>
          <w:shd w:val="clear" w:color="auto" w:fill="FFFFFF"/>
          <w:vAlign w:val="center"/>
        </w:tcPr>
        <w:p w14:paraId="060DD242" w14:textId="77777777" w:rsidR="00C97ADE" w:rsidRDefault="00C97ADE">
          <w:pPr>
            <w:tabs>
              <w:tab w:val="center" w:pos="4644"/>
              <w:tab w:val="right" w:pos="9180"/>
            </w:tabs>
            <w:ind w:left="282" w:right="108"/>
            <w:jc w:val="right"/>
            <w:rPr>
              <w:rFonts w:ascii="Calibri" w:eastAsia="Calibri" w:hAnsi="Calibri" w:cs="Calibri"/>
              <w:color w:val="000000"/>
            </w:rPr>
          </w:pPr>
          <w:r>
            <w:rPr>
              <w:rFonts w:ascii="Calibri" w:eastAsia="Calibri" w:hAnsi="Calibri" w:cs="Calibri"/>
              <w:color w:val="000000"/>
            </w:rPr>
            <w:t>02.03.2020  13:37:32</w:t>
          </w:r>
        </w:p>
      </w:tc>
    </w:tr>
  </w:tbl>
  <w:p w14:paraId="6E959CD6" w14:textId="44C29B68" w:rsidR="00C97ADE" w:rsidRDefault="00C97ADE">
    <w:pPr>
      <w:tabs>
        <w:tab w:val="center" w:pos="4644"/>
        <w:tab w:val="right" w:pos="9180"/>
      </w:tabs>
      <w:ind w:left="119" w:right="121"/>
      <w:jc w:val="center"/>
    </w:pPr>
    <w:r>
      <w:rPr>
        <w:rFonts w:ascii="Calibri" w:eastAsia="Calibri" w:hAnsi="Calibri" w:cs="Calibri"/>
        <w:color w:val="000000"/>
      </w:rPr>
      <w:fldChar w:fldCharType="begin"/>
    </w:r>
    <w:r>
      <w:rPr>
        <w:rFonts w:ascii="Calibri" w:eastAsia="Calibri" w:hAnsi="Calibri" w:cs="Calibri"/>
        <w:color w:val="000000"/>
      </w:rPr>
      <w:instrText xml:space="preserve"> PAGE   \* MERGEFORMAT </w:instrText>
    </w:r>
    <w:r>
      <w:rPr>
        <w:rFonts w:ascii="Calibri" w:eastAsia="Calibri" w:hAnsi="Calibri" w:cs="Calibri"/>
        <w:color w:val="000000"/>
      </w:rPr>
      <w:fldChar w:fldCharType="separate"/>
    </w:r>
    <w:r w:rsidR="001E3EC2">
      <w:rPr>
        <w:rFonts w:ascii="Calibri" w:eastAsia="Calibri" w:hAnsi="Calibri" w:cs="Calibri"/>
        <w:noProof/>
        <w:color w:val="000000"/>
      </w:rPr>
      <w:t>139</w:t>
    </w:r>
    <w:r>
      <w:rPr>
        <w:rFonts w:ascii="Calibri" w:eastAsia="Calibri" w:hAnsi="Calibri" w:cs="Calibri"/>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8A3D2E" w14:textId="77777777" w:rsidR="00C97ADE" w:rsidRDefault="00C97ADE">
      <w:r>
        <w:separator/>
      </w:r>
    </w:p>
  </w:footnote>
  <w:footnote w:type="continuationSeparator" w:id="0">
    <w:p w14:paraId="664C807F" w14:textId="77777777" w:rsidR="00C97ADE" w:rsidRDefault="00C97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88F3F" w14:textId="77777777" w:rsidR="00C97ADE" w:rsidRDefault="00C97ADE">
    <w:pPr>
      <w:tabs>
        <w:tab w:val="left" w:pos="3398"/>
      </w:tabs>
      <w:spacing w:after="120"/>
      <w:ind w:left="115" w:right="106"/>
      <w:jc w:val="right"/>
      <w:rPr>
        <w:rFonts w:ascii="Calibri" w:eastAsia="Calibri" w:hAnsi="Calibri" w:cs="Calibri"/>
        <w:color w:val="000000"/>
        <w:sz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75279" w14:textId="77777777" w:rsidR="00C97ADE" w:rsidRDefault="00C97ADE">
    <w:pPr>
      <w:tabs>
        <w:tab w:val="left" w:pos="3398"/>
      </w:tabs>
      <w:spacing w:after="120"/>
      <w:ind w:left="119" w:right="121"/>
      <w:jc w:val="right"/>
      <w:rPr>
        <w:rFonts w:ascii="Calibri" w:eastAsia="Calibri" w:hAnsi="Calibri" w:cs="Calibri"/>
        <w:color w:val="000000"/>
        <w:sz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80FFB" w14:textId="77777777" w:rsidR="00C97ADE" w:rsidRDefault="00C97ADE">
    <w:pPr>
      <w:tabs>
        <w:tab w:val="left" w:pos="3398"/>
      </w:tabs>
      <w:spacing w:after="120"/>
      <w:ind w:left="119" w:right="121"/>
      <w:jc w:val="right"/>
      <w:rPr>
        <w:rFonts w:ascii="Calibri" w:eastAsia="Calibri" w:hAnsi="Calibri" w:cs="Calibri"/>
        <w:color w:val="00000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56C66"/>
    <w:multiLevelType w:val="multilevel"/>
    <w:tmpl w:val="8632A042"/>
    <w:lvl w:ilvl="0">
      <w:start w:val="1"/>
      <w:numFmt w:val="decimal"/>
      <w:lvlText w:val="%1."/>
      <w:lvlJc w:val="left"/>
      <w:pPr>
        <w:ind w:left="468" w:hanging="360"/>
      </w:pPr>
      <w:rPr>
        <w:rFonts w:ascii="Arial" w:eastAsia="Arial" w:hAnsi="Arial" w:cs="Arial" w:hint="default"/>
        <w:b/>
        <w:bCs/>
        <w:color w:val="000000"/>
        <w:sz w:val="24"/>
      </w:rPr>
    </w:lvl>
    <w:lvl w:ilvl="1">
      <w:start w:val="1"/>
      <w:numFmt w:val="decimal"/>
      <w:lvlText w:val="%1.%2."/>
      <w:lvlJc w:val="left"/>
      <w:pPr>
        <w:ind w:left="533" w:hanging="425"/>
      </w:pPr>
      <w:rPr>
        <w:rFonts w:ascii="Arial" w:eastAsia="Arial" w:hAnsi="Arial" w:cs="Arial" w:hint="default"/>
        <w:b/>
        <w:bCs/>
        <w:color w:val="000000"/>
        <w:sz w:val="24"/>
      </w:rPr>
    </w:lvl>
    <w:lvl w:ilvl="2">
      <w:start w:val="1"/>
      <w:numFmt w:val="decimal"/>
      <w:lvlText w:val="%1.%2.%3."/>
      <w:lvlJc w:val="left"/>
      <w:pPr>
        <w:ind w:left="1332" w:hanging="504"/>
      </w:pPr>
      <w:rPr>
        <w:rFonts w:ascii="Calibri" w:eastAsia="Calibri" w:hAnsi="Calibri" w:cs="Calibri" w:hint="default"/>
        <w:color w:val="000000"/>
        <w:sz w:val="24"/>
      </w:rPr>
    </w:lvl>
    <w:lvl w:ilvl="3">
      <w:start w:val="1"/>
      <w:numFmt w:val="decimal"/>
      <w:lvlText w:val="%1.%2.%3.%4."/>
      <w:lvlJc w:val="left"/>
      <w:pPr>
        <w:ind w:left="1836" w:hanging="648"/>
      </w:pPr>
      <w:rPr>
        <w:rFonts w:ascii="Calibri" w:eastAsia="Calibri" w:hAnsi="Calibri" w:cs="Calibri" w:hint="default"/>
        <w:color w:val="000000"/>
        <w:sz w:val="24"/>
      </w:rPr>
    </w:lvl>
    <w:lvl w:ilvl="4">
      <w:start w:val="1"/>
      <w:numFmt w:val="decimal"/>
      <w:lvlText w:val="%1.%2.%3.%4.%5."/>
      <w:lvlJc w:val="left"/>
      <w:pPr>
        <w:ind w:left="2340" w:hanging="792"/>
      </w:pPr>
      <w:rPr>
        <w:rFonts w:ascii="Calibri" w:eastAsia="Calibri" w:hAnsi="Calibri" w:cs="Calibri" w:hint="default"/>
        <w:color w:val="000000"/>
        <w:sz w:val="24"/>
      </w:rPr>
    </w:lvl>
    <w:lvl w:ilvl="5">
      <w:start w:val="1"/>
      <w:numFmt w:val="decimal"/>
      <w:lvlText w:val="%1.%2.%3.%4.%5.%6."/>
      <w:lvlJc w:val="left"/>
      <w:pPr>
        <w:ind w:left="2844" w:hanging="936"/>
      </w:pPr>
      <w:rPr>
        <w:rFonts w:ascii="Calibri" w:eastAsia="Calibri" w:hAnsi="Calibri" w:cs="Calibri" w:hint="default"/>
        <w:color w:val="000000"/>
        <w:sz w:val="24"/>
      </w:rPr>
    </w:lvl>
    <w:lvl w:ilvl="6">
      <w:start w:val="1"/>
      <w:numFmt w:val="decimal"/>
      <w:lvlText w:val="%1.%2.%3.%4.%5.%6.%7."/>
      <w:lvlJc w:val="left"/>
      <w:pPr>
        <w:ind w:left="3348" w:hanging="1080"/>
      </w:pPr>
      <w:rPr>
        <w:rFonts w:ascii="Calibri" w:eastAsia="Calibri" w:hAnsi="Calibri" w:cs="Calibri" w:hint="default"/>
        <w:color w:val="000000"/>
        <w:sz w:val="24"/>
      </w:rPr>
    </w:lvl>
    <w:lvl w:ilvl="7">
      <w:start w:val="1"/>
      <w:numFmt w:val="decimal"/>
      <w:lvlText w:val="%1.%2.%3.%4.%5.%6.%7.%8."/>
      <w:lvlJc w:val="left"/>
      <w:pPr>
        <w:ind w:left="3852" w:hanging="1224"/>
      </w:pPr>
      <w:rPr>
        <w:rFonts w:ascii="Calibri" w:eastAsia="Calibri" w:hAnsi="Calibri" w:cs="Calibri" w:hint="default"/>
        <w:color w:val="000000"/>
        <w:sz w:val="24"/>
      </w:rPr>
    </w:lvl>
    <w:lvl w:ilvl="8">
      <w:start w:val="1"/>
      <w:numFmt w:val="decimal"/>
      <w:lvlText w:val="%1.%2.%3.%4.%5.%6.%7.%8.%9."/>
      <w:lvlJc w:val="left"/>
      <w:pPr>
        <w:ind w:left="4428" w:hanging="1440"/>
      </w:pPr>
      <w:rPr>
        <w:rFonts w:ascii="Calibri" w:eastAsia="Calibri" w:hAnsi="Calibri" w:cs="Calibri" w:hint="default"/>
        <w:color w:val="000000"/>
        <w:sz w:val="24"/>
      </w:rPr>
    </w:lvl>
  </w:abstractNum>
  <w:abstractNum w:abstractNumId="1" w15:restartNumberingAfterBreak="0">
    <w:nsid w:val="11FF15A6"/>
    <w:multiLevelType w:val="hybridMultilevel"/>
    <w:tmpl w:val="9688891C"/>
    <w:lvl w:ilvl="0" w:tplc="AAF4E6C4">
      <w:start w:val="703"/>
      <w:numFmt w:val="bullet"/>
      <w:lvlText w:val="-"/>
      <w:lvlJc w:val="left"/>
      <w:pPr>
        <w:ind w:left="479" w:hanging="360"/>
      </w:pPr>
      <w:rPr>
        <w:rFonts w:ascii="Calibri" w:eastAsiaTheme="minorEastAsia" w:hAnsi="Calibri" w:cs="Calibri" w:hint="default"/>
        <w:color w:val="auto"/>
        <w:sz w:val="22"/>
      </w:rPr>
    </w:lvl>
    <w:lvl w:ilvl="1" w:tplc="04050003" w:tentative="1">
      <w:start w:val="1"/>
      <w:numFmt w:val="bullet"/>
      <w:lvlText w:val="o"/>
      <w:lvlJc w:val="left"/>
      <w:pPr>
        <w:ind w:left="1199" w:hanging="360"/>
      </w:pPr>
      <w:rPr>
        <w:rFonts w:ascii="Courier New" w:hAnsi="Courier New" w:cs="Courier New" w:hint="default"/>
      </w:rPr>
    </w:lvl>
    <w:lvl w:ilvl="2" w:tplc="04050005" w:tentative="1">
      <w:start w:val="1"/>
      <w:numFmt w:val="bullet"/>
      <w:lvlText w:val=""/>
      <w:lvlJc w:val="left"/>
      <w:pPr>
        <w:ind w:left="1919" w:hanging="360"/>
      </w:pPr>
      <w:rPr>
        <w:rFonts w:ascii="Wingdings" w:hAnsi="Wingdings" w:hint="default"/>
      </w:rPr>
    </w:lvl>
    <w:lvl w:ilvl="3" w:tplc="04050001" w:tentative="1">
      <w:start w:val="1"/>
      <w:numFmt w:val="bullet"/>
      <w:lvlText w:val=""/>
      <w:lvlJc w:val="left"/>
      <w:pPr>
        <w:ind w:left="2639" w:hanging="360"/>
      </w:pPr>
      <w:rPr>
        <w:rFonts w:ascii="Symbol" w:hAnsi="Symbol" w:hint="default"/>
      </w:rPr>
    </w:lvl>
    <w:lvl w:ilvl="4" w:tplc="04050003" w:tentative="1">
      <w:start w:val="1"/>
      <w:numFmt w:val="bullet"/>
      <w:lvlText w:val="o"/>
      <w:lvlJc w:val="left"/>
      <w:pPr>
        <w:ind w:left="3359" w:hanging="360"/>
      </w:pPr>
      <w:rPr>
        <w:rFonts w:ascii="Courier New" w:hAnsi="Courier New" w:cs="Courier New" w:hint="default"/>
      </w:rPr>
    </w:lvl>
    <w:lvl w:ilvl="5" w:tplc="04050005" w:tentative="1">
      <w:start w:val="1"/>
      <w:numFmt w:val="bullet"/>
      <w:lvlText w:val=""/>
      <w:lvlJc w:val="left"/>
      <w:pPr>
        <w:ind w:left="4079" w:hanging="360"/>
      </w:pPr>
      <w:rPr>
        <w:rFonts w:ascii="Wingdings" w:hAnsi="Wingdings" w:hint="default"/>
      </w:rPr>
    </w:lvl>
    <w:lvl w:ilvl="6" w:tplc="04050001" w:tentative="1">
      <w:start w:val="1"/>
      <w:numFmt w:val="bullet"/>
      <w:lvlText w:val=""/>
      <w:lvlJc w:val="left"/>
      <w:pPr>
        <w:ind w:left="4799" w:hanging="360"/>
      </w:pPr>
      <w:rPr>
        <w:rFonts w:ascii="Symbol" w:hAnsi="Symbol" w:hint="default"/>
      </w:rPr>
    </w:lvl>
    <w:lvl w:ilvl="7" w:tplc="04050003" w:tentative="1">
      <w:start w:val="1"/>
      <w:numFmt w:val="bullet"/>
      <w:lvlText w:val="o"/>
      <w:lvlJc w:val="left"/>
      <w:pPr>
        <w:ind w:left="5519" w:hanging="360"/>
      </w:pPr>
      <w:rPr>
        <w:rFonts w:ascii="Courier New" w:hAnsi="Courier New" w:cs="Courier New" w:hint="default"/>
      </w:rPr>
    </w:lvl>
    <w:lvl w:ilvl="8" w:tplc="04050005" w:tentative="1">
      <w:start w:val="1"/>
      <w:numFmt w:val="bullet"/>
      <w:lvlText w:val=""/>
      <w:lvlJc w:val="left"/>
      <w:pPr>
        <w:ind w:left="6239" w:hanging="360"/>
      </w:pPr>
      <w:rPr>
        <w:rFonts w:ascii="Wingdings" w:hAnsi="Wingdings" w:hint="default"/>
      </w:rPr>
    </w:lvl>
  </w:abstractNum>
  <w:abstractNum w:abstractNumId="2" w15:restartNumberingAfterBreak="0">
    <w:nsid w:val="157843F6"/>
    <w:multiLevelType w:val="multilevel"/>
    <w:tmpl w:val="D3C6F142"/>
    <w:lvl w:ilvl="0">
      <w:start w:val="3"/>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1F996FCC"/>
    <w:multiLevelType w:val="hybridMultilevel"/>
    <w:tmpl w:val="EE944F44"/>
    <w:lvl w:ilvl="0" w:tplc="F8B02676">
      <w:start w:val="703"/>
      <w:numFmt w:val="bullet"/>
      <w:lvlText w:val="-"/>
      <w:lvlJc w:val="left"/>
      <w:pPr>
        <w:ind w:left="720" w:hanging="360"/>
      </w:pPr>
      <w:rPr>
        <w:rFonts w:ascii="Arial" w:eastAsia="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39E1E60"/>
    <w:multiLevelType w:val="hybridMultilevel"/>
    <w:tmpl w:val="E9248F80"/>
    <w:lvl w:ilvl="0" w:tplc="C01EB6BA">
      <w:start w:val="1"/>
      <w:numFmt w:val="bullet"/>
      <w:lvlText w:val="-"/>
      <w:lvlJc w:val="left"/>
      <w:pPr>
        <w:ind w:left="828" w:hanging="360"/>
      </w:pPr>
      <w:rPr>
        <w:rFonts w:ascii="Times New Roman" w:hAnsi="Times New Roman" w:cs="Times New Roman" w:hint="default"/>
        <w:color w:val="000000"/>
        <w:sz w:val="24"/>
      </w:rPr>
    </w:lvl>
    <w:lvl w:ilvl="1" w:tplc="95042A0C">
      <w:start w:val="1"/>
      <w:numFmt w:val="bullet"/>
      <w:lvlText w:val="o"/>
      <w:lvlJc w:val="left"/>
      <w:pPr>
        <w:ind w:left="1548" w:hanging="360"/>
      </w:pPr>
      <w:rPr>
        <w:rFonts w:ascii="Courier New" w:eastAsia="Courier New" w:hAnsi="Courier New" w:cs="Courier New" w:hint="default"/>
        <w:color w:val="000000"/>
        <w:sz w:val="24"/>
      </w:rPr>
    </w:lvl>
    <w:lvl w:ilvl="2" w:tplc="77B25634">
      <w:start w:val="1"/>
      <w:numFmt w:val="bullet"/>
      <w:lvlText w:val="-"/>
      <w:lvlJc w:val="left"/>
      <w:pPr>
        <w:ind w:left="2268" w:hanging="360"/>
      </w:pPr>
      <w:rPr>
        <w:rFonts w:ascii="Times New Roman" w:hAnsi="Times New Roman" w:cs="Times New Roman" w:hint="default"/>
        <w:color w:val="000000"/>
        <w:sz w:val="24"/>
      </w:rPr>
    </w:lvl>
    <w:lvl w:ilvl="3" w:tplc="A01AABCA">
      <w:start w:val="1"/>
      <w:numFmt w:val="bullet"/>
      <w:lvlText w:val="-"/>
      <w:lvlJc w:val="left"/>
      <w:pPr>
        <w:ind w:left="2988" w:hanging="360"/>
      </w:pPr>
      <w:rPr>
        <w:rFonts w:ascii="Times New Roman" w:hAnsi="Times New Roman" w:cs="Times New Roman" w:hint="default"/>
        <w:color w:val="000000"/>
        <w:sz w:val="24"/>
      </w:rPr>
    </w:lvl>
    <w:lvl w:ilvl="4" w:tplc="D16A6F46">
      <w:start w:val="1"/>
      <w:numFmt w:val="bullet"/>
      <w:lvlText w:val="-"/>
      <w:lvlJc w:val="left"/>
      <w:pPr>
        <w:ind w:left="3708" w:hanging="360"/>
      </w:pPr>
      <w:rPr>
        <w:rFonts w:ascii="Times New Roman" w:hAnsi="Times New Roman" w:cs="Times New Roman" w:hint="default"/>
        <w:color w:val="000000"/>
        <w:sz w:val="24"/>
      </w:rPr>
    </w:lvl>
    <w:lvl w:ilvl="5" w:tplc="67685B16">
      <w:start w:val="1"/>
      <w:numFmt w:val="bullet"/>
      <w:lvlText w:val="-"/>
      <w:lvlJc w:val="left"/>
      <w:pPr>
        <w:ind w:left="4428" w:hanging="360"/>
      </w:pPr>
      <w:rPr>
        <w:rFonts w:ascii="Times New Roman" w:hAnsi="Times New Roman" w:cs="Times New Roman" w:hint="default"/>
        <w:color w:val="000000"/>
        <w:sz w:val="24"/>
      </w:rPr>
    </w:lvl>
    <w:lvl w:ilvl="6" w:tplc="C74AE52E">
      <w:start w:val="1"/>
      <w:numFmt w:val="bullet"/>
      <w:lvlText w:val="-"/>
      <w:lvlJc w:val="left"/>
      <w:pPr>
        <w:ind w:left="5148" w:hanging="360"/>
      </w:pPr>
      <w:rPr>
        <w:rFonts w:ascii="Times New Roman" w:hAnsi="Times New Roman" w:cs="Times New Roman" w:hint="default"/>
        <w:color w:val="000000"/>
        <w:sz w:val="24"/>
      </w:rPr>
    </w:lvl>
    <w:lvl w:ilvl="7" w:tplc="CA243D56">
      <w:start w:val="1"/>
      <w:numFmt w:val="bullet"/>
      <w:lvlText w:val="-"/>
      <w:lvlJc w:val="left"/>
      <w:pPr>
        <w:ind w:left="5868" w:hanging="360"/>
      </w:pPr>
      <w:rPr>
        <w:rFonts w:ascii="Times New Roman" w:hAnsi="Times New Roman" w:cs="Times New Roman" w:hint="default"/>
        <w:color w:val="000000"/>
        <w:sz w:val="24"/>
      </w:rPr>
    </w:lvl>
    <w:lvl w:ilvl="8" w:tplc="6E80A700">
      <w:start w:val="1"/>
      <w:numFmt w:val="bullet"/>
      <w:lvlText w:val="-"/>
      <w:lvlJc w:val="left"/>
      <w:pPr>
        <w:ind w:left="6588" w:hanging="360"/>
      </w:pPr>
      <w:rPr>
        <w:rFonts w:ascii="Times New Roman" w:hAnsi="Times New Roman" w:cs="Times New Roman" w:hint="default"/>
        <w:color w:val="000000"/>
        <w:sz w:val="24"/>
      </w:rPr>
    </w:lvl>
  </w:abstractNum>
  <w:abstractNum w:abstractNumId="5" w15:restartNumberingAfterBreak="0">
    <w:nsid w:val="27ED61AB"/>
    <w:multiLevelType w:val="multilevel"/>
    <w:tmpl w:val="714E2718"/>
    <w:lvl w:ilvl="0">
      <w:start w:val="1"/>
      <w:numFmt w:val="decimal"/>
      <w:lvlText w:val="%1."/>
      <w:lvlJc w:val="left"/>
      <w:pPr>
        <w:ind w:left="468" w:hanging="360"/>
      </w:pPr>
      <w:rPr>
        <w:rFonts w:ascii="Arial" w:eastAsia="Arial" w:hAnsi="Arial" w:cs="Arial" w:hint="default"/>
        <w:b/>
        <w:bCs/>
        <w:color w:val="000000"/>
        <w:sz w:val="24"/>
      </w:rPr>
    </w:lvl>
    <w:lvl w:ilvl="1">
      <w:start w:val="1"/>
      <w:numFmt w:val="decimal"/>
      <w:lvlText w:val="%1.%2."/>
      <w:lvlJc w:val="left"/>
      <w:pPr>
        <w:ind w:left="533" w:hanging="425"/>
      </w:pPr>
      <w:rPr>
        <w:rFonts w:ascii="Arial" w:eastAsia="Arial" w:hAnsi="Arial" w:cs="Arial" w:hint="default"/>
        <w:b/>
        <w:bCs/>
        <w:color w:val="000000"/>
        <w:sz w:val="24"/>
      </w:rPr>
    </w:lvl>
    <w:lvl w:ilvl="2">
      <w:start w:val="1"/>
      <w:numFmt w:val="decimal"/>
      <w:lvlText w:val="%1.%2.%3."/>
      <w:lvlJc w:val="left"/>
      <w:pPr>
        <w:ind w:left="1332" w:hanging="504"/>
      </w:pPr>
      <w:rPr>
        <w:rFonts w:ascii="Calibri" w:eastAsia="Calibri" w:hAnsi="Calibri" w:cs="Calibri" w:hint="default"/>
        <w:color w:val="000000"/>
        <w:sz w:val="24"/>
      </w:rPr>
    </w:lvl>
    <w:lvl w:ilvl="3">
      <w:start w:val="1"/>
      <w:numFmt w:val="decimal"/>
      <w:lvlText w:val="%1.%2.%3.%4."/>
      <w:lvlJc w:val="left"/>
      <w:pPr>
        <w:ind w:left="1836" w:hanging="648"/>
      </w:pPr>
      <w:rPr>
        <w:rFonts w:ascii="Calibri" w:eastAsia="Calibri" w:hAnsi="Calibri" w:cs="Calibri" w:hint="default"/>
        <w:color w:val="000000"/>
        <w:sz w:val="24"/>
      </w:rPr>
    </w:lvl>
    <w:lvl w:ilvl="4">
      <w:start w:val="1"/>
      <w:numFmt w:val="decimal"/>
      <w:lvlText w:val="%1.%2.%3.%4.%5."/>
      <w:lvlJc w:val="left"/>
      <w:pPr>
        <w:ind w:left="2340" w:hanging="792"/>
      </w:pPr>
      <w:rPr>
        <w:rFonts w:ascii="Calibri" w:eastAsia="Calibri" w:hAnsi="Calibri" w:cs="Calibri" w:hint="default"/>
        <w:color w:val="000000"/>
        <w:sz w:val="24"/>
      </w:rPr>
    </w:lvl>
    <w:lvl w:ilvl="5">
      <w:start w:val="1"/>
      <w:numFmt w:val="decimal"/>
      <w:lvlText w:val="%1.%2.%3.%4.%5.%6."/>
      <w:lvlJc w:val="left"/>
      <w:pPr>
        <w:ind w:left="2844" w:hanging="936"/>
      </w:pPr>
      <w:rPr>
        <w:rFonts w:ascii="Calibri" w:eastAsia="Calibri" w:hAnsi="Calibri" w:cs="Calibri" w:hint="default"/>
        <w:color w:val="000000"/>
        <w:sz w:val="24"/>
      </w:rPr>
    </w:lvl>
    <w:lvl w:ilvl="6">
      <w:start w:val="1"/>
      <w:numFmt w:val="decimal"/>
      <w:lvlText w:val="%1.%2.%3.%4.%5.%6.%7."/>
      <w:lvlJc w:val="left"/>
      <w:pPr>
        <w:ind w:left="3348" w:hanging="1080"/>
      </w:pPr>
      <w:rPr>
        <w:rFonts w:ascii="Calibri" w:eastAsia="Calibri" w:hAnsi="Calibri" w:cs="Calibri" w:hint="default"/>
        <w:color w:val="000000"/>
        <w:sz w:val="24"/>
      </w:rPr>
    </w:lvl>
    <w:lvl w:ilvl="7">
      <w:start w:val="1"/>
      <w:numFmt w:val="decimal"/>
      <w:lvlText w:val="%1.%2.%3.%4.%5.%6.%7.%8."/>
      <w:lvlJc w:val="left"/>
      <w:pPr>
        <w:ind w:left="3852" w:hanging="1224"/>
      </w:pPr>
      <w:rPr>
        <w:rFonts w:ascii="Calibri" w:eastAsia="Calibri" w:hAnsi="Calibri" w:cs="Calibri" w:hint="default"/>
        <w:color w:val="000000"/>
        <w:sz w:val="24"/>
      </w:rPr>
    </w:lvl>
    <w:lvl w:ilvl="8">
      <w:start w:val="1"/>
      <w:numFmt w:val="decimal"/>
      <w:lvlText w:val="%1.%2.%3.%4.%5.%6.%7.%8.%9."/>
      <w:lvlJc w:val="left"/>
      <w:pPr>
        <w:ind w:left="4428" w:hanging="1440"/>
      </w:pPr>
      <w:rPr>
        <w:rFonts w:ascii="Calibri" w:eastAsia="Calibri" w:hAnsi="Calibri" w:cs="Calibri" w:hint="default"/>
        <w:color w:val="000000"/>
        <w:sz w:val="24"/>
      </w:rPr>
    </w:lvl>
  </w:abstractNum>
  <w:abstractNum w:abstractNumId="6" w15:restartNumberingAfterBreak="0">
    <w:nsid w:val="2AD742B0"/>
    <w:multiLevelType w:val="multilevel"/>
    <w:tmpl w:val="A31A8A5A"/>
    <w:lvl w:ilvl="0">
      <w:start w:val="1"/>
      <w:numFmt w:val="decimal"/>
      <w:lvlText w:val="%1."/>
      <w:lvlJc w:val="left"/>
      <w:pPr>
        <w:ind w:left="468" w:hanging="360"/>
      </w:pPr>
      <w:rPr>
        <w:rFonts w:ascii="Calibri" w:eastAsia="Calibri" w:hAnsi="Calibri" w:cs="Calibri" w:hint="default"/>
        <w:color w:val="000000"/>
        <w:sz w:val="24"/>
      </w:rPr>
    </w:lvl>
    <w:lvl w:ilvl="1">
      <w:start w:val="1"/>
      <w:numFmt w:val="decimal"/>
      <w:lvlText w:val="3.%2"/>
      <w:lvlJc w:val="left"/>
      <w:pPr>
        <w:ind w:left="558" w:hanging="450"/>
      </w:pPr>
      <w:rPr>
        <w:rFonts w:ascii="Calibri" w:eastAsia="Calibri" w:hAnsi="Calibri" w:cs="Calibri" w:hint="default"/>
        <w:color w:val="000000"/>
        <w:sz w:val="24"/>
      </w:rPr>
    </w:lvl>
    <w:lvl w:ilvl="2">
      <w:start w:val="1"/>
      <w:numFmt w:val="decimal"/>
      <w:lvlText w:val="%1.%2.%3"/>
      <w:lvlJc w:val="left"/>
      <w:pPr>
        <w:ind w:left="828" w:hanging="720"/>
      </w:pPr>
      <w:rPr>
        <w:rFonts w:ascii="Calibri" w:eastAsia="Calibri" w:hAnsi="Calibri" w:cs="Calibri" w:hint="default"/>
        <w:color w:val="000000"/>
        <w:sz w:val="24"/>
      </w:rPr>
    </w:lvl>
    <w:lvl w:ilvl="3">
      <w:start w:val="1"/>
      <w:numFmt w:val="decimal"/>
      <w:lvlText w:val="%1.%2.%3.%4"/>
      <w:lvlJc w:val="left"/>
      <w:pPr>
        <w:ind w:left="828" w:hanging="720"/>
      </w:pPr>
      <w:rPr>
        <w:rFonts w:ascii="Calibri" w:eastAsia="Calibri" w:hAnsi="Calibri" w:cs="Calibri" w:hint="default"/>
        <w:color w:val="000000"/>
        <w:sz w:val="24"/>
      </w:rPr>
    </w:lvl>
    <w:lvl w:ilvl="4">
      <w:start w:val="1"/>
      <w:numFmt w:val="decimal"/>
      <w:lvlText w:val="%1.%2.%3.%4.%5"/>
      <w:lvlJc w:val="left"/>
      <w:pPr>
        <w:ind w:left="1188" w:hanging="1080"/>
      </w:pPr>
      <w:rPr>
        <w:rFonts w:ascii="Calibri" w:eastAsia="Calibri" w:hAnsi="Calibri" w:cs="Calibri" w:hint="default"/>
        <w:color w:val="000000"/>
        <w:sz w:val="24"/>
      </w:rPr>
    </w:lvl>
    <w:lvl w:ilvl="5">
      <w:start w:val="1"/>
      <w:numFmt w:val="decimal"/>
      <w:lvlText w:val="%1.%2.%3.%4.%5.%6"/>
      <w:lvlJc w:val="left"/>
      <w:pPr>
        <w:ind w:left="1188" w:hanging="1080"/>
      </w:pPr>
      <w:rPr>
        <w:rFonts w:ascii="Calibri" w:eastAsia="Calibri" w:hAnsi="Calibri" w:cs="Calibri" w:hint="default"/>
        <w:color w:val="000000"/>
        <w:sz w:val="24"/>
      </w:rPr>
    </w:lvl>
    <w:lvl w:ilvl="6">
      <w:start w:val="1"/>
      <w:numFmt w:val="decimal"/>
      <w:lvlText w:val="%1.%2.%3.%4.%5.%6.%7"/>
      <w:lvlJc w:val="left"/>
      <w:pPr>
        <w:ind w:left="1548" w:hanging="1440"/>
      </w:pPr>
      <w:rPr>
        <w:rFonts w:ascii="Calibri" w:eastAsia="Calibri" w:hAnsi="Calibri" w:cs="Calibri" w:hint="default"/>
        <w:color w:val="000000"/>
        <w:sz w:val="24"/>
      </w:rPr>
    </w:lvl>
    <w:lvl w:ilvl="7">
      <w:start w:val="1"/>
      <w:numFmt w:val="decimal"/>
      <w:lvlText w:val="%1.%2.%3.%4.%5.%6.%7.%8"/>
      <w:lvlJc w:val="left"/>
      <w:pPr>
        <w:ind w:left="1548" w:hanging="1440"/>
      </w:pPr>
      <w:rPr>
        <w:rFonts w:ascii="Calibri" w:eastAsia="Calibri" w:hAnsi="Calibri" w:cs="Calibri" w:hint="default"/>
        <w:color w:val="000000"/>
        <w:sz w:val="24"/>
      </w:rPr>
    </w:lvl>
    <w:lvl w:ilvl="8">
      <w:start w:val="1"/>
      <w:numFmt w:val="decimal"/>
      <w:lvlText w:val="%1.%2.%3.%4.%5.%6.%7.%8.%9"/>
      <w:lvlJc w:val="left"/>
      <w:pPr>
        <w:ind w:left="1908" w:hanging="1800"/>
      </w:pPr>
      <w:rPr>
        <w:rFonts w:ascii="Calibri" w:eastAsia="Calibri" w:hAnsi="Calibri" w:cs="Calibri" w:hint="default"/>
        <w:color w:val="000000"/>
        <w:sz w:val="24"/>
      </w:rPr>
    </w:lvl>
  </w:abstractNum>
  <w:abstractNum w:abstractNumId="7" w15:restartNumberingAfterBreak="0">
    <w:nsid w:val="2B2C61D9"/>
    <w:multiLevelType w:val="hybridMultilevel"/>
    <w:tmpl w:val="2C52CEE0"/>
    <w:lvl w:ilvl="0" w:tplc="0EC4B81E">
      <w:start w:val="1"/>
      <w:numFmt w:val="bullet"/>
      <w:lvlText w:val="-"/>
      <w:lvlJc w:val="left"/>
      <w:pPr>
        <w:ind w:left="828" w:hanging="360"/>
      </w:pPr>
      <w:rPr>
        <w:rFonts w:ascii="Times New Roman" w:hAnsi="Times New Roman" w:cs="Times New Roman" w:hint="default"/>
        <w:color w:val="000000"/>
        <w:sz w:val="24"/>
      </w:rPr>
    </w:lvl>
    <w:lvl w:ilvl="1" w:tplc="F9A86AC0">
      <w:start w:val="1"/>
      <w:numFmt w:val="bullet"/>
      <w:lvlText w:val="o"/>
      <w:lvlJc w:val="left"/>
      <w:pPr>
        <w:ind w:left="1548" w:hanging="360"/>
      </w:pPr>
      <w:rPr>
        <w:rFonts w:ascii="Courier New" w:eastAsia="Courier New" w:hAnsi="Courier New" w:cs="Courier New" w:hint="default"/>
        <w:color w:val="000000"/>
        <w:sz w:val="24"/>
      </w:rPr>
    </w:lvl>
    <w:lvl w:ilvl="2" w:tplc="B1627200">
      <w:start w:val="1"/>
      <w:numFmt w:val="bullet"/>
      <w:lvlText w:val="-"/>
      <w:lvlJc w:val="left"/>
      <w:pPr>
        <w:ind w:left="2268" w:hanging="360"/>
      </w:pPr>
      <w:rPr>
        <w:rFonts w:ascii="Times New Roman" w:hAnsi="Times New Roman" w:cs="Times New Roman" w:hint="default"/>
        <w:color w:val="000000"/>
        <w:sz w:val="24"/>
      </w:rPr>
    </w:lvl>
    <w:lvl w:ilvl="3" w:tplc="C8480D84">
      <w:start w:val="1"/>
      <w:numFmt w:val="bullet"/>
      <w:lvlText w:val="-"/>
      <w:lvlJc w:val="left"/>
      <w:pPr>
        <w:ind w:left="2988" w:hanging="360"/>
      </w:pPr>
      <w:rPr>
        <w:rFonts w:ascii="Times New Roman" w:hAnsi="Times New Roman" w:cs="Times New Roman" w:hint="default"/>
        <w:color w:val="000000"/>
        <w:sz w:val="24"/>
      </w:rPr>
    </w:lvl>
    <w:lvl w:ilvl="4" w:tplc="CD62A0B2">
      <w:start w:val="1"/>
      <w:numFmt w:val="bullet"/>
      <w:lvlText w:val="-"/>
      <w:lvlJc w:val="left"/>
      <w:pPr>
        <w:ind w:left="3708" w:hanging="360"/>
      </w:pPr>
      <w:rPr>
        <w:rFonts w:ascii="Times New Roman" w:hAnsi="Times New Roman" w:cs="Times New Roman" w:hint="default"/>
        <w:color w:val="000000"/>
        <w:sz w:val="24"/>
      </w:rPr>
    </w:lvl>
    <w:lvl w:ilvl="5" w:tplc="3B0CBD5A">
      <w:start w:val="1"/>
      <w:numFmt w:val="bullet"/>
      <w:lvlText w:val="-"/>
      <w:lvlJc w:val="left"/>
      <w:pPr>
        <w:ind w:left="4428" w:hanging="360"/>
      </w:pPr>
      <w:rPr>
        <w:rFonts w:ascii="Times New Roman" w:hAnsi="Times New Roman" w:cs="Times New Roman" w:hint="default"/>
        <w:color w:val="000000"/>
        <w:sz w:val="24"/>
      </w:rPr>
    </w:lvl>
    <w:lvl w:ilvl="6" w:tplc="AF0E45A4">
      <w:start w:val="1"/>
      <w:numFmt w:val="bullet"/>
      <w:lvlText w:val="-"/>
      <w:lvlJc w:val="left"/>
      <w:pPr>
        <w:ind w:left="5148" w:hanging="360"/>
      </w:pPr>
      <w:rPr>
        <w:rFonts w:ascii="Times New Roman" w:hAnsi="Times New Roman" w:cs="Times New Roman" w:hint="default"/>
        <w:color w:val="000000"/>
        <w:sz w:val="24"/>
      </w:rPr>
    </w:lvl>
    <w:lvl w:ilvl="7" w:tplc="FCB2E5D6">
      <w:start w:val="1"/>
      <w:numFmt w:val="bullet"/>
      <w:lvlText w:val="-"/>
      <w:lvlJc w:val="left"/>
      <w:pPr>
        <w:ind w:left="5868" w:hanging="360"/>
      </w:pPr>
      <w:rPr>
        <w:rFonts w:ascii="Times New Roman" w:hAnsi="Times New Roman" w:cs="Times New Roman" w:hint="default"/>
        <w:color w:val="000000"/>
        <w:sz w:val="24"/>
      </w:rPr>
    </w:lvl>
    <w:lvl w:ilvl="8" w:tplc="FB4E6E4E">
      <w:start w:val="1"/>
      <w:numFmt w:val="bullet"/>
      <w:lvlText w:val="-"/>
      <w:lvlJc w:val="left"/>
      <w:pPr>
        <w:ind w:left="6588" w:hanging="360"/>
      </w:pPr>
      <w:rPr>
        <w:rFonts w:ascii="Times New Roman" w:hAnsi="Times New Roman" w:cs="Times New Roman" w:hint="default"/>
        <w:color w:val="000000"/>
        <w:sz w:val="24"/>
      </w:rPr>
    </w:lvl>
  </w:abstractNum>
  <w:abstractNum w:abstractNumId="8" w15:restartNumberingAfterBreak="0">
    <w:nsid w:val="3B31097A"/>
    <w:multiLevelType w:val="multilevel"/>
    <w:tmpl w:val="30D025A4"/>
    <w:lvl w:ilvl="0">
      <w:start w:val="1"/>
      <w:numFmt w:val="decimal"/>
      <w:lvlText w:val="%1."/>
      <w:lvlJc w:val="left"/>
      <w:pPr>
        <w:ind w:left="468" w:hanging="360"/>
      </w:pPr>
      <w:rPr>
        <w:rFonts w:ascii="Calibri" w:eastAsia="Calibri" w:hAnsi="Calibri" w:cs="Calibri" w:hint="default"/>
        <w:color w:val="000000"/>
        <w:sz w:val="24"/>
      </w:rPr>
    </w:lvl>
    <w:lvl w:ilvl="1">
      <w:start w:val="1"/>
      <w:numFmt w:val="decimal"/>
      <w:lvlText w:val="3.%2"/>
      <w:lvlJc w:val="left"/>
      <w:pPr>
        <w:ind w:left="558" w:hanging="450"/>
      </w:pPr>
      <w:rPr>
        <w:rFonts w:ascii="Calibri" w:eastAsia="Calibri" w:hAnsi="Calibri" w:cs="Calibri" w:hint="default"/>
        <w:color w:val="000000"/>
        <w:sz w:val="24"/>
      </w:rPr>
    </w:lvl>
    <w:lvl w:ilvl="2">
      <w:start w:val="1"/>
      <w:numFmt w:val="decimal"/>
      <w:lvlText w:val="%1.%2.%3"/>
      <w:lvlJc w:val="left"/>
      <w:pPr>
        <w:ind w:left="828" w:hanging="720"/>
      </w:pPr>
      <w:rPr>
        <w:rFonts w:ascii="Calibri" w:eastAsia="Calibri" w:hAnsi="Calibri" w:cs="Calibri" w:hint="default"/>
        <w:color w:val="000000"/>
        <w:sz w:val="24"/>
      </w:rPr>
    </w:lvl>
    <w:lvl w:ilvl="3">
      <w:start w:val="1"/>
      <w:numFmt w:val="decimal"/>
      <w:lvlText w:val="%1.%2.%3.%4"/>
      <w:lvlJc w:val="left"/>
      <w:pPr>
        <w:ind w:left="828" w:hanging="720"/>
      </w:pPr>
      <w:rPr>
        <w:rFonts w:ascii="Calibri" w:eastAsia="Calibri" w:hAnsi="Calibri" w:cs="Calibri" w:hint="default"/>
        <w:color w:val="000000"/>
        <w:sz w:val="24"/>
      </w:rPr>
    </w:lvl>
    <w:lvl w:ilvl="4">
      <w:start w:val="1"/>
      <w:numFmt w:val="decimal"/>
      <w:lvlText w:val="%1.%2.%3.%4.%5"/>
      <w:lvlJc w:val="left"/>
      <w:pPr>
        <w:ind w:left="1188" w:hanging="1080"/>
      </w:pPr>
      <w:rPr>
        <w:rFonts w:ascii="Calibri" w:eastAsia="Calibri" w:hAnsi="Calibri" w:cs="Calibri" w:hint="default"/>
        <w:color w:val="000000"/>
        <w:sz w:val="24"/>
      </w:rPr>
    </w:lvl>
    <w:lvl w:ilvl="5">
      <w:start w:val="1"/>
      <w:numFmt w:val="decimal"/>
      <w:lvlText w:val="%1.%2.%3.%4.%5.%6"/>
      <w:lvlJc w:val="left"/>
      <w:pPr>
        <w:ind w:left="1188" w:hanging="1080"/>
      </w:pPr>
      <w:rPr>
        <w:rFonts w:ascii="Calibri" w:eastAsia="Calibri" w:hAnsi="Calibri" w:cs="Calibri" w:hint="default"/>
        <w:color w:val="000000"/>
        <w:sz w:val="24"/>
      </w:rPr>
    </w:lvl>
    <w:lvl w:ilvl="6">
      <w:start w:val="1"/>
      <w:numFmt w:val="decimal"/>
      <w:lvlText w:val="%1.%2.%3.%4.%5.%6.%7"/>
      <w:lvlJc w:val="left"/>
      <w:pPr>
        <w:ind w:left="1548" w:hanging="1440"/>
      </w:pPr>
      <w:rPr>
        <w:rFonts w:ascii="Calibri" w:eastAsia="Calibri" w:hAnsi="Calibri" w:cs="Calibri" w:hint="default"/>
        <w:color w:val="000000"/>
        <w:sz w:val="24"/>
      </w:rPr>
    </w:lvl>
    <w:lvl w:ilvl="7">
      <w:start w:val="1"/>
      <w:numFmt w:val="decimal"/>
      <w:lvlText w:val="%1.%2.%3.%4.%5.%6.%7.%8"/>
      <w:lvlJc w:val="left"/>
      <w:pPr>
        <w:ind w:left="1548" w:hanging="1440"/>
      </w:pPr>
      <w:rPr>
        <w:rFonts w:ascii="Calibri" w:eastAsia="Calibri" w:hAnsi="Calibri" w:cs="Calibri" w:hint="default"/>
        <w:color w:val="000000"/>
        <w:sz w:val="24"/>
      </w:rPr>
    </w:lvl>
    <w:lvl w:ilvl="8">
      <w:start w:val="1"/>
      <w:numFmt w:val="decimal"/>
      <w:lvlText w:val="%1.%2.%3.%4.%5.%6.%7.%8.%9"/>
      <w:lvlJc w:val="left"/>
      <w:pPr>
        <w:ind w:left="1908" w:hanging="1800"/>
      </w:pPr>
      <w:rPr>
        <w:rFonts w:ascii="Calibri" w:eastAsia="Calibri" w:hAnsi="Calibri" w:cs="Calibri" w:hint="default"/>
        <w:color w:val="000000"/>
        <w:sz w:val="24"/>
      </w:rPr>
    </w:lvl>
  </w:abstractNum>
  <w:abstractNum w:abstractNumId="9" w15:restartNumberingAfterBreak="0">
    <w:nsid w:val="422B1B12"/>
    <w:multiLevelType w:val="hybridMultilevel"/>
    <w:tmpl w:val="626065E2"/>
    <w:lvl w:ilvl="0" w:tplc="EBDE25F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5132D40"/>
    <w:multiLevelType w:val="hybridMultilevel"/>
    <w:tmpl w:val="42FC10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8F93FB2"/>
    <w:multiLevelType w:val="multilevel"/>
    <w:tmpl w:val="BF887788"/>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2" w15:restartNumberingAfterBreak="0">
    <w:nsid w:val="490A5086"/>
    <w:multiLevelType w:val="hybridMultilevel"/>
    <w:tmpl w:val="3030E9BA"/>
    <w:lvl w:ilvl="0" w:tplc="7196FF06">
      <w:numFmt w:val="bullet"/>
      <w:lvlText w:val="-"/>
      <w:lvlJc w:val="left"/>
      <w:pPr>
        <w:ind w:left="479" w:hanging="360"/>
      </w:pPr>
      <w:rPr>
        <w:rFonts w:ascii="Arial" w:eastAsia="Arial" w:hAnsi="Arial" w:cs="Arial" w:hint="default"/>
        <w:b w:val="0"/>
      </w:rPr>
    </w:lvl>
    <w:lvl w:ilvl="1" w:tplc="04050003" w:tentative="1">
      <w:start w:val="1"/>
      <w:numFmt w:val="bullet"/>
      <w:lvlText w:val="o"/>
      <w:lvlJc w:val="left"/>
      <w:pPr>
        <w:ind w:left="1199" w:hanging="360"/>
      </w:pPr>
      <w:rPr>
        <w:rFonts w:ascii="Courier New" w:hAnsi="Courier New" w:cs="Courier New" w:hint="default"/>
      </w:rPr>
    </w:lvl>
    <w:lvl w:ilvl="2" w:tplc="04050005" w:tentative="1">
      <w:start w:val="1"/>
      <w:numFmt w:val="bullet"/>
      <w:lvlText w:val=""/>
      <w:lvlJc w:val="left"/>
      <w:pPr>
        <w:ind w:left="1919" w:hanging="360"/>
      </w:pPr>
      <w:rPr>
        <w:rFonts w:ascii="Wingdings" w:hAnsi="Wingdings" w:hint="default"/>
      </w:rPr>
    </w:lvl>
    <w:lvl w:ilvl="3" w:tplc="04050001" w:tentative="1">
      <w:start w:val="1"/>
      <w:numFmt w:val="bullet"/>
      <w:lvlText w:val=""/>
      <w:lvlJc w:val="left"/>
      <w:pPr>
        <w:ind w:left="2639" w:hanging="360"/>
      </w:pPr>
      <w:rPr>
        <w:rFonts w:ascii="Symbol" w:hAnsi="Symbol" w:hint="default"/>
      </w:rPr>
    </w:lvl>
    <w:lvl w:ilvl="4" w:tplc="04050003" w:tentative="1">
      <w:start w:val="1"/>
      <w:numFmt w:val="bullet"/>
      <w:lvlText w:val="o"/>
      <w:lvlJc w:val="left"/>
      <w:pPr>
        <w:ind w:left="3359" w:hanging="360"/>
      </w:pPr>
      <w:rPr>
        <w:rFonts w:ascii="Courier New" w:hAnsi="Courier New" w:cs="Courier New" w:hint="default"/>
      </w:rPr>
    </w:lvl>
    <w:lvl w:ilvl="5" w:tplc="04050005" w:tentative="1">
      <w:start w:val="1"/>
      <w:numFmt w:val="bullet"/>
      <w:lvlText w:val=""/>
      <w:lvlJc w:val="left"/>
      <w:pPr>
        <w:ind w:left="4079" w:hanging="360"/>
      </w:pPr>
      <w:rPr>
        <w:rFonts w:ascii="Wingdings" w:hAnsi="Wingdings" w:hint="default"/>
      </w:rPr>
    </w:lvl>
    <w:lvl w:ilvl="6" w:tplc="04050001" w:tentative="1">
      <w:start w:val="1"/>
      <w:numFmt w:val="bullet"/>
      <w:lvlText w:val=""/>
      <w:lvlJc w:val="left"/>
      <w:pPr>
        <w:ind w:left="4799" w:hanging="360"/>
      </w:pPr>
      <w:rPr>
        <w:rFonts w:ascii="Symbol" w:hAnsi="Symbol" w:hint="default"/>
      </w:rPr>
    </w:lvl>
    <w:lvl w:ilvl="7" w:tplc="04050003" w:tentative="1">
      <w:start w:val="1"/>
      <w:numFmt w:val="bullet"/>
      <w:lvlText w:val="o"/>
      <w:lvlJc w:val="left"/>
      <w:pPr>
        <w:ind w:left="5519" w:hanging="360"/>
      </w:pPr>
      <w:rPr>
        <w:rFonts w:ascii="Courier New" w:hAnsi="Courier New" w:cs="Courier New" w:hint="default"/>
      </w:rPr>
    </w:lvl>
    <w:lvl w:ilvl="8" w:tplc="04050005" w:tentative="1">
      <w:start w:val="1"/>
      <w:numFmt w:val="bullet"/>
      <w:lvlText w:val=""/>
      <w:lvlJc w:val="left"/>
      <w:pPr>
        <w:ind w:left="6239" w:hanging="360"/>
      </w:pPr>
      <w:rPr>
        <w:rFonts w:ascii="Wingdings" w:hAnsi="Wingdings" w:hint="default"/>
      </w:rPr>
    </w:lvl>
  </w:abstractNum>
  <w:abstractNum w:abstractNumId="13" w15:restartNumberingAfterBreak="0">
    <w:nsid w:val="494055E3"/>
    <w:multiLevelType w:val="hybridMultilevel"/>
    <w:tmpl w:val="5A38B1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C1F7A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CB9109B"/>
    <w:multiLevelType w:val="hybridMultilevel"/>
    <w:tmpl w:val="AEBE62C2"/>
    <w:lvl w:ilvl="0" w:tplc="E73CA078">
      <w:start w:val="1"/>
      <w:numFmt w:val="bullet"/>
      <w:lvlText w:val="-"/>
      <w:lvlJc w:val="left"/>
      <w:pPr>
        <w:ind w:left="479" w:hanging="360"/>
      </w:pPr>
      <w:rPr>
        <w:rFonts w:ascii="Arial" w:eastAsia="Arial" w:hAnsi="Arial" w:cs="Arial" w:hint="default"/>
        <w:b w:val="0"/>
      </w:rPr>
    </w:lvl>
    <w:lvl w:ilvl="1" w:tplc="04050003" w:tentative="1">
      <w:start w:val="1"/>
      <w:numFmt w:val="bullet"/>
      <w:lvlText w:val="o"/>
      <w:lvlJc w:val="left"/>
      <w:pPr>
        <w:ind w:left="1199" w:hanging="360"/>
      </w:pPr>
      <w:rPr>
        <w:rFonts w:ascii="Courier New" w:hAnsi="Courier New" w:cs="Courier New" w:hint="default"/>
      </w:rPr>
    </w:lvl>
    <w:lvl w:ilvl="2" w:tplc="04050005" w:tentative="1">
      <w:start w:val="1"/>
      <w:numFmt w:val="bullet"/>
      <w:lvlText w:val=""/>
      <w:lvlJc w:val="left"/>
      <w:pPr>
        <w:ind w:left="1919" w:hanging="360"/>
      </w:pPr>
      <w:rPr>
        <w:rFonts w:ascii="Wingdings" w:hAnsi="Wingdings" w:hint="default"/>
      </w:rPr>
    </w:lvl>
    <w:lvl w:ilvl="3" w:tplc="04050001" w:tentative="1">
      <w:start w:val="1"/>
      <w:numFmt w:val="bullet"/>
      <w:lvlText w:val=""/>
      <w:lvlJc w:val="left"/>
      <w:pPr>
        <w:ind w:left="2639" w:hanging="360"/>
      </w:pPr>
      <w:rPr>
        <w:rFonts w:ascii="Symbol" w:hAnsi="Symbol" w:hint="default"/>
      </w:rPr>
    </w:lvl>
    <w:lvl w:ilvl="4" w:tplc="04050003" w:tentative="1">
      <w:start w:val="1"/>
      <w:numFmt w:val="bullet"/>
      <w:lvlText w:val="o"/>
      <w:lvlJc w:val="left"/>
      <w:pPr>
        <w:ind w:left="3359" w:hanging="360"/>
      </w:pPr>
      <w:rPr>
        <w:rFonts w:ascii="Courier New" w:hAnsi="Courier New" w:cs="Courier New" w:hint="default"/>
      </w:rPr>
    </w:lvl>
    <w:lvl w:ilvl="5" w:tplc="04050005" w:tentative="1">
      <w:start w:val="1"/>
      <w:numFmt w:val="bullet"/>
      <w:lvlText w:val=""/>
      <w:lvlJc w:val="left"/>
      <w:pPr>
        <w:ind w:left="4079" w:hanging="360"/>
      </w:pPr>
      <w:rPr>
        <w:rFonts w:ascii="Wingdings" w:hAnsi="Wingdings" w:hint="default"/>
      </w:rPr>
    </w:lvl>
    <w:lvl w:ilvl="6" w:tplc="04050001" w:tentative="1">
      <w:start w:val="1"/>
      <w:numFmt w:val="bullet"/>
      <w:lvlText w:val=""/>
      <w:lvlJc w:val="left"/>
      <w:pPr>
        <w:ind w:left="4799" w:hanging="360"/>
      </w:pPr>
      <w:rPr>
        <w:rFonts w:ascii="Symbol" w:hAnsi="Symbol" w:hint="default"/>
      </w:rPr>
    </w:lvl>
    <w:lvl w:ilvl="7" w:tplc="04050003" w:tentative="1">
      <w:start w:val="1"/>
      <w:numFmt w:val="bullet"/>
      <w:lvlText w:val="o"/>
      <w:lvlJc w:val="left"/>
      <w:pPr>
        <w:ind w:left="5519" w:hanging="360"/>
      </w:pPr>
      <w:rPr>
        <w:rFonts w:ascii="Courier New" w:hAnsi="Courier New" w:cs="Courier New" w:hint="default"/>
      </w:rPr>
    </w:lvl>
    <w:lvl w:ilvl="8" w:tplc="04050005" w:tentative="1">
      <w:start w:val="1"/>
      <w:numFmt w:val="bullet"/>
      <w:lvlText w:val=""/>
      <w:lvlJc w:val="left"/>
      <w:pPr>
        <w:ind w:left="6239" w:hanging="360"/>
      </w:pPr>
      <w:rPr>
        <w:rFonts w:ascii="Wingdings" w:hAnsi="Wingdings" w:hint="default"/>
      </w:rPr>
    </w:lvl>
  </w:abstractNum>
  <w:abstractNum w:abstractNumId="16" w15:restartNumberingAfterBreak="0">
    <w:nsid w:val="4E8E733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BB1692E"/>
    <w:multiLevelType w:val="multilevel"/>
    <w:tmpl w:val="08C4AFE0"/>
    <w:lvl w:ilvl="0">
      <w:start w:val="1"/>
      <w:numFmt w:val="decimal"/>
      <w:lvlText w:val="%1."/>
      <w:lvlJc w:val="left"/>
      <w:pPr>
        <w:ind w:left="468" w:hanging="360"/>
      </w:pPr>
      <w:rPr>
        <w:rFonts w:ascii="Calibri" w:eastAsia="Calibri" w:hAnsi="Calibri" w:cs="Calibri" w:hint="default"/>
        <w:color w:val="000000"/>
        <w:sz w:val="24"/>
      </w:rPr>
    </w:lvl>
    <w:lvl w:ilvl="1">
      <w:start w:val="1"/>
      <w:numFmt w:val="decimal"/>
      <w:lvlText w:val="3.%2"/>
      <w:lvlJc w:val="left"/>
      <w:pPr>
        <w:ind w:left="558" w:hanging="450"/>
      </w:pPr>
      <w:rPr>
        <w:rFonts w:ascii="Calibri" w:eastAsia="Calibri" w:hAnsi="Calibri" w:cs="Calibri" w:hint="default"/>
        <w:color w:val="000000"/>
        <w:sz w:val="24"/>
      </w:rPr>
    </w:lvl>
    <w:lvl w:ilvl="2">
      <w:start w:val="1"/>
      <w:numFmt w:val="decimal"/>
      <w:lvlText w:val="%1.%2.%3"/>
      <w:lvlJc w:val="left"/>
      <w:pPr>
        <w:ind w:left="828" w:hanging="720"/>
      </w:pPr>
      <w:rPr>
        <w:rFonts w:ascii="Calibri" w:eastAsia="Calibri" w:hAnsi="Calibri" w:cs="Calibri" w:hint="default"/>
        <w:color w:val="000000"/>
        <w:sz w:val="24"/>
      </w:rPr>
    </w:lvl>
    <w:lvl w:ilvl="3">
      <w:start w:val="1"/>
      <w:numFmt w:val="decimal"/>
      <w:lvlText w:val="%1.%2.%3.%4"/>
      <w:lvlJc w:val="left"/>
      <w:pPr>
        <w:ind w:left="828" w:hanging="720"/>
      </w:pPr>
      <w:rPr>
        <w:rFonts w:ascii="Calibri" w:eastAsia="Calibri" w:hAnsi="Calibri" w:cs="Calibri" w:hint="default"/>
        <w:color w:val="000000"/>
        <w:sz w:val="24"/>
      </w:rPr>
    </w:lvl>
    <w:lvl w:ilvl="4">
      <w:start w:val="1"/>
      <w:numFmt w:val="decimal"/>
      <w:lvlText w:val="%1.%2.%3.%4.%5"/>
      <w:lvlJc w:val="left"/>
      <w:pPr>
        <w:ind w:left="1188" w:hanging="1080"/>
      </w:pPr>
      <w:rPr>
        <w:rFonts w:ascii="Calibri" w:eastAsia="Calibri" w:hAnsi="Calibri" w:cs="Calibri" w:hint="default"/>
        <w:color w:val="000000"/>
        <w:sz w:val="24"/>
      </w:rPr>
    </w:lvl>
    <w:lvl w:ilvl="5">
      <w:start w:val="1"/>
      <w:numFmt w:val="decimal"/>
      <w:lvlText w:val="%1.%2.%3.%4.%5.%6"/>
      <w:lvlJc w:val="left"/>
      <w:pPr>
        <w:ind w:left="1188" w:hanging="1080"/>
      </w:pPr>
      <w:rPr>
        <w:rFonts w:ascii="Calibri" w:eastAsia="Calibri" w:hAnsi="Calibri" w:cs="Calibri" w:hint="default"/>
        <w:color w:val="000000"/>
        <w:sz w:val="24"/>
      </w:rPr>
    </w:lvl>
    <w:lvl w:ilvl="6">
      <w:start w:val="1"/>
      <w:numFmt w:val="decimal"/>
      <w:lvlText w:val="%1.%2.%3.%4.%5.%6.%7"/>
      <w:lvlJc w:val="left"/>
      <w:pPr>
        <w:ind w:left="1548" w:hanging="1440"/>
      </w:pPr>
      <w:rPr>
        <w:rFonts w:ascii="Calibri" w:eastAsia="Calibri" w:hAnsi="Calibri" w:cs="Calibri" w:hint="default"/>
        <w:color w:val="000000"/>
        <w:sz w:val="24"/>
      </w:rPr>
    </w:lvl>
    <w:lvl w:ilvl="7">
      <w:start w:val="1"/>
      <w:numFmt w:val="decimal"/>
      <w:lvlText w:val="%1.%2.%3.%4.%5.%6.%7.%8"/>
      <w:lvlJc w:val="left"/>
      <w:pPr>
        <w:ind w:left="1548" w:hanging="1440"/>
      </w:pPr>
      <w:rPr>
        <w:rFonts w:ascii="Calibri" w:eastAsia="Calibri" w:hAnsi="Calibri" w:cs="Calibri" w:hint="default"/>
        <w:color w:val="000000"/>
        <w:sz w:val="24"/>
      </w:rPr>
    </w:lvl>
    <w:lvl w:ilvl="8">
      <w:start w:val="1"/>
      <w:numFmt w:val="decimal"/>
      <w:lvlText w:val="%1.%2.%3.%4.%5.%6.%7.%8.%9"/>
      <w:lvlJc w:val="left"/>
      <w:pPr>
        <w:ind w:left="1908" w:hanging="1800"/>
      </w:pPr>
      <w:rPr>
        <w:rFonts w:ascii="Calibri" w:eastAsia="Calibri" w:hAnsi="Calibri" w:cs="Calibri" w:hint="default"/>
        <w:color w:val="000000"/>
        <w:sz w:val="24"/>
      </w:rPr>
    </w:lvl>
  </w:abstractNum>
  <w:abstractNum w:abstractNumId="18" w15:restartNumberingAfterBreak="0">
    <w:nsid w:val="5DBE15ED"/>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69301344"/>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73195FF0"/>
    <w:multiLevelType w:val="multilevel"/>
    <w:tmpl w:val="8C96C9B4"/>
    <w:lvl w:ilvl="0">
      <w:start w:val="1"/>
      <w:numFmt w:val="decimal"/>
      <w:lvlText w:val="%1."/>
      <w:lvlJc w:val="left"/>
      <w:pPr>
        <w:ind w:left="468" w:hanging="360"/>
      </w:pPr>
      <w:rPr>
        <w:rFonts w:ascii="Calibri" w:eastAsia="Calibri" w:hAnsi="Calibri" w:cs="Calibri" w:hint="default"/>
        <w:color w:val="000000"/>
        <w:sz w:val="24"/>
      </w:rPr>
    </w:lvl>
    <w:lvl w:ilvl="1">
      <w:start w:val="1"/>
      <w:numFmt w:val="decimal"/>
      <w:lvlText w:val="3.%2"/>
      <w:lvlJc w:val="left"/>
      <w:pPr>
        <w:ind w:left="558" w:hanging="450"/>
      </w:pPr>
      <w:rPr>
        <w:rFonts w:ascii="Calibri" w:eastAsia="Calibri" w:hAnsi="Calibri" w:cs="Calibri" w:hint="default"/>
        <w:color w:val="000000"/>
        <w:sz w:val="24"/>
      </w:rPr>
    </w:lvl>
    <w:lvl w:ilvl="2">
      <w:start w:val="1"/>
      <w:numFmt w:val="decimal"/>
      <w:lvlText w:val="%1.%2.%3"/>
      <w:lvlJc w:val="left"/>
      <w:pPr>
        <w:ind w:left="828" w:hanging="720"/>
      </w:pPr>
      <w:rPr>
        <w:rFonts w:ascii="Calibri" w:eastAsia="Calibri" w:hAnsi="Calibri" w:cs="Calibri" w:hint="default"/>
        <w:color w:val="000000"/>
        <w:sz w:val="24"/>
      </w:rPr>
    </w:lvl>
    <w:lvl w:ilvl="3">
      <w:start w:val="1"/>
      <w:numFmt w:val="decimal"/>
      <w:lvlText w:val="%1.%2.%3.%4"/>
      <w:lvlJc w:val="left"/>
      <w:pPr>
        <w:ind w:left="828" w:hanging="720"/>
      </w:pPr>
      <w:rPr>
        <w:rFonts w:ascii="Calibri" w:eastAsia="Calibri" w:hAnsi="Calibri" w:cs="Calibri" w:hint="default"/>
        <w:color w:val="000000"/>
        <w:sz w:val="24"/>
      </w:rPr>
    </w:lvl>
    <w:lvl w:ilvl="4">
      <w:start w:val="1"/>
      <w:numFmt w:val="decimal"/>
      <w:lvlText w:val="%1.%2.%3.%4.%5"/>
      <w:lvlJc w:val="left"/>
      <w:pPr>
        <w:ind w:left="1188" w:hanging="1080"/>
      </w:pPr>
      <w:rPr>
        <w:rFonts w:ascii="Calibri" w:eastAsia="Calibri" w:hAnsi="Calibri" w:cs="Calibri" w:hint="default"/>
        <w:color w:val="000000"/>
        <w:sz w:val="24"/>
      </w:rPr>
    </w:lvl>
    <w:lvl w:ilvl="5">
      <w:start w:val="1"/>
      <w:numFmt w:val="decimal"/>
      <w:lvlText w:val="%1.%2.%3.%4.%5.%6"/>
      <w:lvlJc w:val="left"/>
      <w:pPr>
        <w:ind w:left="1188" w:hanging="1080"/>
      </w:pPr>
      <w:rPr>
        <w:rFonts w:ascii="Calibri" w:eastAsia="Calibri" w:hAnsi="Calibri" w:cs="Calibri" w:hint="default"/>
        <w:color w:val="000000"/>
        <w:sz w:val="24"/>
      </w:rPr>
    </w:lvl>
    <w:lvl w:ilvl="6">
      <w:start w:val="1"/>
      <w:numFmt w:val="decimal"/>
      <w:lvlText w:val="%1.%2.%3.%4.%5.%6.%7"/>
      <w:lvlJc w:val="left"/>
      <w:pPr>
        <w:ind w:left="1548" w:hanging="1440"/>
      </w:pPr>
      <w:rPr>
        <w:rFonts w:ascii="Calibri" w:eastAsia="Calibri" w:hAnsi="Calibri" w:cs="Calibri" w:hint="default"/>
        <w:color w:val="000000"/>
        <w:sz w:val="24"/>
      </w:rPr>
    </w:lvl>
    <w:lvl w:ilvl="7">
      <w:start w:val="1"/>
      <w:numFmt w:val="decimal"/>
      <w:lvlText w:val="%1.%2.%3.%4.%5.%6.%7.%8"/>
      <w:lvlJc w:val="left"/>
      <w:pPr>
        <w:ind w:left="1548" w:hanging="1440"/>
      </w:pPr>
      <w:rPr>
        <w:rFonts w:ascii="Calibri" w:eastAsia="Calibri" w:hAnsi="Calibri" w:cs="Calibri" w:hint="default"/>
        <w:color w:val="000000"/>
        <w:sz w:val="24"/>
      </w:rPr>
    </w:lvl>
    <w:lvl w:ilvl="8">
      <w:start w:val="1"/>
      <w:numFmt w:val="decimal"/>
      <w:lvlText w:val="%1.%2.%3.%4.%5.%6.%7.%8.%9"/>
      <w:lvlJc w:val="left"/>
      <w:pPr>
        <w:ind w:left="1908" w:hanging="1800"/>
      </w:pPr>
      <w:rPr>
        <w:rFonts w:ascii="Calibri" w:eastAsia="Calibri" w:hAnsi="Calibri" w:cs="Calibri" w:hint="default"/>
        <w:color w:val="000000"/>
        <w:sz w:val="24"/>
      </w:rPr>
    </w:lvl>
  </w:abstractNum>
  <w:num w:numId="1">
    <w:abstractNumId w:val="8"/>
  </w:num>
  <w:num w:numId="2">
    <w:abstractNumId w:val="20"/>
  </w:num>
  <w:num w:numId="3">
    <w:abstractNumId w:val="5"/>
  </w:num>
  <w:num w:numId="4">
    <w:abstractNumId w:val="4"/>
  </w:num>
  <w:num w:numId="5">
    <w:abstractNumId w:val="13"/>
  </w:num>
  <w:num w:numId="6">
    <w:abstractNumId w:val="10"/>
  </w:num>
  <w:num w:numId="7">
    <w:abstractNumId w:val="11"/>
  </w:num>
  <w:num w:numId="8">
    <w:abstractNumId w:val="9"/>
  </w:num>
  <w:num w:numId="9">
    <w:abstractNumId w:val="16"/>
  </w:num>
  <w:num w:numId="10">
    <w:abstractNumId w:val="2"/>
  </w:num>
  <w:num w:numId="11">
    <w:abstractNumId w:val="18"/>
  </w:num>
  <w:num w:numId="12">
    <w:abstractNumId w:val="19"/>
  </w:num>
  <w:num w:numId="13">
    <w:abstractNumId w:val="14"/>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3"/>
    </w:lvlOverride>
    <w:lvlOverride w:ilvl="1">
      <w:startOverride w:val="3"/>
    </w:lvlOverride>
  </w:num>
  <w:num w:numId="16">
    <w:abstractNumId w:val="17"/>
  </w:num>
  <w:num w:numId="17">
    <w:abstractNumId w:val="6"/>
  </w:num>
  <w:num w:numId="18">
    <w:abstractNumId w:val="0"/>
  </w:num>
  <w:num w:numId="19">
    <w:abstractNumId w:val="7"/>
  </w:num>
  <w:num w:numId="20">
    <w:abstractNumId w:val="12"/>
  </w:num>
  <w:num w:numId="21">
    <w:abstractNumId w:val="15"/>
  </w:num>
  <w:num w:numId="22">
    <w:abstractNumId w:val="1"/>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hideSpellingErrors/>
  <w:hideGrammaticalErrors/>
  <w:proofState w:grammar="clean"/>
  <w:defaultTabStop w:val="700"/>
  <w:hyphenationZone w:val="425"/>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CD2"/>
    <w:rsid w:val="0000322C"/>
    <w:rsid w:val="00003847"/>
    <w:rsid w:val="00006A16"/>
    <w:rsid w:val="00053F41"/>
    <w:rsid w:val="00060E61"/>
    <w:rsid w:val="00084053"/>
    <w:rsid w:val="000F7534"/>
    <w:rsid w:val="001012CB"/>
    <w:rsid w:val="001043E4"/>
    <w:rsid w:val="00113177"/>
    <w:rsid w:val="00116F6D"/>
    <w:rsid w:val="00134639"/>
    <w:rsid w:val="00135276"/>
    <w:rsid w:val="0014012C"/>
    <w:rsid w:val="00147A52"/>
    <w:rsid w:val="00156011"/>
    <w:rsid w:val="00192346"/>
    <w:rsid w:val="001A4750"/>
    <w:rsid w:val="001C21E9"/>
    <w:rsid w:val="001D0A91"/>
    <w:rsid w:val="001D7EF9"/>
    <w:rsid w:val="001E346B"/>
    <w:rsid w:val="001E3EC2"/>
    <w:rsid w:val="0020580B"/>
    <w:rsid w:val="002433A0"/>
    <w:rsid w:val="00257AF3"/>
    <w:rsid w:val="002757AC"/>
    <w:rsid w:val="00275ACE"/>
    <w:rsid w:val="00284CC8"/>
    <w:rsid w:val="00291606"/>
    <w:rsid w:val="002A55B4"/>
    <w:rsid w:val="002B5F4E"/>
    <w:rsid w:val="002E4B83"/>
    <w:rsid w:val="002F6B93"/>
    <w:rsid w:val="003048F1"/>
    <w:rsid w:val="003063C6"/>
    <w:rsid w:val="0031778C"/>
    <w:rsid w:val="00317E44"/>
    <w:rsid w:val="003302A6"/>
    <w:rsid w:val="003309D0"/>
    <w:rsid w:val="00346AA6"/>
    <w:rsid w:val="00386F3A"/>
    <w:rsid w:val="003975A6"/>
    <w:rsid w:val="003D3183"/>
    <w:rsid w:val="003F2A14"/>
    <w:rsid w:val="003F657C"/>
    <w:rsid w:val="004016F1"/>
    <w:rsid w:val="004237E3"/>
    <w:rsid w:val="00441956"/>
    <w:rsid w:val="00450A6D"/>
    <w:rsid w:val="0046046C"/>
    <w:rsid w:val="00462EBD"/>
    <w:rsid w:val="004853D6"/>
    <w:rsid w:val="0049287A"/>
    <w:rsid w:val="004B04DE"/>
    <w:rsid w:val="004B11BC"/>
    <w:rsid w:val="004C6641"/>
    <w:rsid w:val="004D3367"/>
    <w:rsid w:val="004F3575"/>
    <w:rsid w:val="004F558B"/>
    <w:rsid w:val="004F560F"/>
    <w:rsid w:val="00504525"/>
    <w:rsid w:val="00514965"/>
    <w:rsid w:val="005153B6"/>
    <w:rsid w:val="00525B4E"/>
    <w:rsid w:val="00533CD2"/>
    <w:rsid w:val="005356D2"/>
    <w:rsid w:val="00550893"/>
    <w:rsid w:val="00550CE4"/>
    <w:rsid w:val="00561568"/>
    <w:rsid w:val="00593330"/>
    <w:rsid w:val="005965A5"/>
    <w:rsid w:val="005B5BE8"/>
    <w:rsid w:val="005D1B93"/>
    <w:rsid w:val="00607878"/>
    <w:rsid w:val="00643DE1"/>
    <w:rsid w:val="00650ED0"/>
    <w:rsid w:val="00677405"/>
    <w:rsid w:val="00680D5A"/>
    <w:rsid w:val="006930A8"/>
    <w:rsid w:val="00694B36"/>
    <w:rsid w:val="006A01AB"/>
    <w:rsid w:val="006D2048"/>
    <w:rsid w:val="006E713C"/>
    <w:rsid w:val="00712E36"/>
    <w:rsid w:val="007429C8"/>
    <w:rsid w:val="00772E61"/>
    <w:rsid w:val="007800CB"/>
    <w:rsid w:val="0078789E"/>
    <w:rsid w:val="007A2B98"/>
    <w:rsid w:val="007A694E"/>
    <w:rsid w:val="007A6B3C"/>
    <w:rsid w:val="007B5C25"/>
    <w:rsid w:val="007C464D"/>
    <w:rsid w:val="007E037A"/>
    <w:rsid w:val="007F66EE"/>
    <w:rsid w:val="00823AA2"/>
    <w:rsid w:val="0085525E"/>
    <w:rsid w:val="00880FCB"/>
    <w:rsid w:val="00884D51"/>
    <w:rsid w:val="008A2B8B"/>
    <w:rsid w:val="008A7802"/>
    <w:rsid w:val="008B12D6"/>
    <w:rsid w:val="008C0B58"/>
    <w:rsid w:val="008C7474"/>
    <w:rsid w:val="008D4CF2"/>
    <w:rsid w:val="00920B51"/>
    <w:rsid w:val="00920CEE"/>
    <w:rsid w:val="009433E8"/>
    <w:rsid w:val="00946CC5"/>
    <w:rsid w:val="00954B9F"/>
    <w:rsid w:val="00994A20"/>
    <w:rsid w:val="00994FEA"/>
    <w:rsid w:val="009C34D0"/>
    <w:rsid w:val="009C7B82"/>
    <w:rsid w:val="009D40B8"/>
    <w:rsid w:val="00A042C2"/>
    <w:rsid w:val="00A06E8C"/>
    <w:rsid w:val="00A204ED"/>
    <w:rsid w:val="00A25060"/>
    <w:rsid w:val="00A3019B"/>
    <w:rsid w:val="00A550FD"/>
    <w:rsid w:val="00A664FB"/>
    <w:rsid w:val="00A71C8F"/>
    <w:rsid w:val="00A77A92"/>
    <w:rsid w:val="00A86C60"/>
    <w:rsid w:val="00A9747C"/>
    <w:rsid w:val="00AA26C8"/>
    <w:rsid w:val="00AD51DA"/>
    <w:rsid w:val="00AF551B"/>
    <w:rsid w:val="00B02F02"/>
    <w:rsid w:val="00B05361"/>
    <w:rsid w:val="00B453B8"/>
    <w:rsid w:val="00B4650D"/>
    <w:rsid w:val="00B477B7"/>
    <w:rsid w:val="00B56CBB"/>
    <w:rsid w:val="00B85A78"/>
    <w:rsid w:val="00BD4EAB"/>
    <w:rsid w:val="00BD57EC"/>
    <w:rsid w:val="00C0045B"/>
    <w:rsid w:val="00C12026"/>
    <w:rsid w:val="00C220A5"/>
    <w:rsid w:val="00C31D4F"/>
    <w:rsid w:val="00C35E88"/>
    <w:rsid w:val="00C57822"/>
    <w:rsid w:val="00C60D76"/>
    <w:rsid w:val="00C67F80"/>
    <w:rsid w:val="00C9336C"/>
    <w:rsid w:val="00C94079"/>
    <w:rsid w:val="00C9481C"/>
    <w:rsid w:val="00C97ADE"/>
    <w:rsid w:val="00CB04BC"/>
    <w:rsid w:val="00CB5F44"/>
    <w:rsid w:val="00CC6059"/>
    <w:rsid w:val="00CC6DCC"/>
    <w:rsid w:val="00CE45ED"/>
    <w:rsid w:val="00CF410B"/>
    <w:rsid w:val="00D10ED9"/>
    <w:rsid w:val="00D12D6A"/>
    <w:rsid w:val="00D347F6"/>
    <w:rsid w:val="00D41052"/>
    <w:rsid w:val="00D82A67"/>
    <w:rsid w:val="00D90625"/>
    <w:rsid w:val="00D92B93"/>
    <w:rsid w:val="00D93F37"/>
    <w:rsid w:val="00D9499F"/>
    <w:rsid w:val="00D974BC"/>
    <w:rsid w:val="00DB58C8"/>
    <w:rsid w:val="00DC1EB9"/>
    <w:rsid w:val="00DD6E4A"/>
    <w:rsid w:val="00DE29DB"/>
    <w:rsid w:val="00DE6C3B"/>
    <w:rsid w:val="00E14510"/>
    <w:rsid w:val="00E33EBA"/>
    <w:rsid w:val="00E35C7C"/>
    <w:rsid w:val="00E37EC0"/>
    <w:rsid w:val="00E54D81"/>
    <w:rsid w:val="00E61D01"/>
    <w:rsid w:val="00E806C4"/>
    <w:rsid w:val="00E826E9"/>
    <w:rsid w:val="00E86407"/>
    <w:rsid w:val="00E976D6"/>
    <w:rsid w:val="00EA1480"/>
    <w:rsid w:val="00EA418A"/>
    <w:rsid w:val="00EB2A35"/>
    <w:rsid w:val="00EB759C"/>
    <w:rsid w:val="00EC109E"/>
    <w:rsid w:val="00EC3872"/>
    <w:rsid w:val="00EC7294"/>
    <w:rsid w:val="00EE1339"/>
    <w:rsid w:val="00EE2A3B"/>
    <w:rsid w:val="00EE2EBF"/>
    <w:rsid w:val="00F246F3"/>
    <w:rsid w:val="00F33C2C"/>
    <w:rsid w:val="00F557AD"/>
    <w:rsid w:val="00F606FC"/>
    <w:rsid w:val="00FA44AD"/>
    <w:rsid w:val="00FA6FF8"/>
    <w:rsid w:val="00FD1924"/>
    <w:rsid w:val="00FF4D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D6EF8"/>
  <w15:docId w15:val="{C4883AC7-CDBB-44E8-8710-77D79D6A7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7429C8"/>
    <w:pPr>
      <w:keepNext/>
      <w:keepLines/>
      <w:numPr>
        <w:numId w:val="7"/>
      </w:numPr>
      <w:spacing w:before="240"/>
      <w:outlineLvl w:val="0"/>
    </w:pPr>
    <w:rPr>
      <w:rFonts w:ascii="Arial" w:eastAsiaTheme="majorEastAsia" w:hAnsi="Arial" w:cstheme="majorBidi"/>
      <w:b/>
      <w:sz w:val="24"/>
      <w:szCs w:val="32"/>
    </w:rPr>
  </w:style>
  <w:style w:type="paragraph" w:styleId="Nadpis2">
    <w:name w:val="heading 2"/>
    <w:basedOn w:val="Normln"/>
    <w:next w:val="Normln"/>
    <w:link w:val="Nadpis2Char"/>
    <w:autoRedefine/>
    <w:uiPriority w:val="9"/>
    <w:unhideWhenUsed/>
    <w:qFormat/>
    <w:rsid w:val="007429C8"/>
    <w:pPr>
      <w:keepNext/>
      <w:keepLines/>
      <w:numPr>
        <w:ilvl w:val="1"/>
        <w:numId w:val="7"/>
      </w:numPr>
      <w:spacing w:before="40"/>
      <w:outlineLvl w:val="1"/>
    </w:pPr>
    <w:rPr>
      <w:rFonts w:ascii="Arial" w:eastAsiaTheme="majorEastAsia" w:hAnsi="Arial" w:cstheme="majorBidi"/>
      <w:b/>
      <w:sz w:val="24"/>
      <w:szCs w:val="26"/>
    </w:rPr>
  </w:style>
  <w:style w:type="paragraph" w:styleId="Nadpis3">
    <w:name w:val="heading 3"/>
    <w:basedOn w:val="Normln"/>
    <w:next w:val="Normln"/>
    <w:link w:val="Nadpis3Char"/>
    <w:uiPriority w:val="9"/>
    <w:unhideWhenUsed/>
    <w:qFormat/>
    <w:rsid w:val="00B477B7"/>
    <w:pPr>
      <w:keepNext/>
      <w:keepLines/>
      <w:numPr>
        <w:ilvl w:val="2"/>
        <w:numId w:val="7"/>
      </w:numPr>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rsid w:val="007429C8"/>
    <w:pPr>
      <w:keepNext/>
      <w:keepLines/>
      <w:numPr>
        <w:ilvl w:val="3"/>
        <w:numId w:val="7"/>
      </w:numPr>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7429C8"/>
    <w:pPr>
      <w:keepNext/>
      <w:keepLines/>
      <w:numPr>
        <w:ilvl w:val="4"/>
        <w:numId w:val="7"/>
      </w:numPr>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7429C8"/>
    <w:pPr>
      <w:keepNext/>
      <w:keepLines/>
      <w:numPr>
        <w:ilvl w:val="5"/>
        <w:numId w:val="7"/>
      </w:numPr>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7429C8"/>
    <w:pPr>
      <w:keepNext/>
      <w:keepLines/>
      <w:numPr>
        <w:ilvl w:val="6"/>
        <w:numId w:val="7"/>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7429C8"/>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7429C8"/>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pPr>
      <w:ind w:left="720"/>
      <w:contextualSpacing/>
    </w:pPr>
  </w:style>
  <w:style w:type="paragraph" w:styleId="Nzev">
    <w:name w:val="Title"/>
    <w:basedOn w:val="Normln"/>
    <w:next w:val="Normln"/>
    <w:link w:val="NzevChar"/>
    <w:uiPriority w:val="10"/>
    <w:qFormat/>
    <w:rsid w:val="00E54D81"/>
    <w:pPr>
      <w:contextualSpacing/>
    </w:pPr>
    <w:rPr>
      <w:rFonts w:ascii="Arial" w:eastAsiaTheme="majorEastAsia" w:hAnsi="Arial" w:cstheme="majorBidi"/>
      <w:spacing w:val="-10"/>
      <w:kern w:val="28"/>
      <w:sz w:val="40"/>
      <w:szCs w:val="56"/>
    </w:rPr>
  </w:style>
  <w:style w:type="character" w:customStyle="1" w:styleId="NzevChar">
    <w:name w:val="Název Char"/>
    <w:basedOn w:val="Standardnpsmoodstavce"/>
    <w:link w:val="Nzev"/>
    <w:uiPriority w:val="10"/>
    <w:rsid w:val="00E54D81"/>
    <w:rPr>
      <w:rFonts w:ascii="Arial" w:eastAsiaTheme="majorEastAsia" w:hAnsi="Arial" w:cstheme="majorBidi"/>
      <w:spacing w:val="-10"/>
      <w:kern w:val="28"/>
      <w:sz w:val="40"/>
      <w:szCs w:val="56"/>
    </w:rPr>
  </w:style>
  <w:style w:type="character" w:customStyle="1" w:styleId="Nadpis1Char">
    <w:name w:val="Nadpis 1 Char"/>
    <w:basedOn w:val="Standardnpsmoodstavce"/>
    <w:link w:val="Nadpis1"/>
    <w:uiPriority w:val="9"/>
    <w:rsid w:val="007429C8"/>
    <w:rPr>
      <w:rFonts w:ascii="Arial" w:eastAsiaTheme="majorEastAsia" w:hAnsi="Arial" w:cstheme="majorBidi"/>
      <w:b/>
      <w:sz w:val="24"/>
      <w:szCs w:val="32"/>
    </w:rPr>
  </w:style>
  <w:style w:type="character" w:customStyle="1" w:styleId="Nadpis2Char">
    <w:name w:val="Nadpis 2 Char"/>
    <w:basedOn w:val="Standardnpsmoodstavce"/>
    <w:link w:val="Nadpis2"/>
    <w:uiPriority w:val="9"/>
    <w:rsid w:val="007429C8"/>
    <w:rPr>
      <w:rFonts w:ascii="Arial" w:eastAsiaTheme="majorEastAsia" w:hAnsi="Arial" w:cstheme="majorBidi"/>
      <w:b/>
      <w:sz w:val="24"/>
      <w:szCs w:val="26"/>
    </w:rPr>
  </w:style>
  <w:style w:type="paragraph" w:styleId="Nadpisobsahu">
    <w:name w:val="TOC Heading"/>
    <w:basedOn w:val="Nadpis1"/>
    <w:next w:val="Normln"/>
    <w:uiPriority w:val="39"/>
    <w:unhideWhenUsed/>
    <w:qFormat/>
    <w:rsid w:val="00E54D81"/>
    <w:pPr>
      <w:spacing w:line="259" w:lineRule="auto"/>
      <w:outlineLvl w:val="9"/>
    </w:pPr>
    <w:rPr>
      <w:rFonts w:asciiTheme="majorHAnsi" w:hAnsiTheme="majorHAnsi"/>
      <w:sz w:val="32"/>
      <w:lang w:val="cs-CZ" w:eastAsia="cs-CZ"/>
    </w:rPr>
  </w:style>
  <w:style w:type="paragraph" w:styleId="Obsah1">
    <w:name w:val="toc 1"/>
    <w:basedOn w:val="Normln"/>
    <w:next w:val="Normln"/>
    <w:autoRedefine/>
    <w:uiPriority w:val="39"/>
    <w:unhideWhenUsed/>
    <w:rsid w:val="00E54D81"/>
    <w:pPr>
      <w:spacing w:after="100"/>
    </w:pPr>
  </w:style>
  <w:style w:type="paragraph" w:styleId="Obsah2">
    <w:name w:val="toc 2"/>
    <w:basedOn w:val="Normln"/>
    <w:next w:val="Normln"/>
    <w:autoRedefine/>
    <w:uiPriority w:val="39"/>
    <w:unhideWhenUsed/>
    <w:rsid w:val="00E54D81"/>
    <w:pPr>
      <w:spacing w:after="100"/>
      <w:ind w:left="220"/>
    </w:pPr>
  </w:style>
  <w:style w:type="character" w:styleId="Hypertextovodkaz">
    <w:name w:val="Hyperlink"/>
    <w:basedOn w:val="Standardnpsmoodstavce"/>
    <w:uiPriority w:val="99"/>
    <w:unhideWhenUsed/>
    <w:rsid w:val="00E54D81"/>
    <w:rPr>
      <w:color w:val="0000FF" w:themeColor="hyperlink"/>
      <w:u w:val="single"/>
    </w:rPr>
  </w:style>
  <w:style w:type="paragraph" w:styleId="Podnadpis">
    <w:name w:val="Subtitle"/>
    <w:basedOn w:val="Normln"/>
    <w:next w:val="Normln"/>
    <w:link w:val="PodnadpisChar"/>
    <w:uiPriority w:val="11"/>
    <w:qFormat/>
    <w:rsid w:val="00B477B7"/>
    <w:pPr>
      <w:numPr>
        <w:ilvl w:val="1"/>
      </w:numPr>
      <w:spacing w:after="160"/>
    </w:pPr>
    <w:rPr>
      <w:rFonts w:ascii="Arial" w:hAnsi="Arial"/>
      <w:b/>
      <w:spacing w:val="15"/>
      <w:sz w:val="24"/>
    </w:rPr>
  </w:style>
  <w:style w:type="character" w:customStyle="1" w:styleId="PodnadpisChar">
    <w:name w:val="Podnadpis Char"/>
    <w:basedOn w:val="Standardnpsmoodstavce"/>
    <w:link w:val="Podnadpis"/>
    <w:uiPriority w:val="11"/>
    <w:rsid w:val="00B477B7"/>
    <w:rPr>
      <w:rFonts w:ascii="Arial" w:hAnsi="Arial"/>
      <w:b/>
      <w:spacing w:val="15"/>
      <w:sz w:val="24"/>
    </w:rPr>
  </w:style>
  <w:style w:type="character" w:customStyle="1" w:styleId="Nadpis3Char">
    <w:name w:val="Nadpis 3 Char"/>
    <w:basedOn w:val="Standardnpsmoodstavce"/>
    <w:link w:val="Nadpis3"/>
    <w:uiPriority w:val="9"/>
    <w:rsid w:val="00B477B7"/>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link w:val="Nadpis4"/>
    <w:uiPriority w:val="9"/>
    <w:semiHidden/>
    <w:rsid w:val="007429C8"/>
    <w:rPr>
      <w:rFonts w:asciiTheme="majorHAnsi" w:eastAsiaTheme="majorEastAsia" w:hAnsiTheme="majorHAnsi" w:cstheme="majorBidi"/>
      <w:i/>
      <w:iCs/>
      <w:color w:val="365F91" w:themeColor="accent1" w:themeShade="BF"/>
    </w:rPr>
  </w:style>
  <w:style w:type="character" w:customStyle="1" w:styleId="Nadpis5Char">
    <w:name w:val="Nadpis 5 Char"/>
    <w:basedOn w:val="Standardnpsmoodstavce"/>
    <w:link w:val="Nadpis5"/>
    <w:uiPriority w:val="9"/>
    <w:semiHidden/>
    <w:rsid w:val="007429C8"/>
    <w:rPr>
      <w:rFonts w:asciiTheme="majorHAnsi" w:eastAsiaTheme="majorEastAsia" w:hAnsiTheme="majorHAnsi" w:cstheme="majorBidi"/>
      <w:color w:val="365F91" w:themeColor="accent1" w:themeShade="BF"/>
    </w:rPr>
  </w:style>
  <w:style w:type="character" w:customStyle="1" w:styleId="Nadpis6Char">
    <w:name w:val="Nadpis 6 Char"/>
    <w:basedOn w:val="Standardnpsmoodstavce"/>
    <w:link w:val="Nadpis6"/>
    <w:uiPriority w:val="9"/>
    <w:semiHidden/>
    <w:rsid w:val="007429C8"/>
    <w:rPr>
      <w:rFonts w:asciiTheme="majorHAnsi" w:eastAsiaTheme="majorEastAsia" w:hAnsiTheme="majorHAnsi" w:cstheme="majorBidi"/>
      <w:color w:val="243F60" w:themeColor="accent1" w:themeShade="7F"/>
    </w:rPr>
  </w:style>
  <w:style w:type="character" w:customStyle="1" w:styleId="Nadpis7Char">
    <w:name w:val="Nadpis 7 Char"/>
    <w:basedOn w:val="Standardnpsmoodstavce"/>
    <w:link w:val="Nadpis7"/>
    <w:uiPriority w:val="9"/>
    <w:semiHidden/>
    <w:rsid w:val="007429C8"/>
    <w:rPr>
      <w:rFonts w:asciiTheme="majorHAnsi" w:eastAsiaTheme="majorEastAsia" w:hAnsiTheme="majorHAnsi" w:cstheme="majorBidi"/>
      <w:i/>
      <w:iCs/>
      <w:color w:val="243F60" w:themeColor="accent1" w:themeShade="7F"/>
    </w:rPr>
  </w:style>
  <w:style w:type="character" w:customStyle="1" w:styleId="Nadpis8Char">
    <w:name w:val="Nadpis 8 Char"/>
    <w:basedOn w:val="Standardnpsmoodstavce"/>
    <w:link w:val="Nadpis8"/>
    <w:uiPriority w:val="9"/>
    <w:semiHidden/>
    <w:rsid w:val="007429C8"/>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7429C8"/>
    <w:rPr>
      <w:rFonts w:asciiTheme="majorHAnsi" w:eastAsiaTheme="majorEastAsia" w:hAnsiTheme="majorHAnsi" w:cstheme="majorBidi"/>
      <w:i/>
      <w:iCs/>
      <w:color w:val="272727" w:themeColor="text1" w:themeTint="D8"/>
      <w:sz w:val="21"/>
      <w:szCs w:val="21"/>
    </w:rPr>
  </w:style>
  <w:style w:type="character" w:styleId="Odkaznakoment">
    <w:name w:val="annotation reference"/>
    <w:basedOn w:val="Standardnpsmoodstavce"/>
    <w:uiPriority w:val="99"/>
    <w:semiHidden/>
    <w:unhideWhenUsed/>
    <w:rsid w:val="00DE6C3B"/>
    <w:rPr>
      <w:sz w:val="16"/>
      <w:szCs w:val="16"/>
    </w:rPr>
  </w:style>
  <w:style w:type="paragraph" w:styleId="Textkomente">
    <w:name w:val="annotation text"/>
    <w:basedOn w:val="Normln"/>
    <w:link w:val="TextkomenteChar"/>
    <w:uiPriority w:val="99"/>
    <w:semiHidden/>
    <w:unhideWhenUsed/>
    <w:rsid w:val="00DE6C3B"/>
    <w:rPr>
      <w:sz w:val="20"/>
      <w:szCs w:val="20"/>
    </w:rPr>
  </w:style>
  <w:style w:type="character" w:customStyle="1" w:styleId="TextkomenteChar">
    <w:name w:val="Text komentáře Char"/>
    <w:basedOn w:val="Standardnpsmoodstavce"/>
    <w:link w:val="Textkomente"/>
    <w:uiPriority w:val="99"/>
    <w:semiHidden/>
    <w:rsid w:val="00DE6C3B"/>
    <w:rPr>
      <w:sz w:val="20"/>
      <w:szCs w:val="20"/>
    </w:rPr>
  </w:style>
  <w:style w:type="paragraph" w:styleId="Pedmtkomente">
    <w:name w:val="annotation subject"/>
    <w:basedOn w:val="Textkomente"/>
    <w:next w:val="Textkomente"/>
    <w:link w:val="PedmtkomenteChar"/>
    <w:uiPriority w:val="99"/>
    <w:semiHidden/>
    <w:unhideWhenUsed/>
    <w:rsid w:val="00DE6C3B"/>
    <w:rPr>
      <w:b/>
      <w:bCs/>
    </w:rPr>
  </w:style>
  <w:style w:type="character" w:customStyle="1" w:styleId="PedmtkomenteChar">
    <w:name w:val="Předmět komentáře Char"/>
    <w:basedOn w:val="TextkomenteChar"/>
    <w:link w:val="Pedmtkomente"/>
    <w:uiPriority w:val="99"/>
    <w:semiHidden/>
    <w:rsid w:val="00DE6C3B"/>
    <w:rPr>
      <w:b/>
      <w:bCs/>
      <w:sz w:val="20"/>
      <w:szCs w:val="20"/>
    </w:rPr>
  </w:style>
  <w:style w:type="paragraph" w:styleId="Textbubliny">
    <w:name w:val="Balloon Text"/>
    <w:basedOn w:val="Normln"/>
    <w:link w:val="TextbublinyChar"/>
    <w:uiPriority w:val="99"/>
    <w:semiHidden/>
    <w:unhideWhenUsed/>
    <w:rsid w:val="00DE6C3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E6C3B"/>
    <w:rPr>
      <w:rFonts w:ascii="Segoe UI" w:hAnsi="Segoe UI" w:cs="Segoe UI"/>
      <w:sz w:val="18"/>
      <w:szCs w:val="18"/>
    </w:rPr>
  </w:style>
  <w:style w:type="character" w:customStyle="1" w:styleId="Nevyeenzmnka1">
    <w:name w:val="Nevyřešená zmínka1"/>
    <w:basedOn w:val="Standardnpsmoodstavce"/>
    <w:uiPriority w:val="99"/>
    <w:semiHidden/>
    <w:unhideWhenUsed/>
    <w:rsid w:val="003F2A14"/>
    <w:rPr>
      <w:color w:val="605E5C"/>
      <w:shd w:val="clear" w:color="auto" w:fill="E1DFDD"/>
    </w:rPr>
  </w:style>
  <w:style w:type="character" w:styleId="Sledovanodkaz">
    <w:name w:val="FollowedHyperlink"/>
    <w:basedOn w:val="Standardnpsmoodstavce"/>
    <w:uiPriority w:val="99"/>
    <w:semiHidden/>
    <w:unhideWhenUsed/>
    <w:rsid w:val="003F2A14"/>
    <w:rPr>
      <w:color w:val="800080" w:themeColor="followedHyperlink"/>
      <w:u w:val="single"/>
    </w:rPr>
  </w:style>
  <w:style w:type="paragraph" w:styleId="Revize">
    <w:name w:val="Revision"/>
    <w:hidden/>
    <w:uiPriority w:val="99"/>
    <w:semiHidden/>
    <w:rsid w:val="00D10ED9"/>
  </w:style>
  <w:style w:type="paragraph" w:styleId="Zhlav">
    <w:name w:val="header"/>
    <w:basedOn w:val="Normln"/>
    <w:link w:val="ZhlavChar"/>
    <w:uiPriority w:val="99"/>
    <w:unhideWhenUsed/>
    <w:rsid w:val="00192346"/>
    <w:pPr>
      <w:tabs>
        <w:tab w:val="center" w:pos="4536"/>
        <w:tab w:val="right" w:pos="9072"/>
      </w:tabs>
    </w:pPr>
  </w:style>
  <w:style w:type="character" w:customStyle="1" w:styleId="ZhlavChar">
    <w:name w:val="Záhlaví Char"/>
    <w:basedOn w:val="Standardnpsmoodstavce"/>
    <w:link w:val="Zhlav"/>
    <w:uiPriority w:val="99"/>
    <w:rsid w:val="00192346"/>
  </w:style>
  <w:style w:type="paragraph" w:styleId="Zpat">
    <w:name w:val="footer"/>
    <w:basedOn w:val="Normln"/>
    <w:link w:val="ZpatChar"/>
    <w:uiPriority w:val="99"/>
    <w:unhideWhenUsed/>
    <w:rsid w:val="00192346"/>
    <w:pPr>
      <w:tabs>
        <w:tab w:val="center" w:pos="4536"/>
        <w:tab w:val="right" w:pos="9072"/>
      </w:tabs>
    </w:pPr>
  </w:style>
  <w:style w:type="character" w:customStyle="1" w:styleId="ZpatChar">
    <w:name w:val="Zápatí Char"/>
    <w:basedOn w:val="Standardnpsmoodstavce"/>
    <w:link w:val="Zpat"/>
    <w:uiPriority w:val="99"/>
    <w:rsid w:val="00192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243820">
      <w:bodyDiv w:val="1"/>
      <w:marLeft w:val="0"/>
      <w:marRight w:val="0"/>
      <w:marTop w:val="0"/>
      <w:marBottom w:val="0"/>
      <w:divBdr>
        <w:top w:val="none" w:sz="0" w:space="0" w:color="auto"/>
        <w:left w:val="none" w:sz="0" w:space="0" w:color="auto"/>
        <w:bottom w:val="none" w:sz="0" w:space="0" w:color="auto"/>
        <w:right w:val="none" w:sz="0" w:space="0" w:color="auto"/>
      </w:divBdr>
      <w:divsChild>
        <w:div w:id="1786734223">
          <w:marLeft w:val="0"/>
          <w:marRight w:val="0"/>
          <w:marTop w:val="3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1910C-17BA-4D7F-B34D-E53B0C1ED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139</Pages>
  <Words>33725</Words>
  <Characters>198984</Characters>
  <Application>Microsoft Office Word</Application>
  <DocSecurity>0</DocSecurity>
  <Lines>1658</Lines>
  <Paragraphs>464</Paragraphs>
  <ScaleCrop>false</ScaleCrop>
  <HeadingPairs>
    <vt:vector size="2" baseType="variant">
      <vt:variant>
        <vt:lpstr>Název</vt:lpstr>
      </vt:variant>
      <vt:variant>
        <vt:i4>1</vt:i4>
      </vt:variant>
    </vt:vector>
  </HeadingPairs>
  <TitlesOfParts>
    <vt:vector size="1" baseType="lpstr">
      <vt:lpstr>RTF Template</vt:lpstr>
    </vt:vector>
  </TitlesOfParts>
  <Company>Oracle USA</Company>
  <LinksUpToDate>false</LinksUpToDate>
  <CharactersWithSpaces>232245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User</dc:creator>
  <cp:keywords/>
  <dc:description>Generated by Oracle BI Publisher 12.2.1.4.0</dc:description>
  <cp:lastModifiedBy>Čirka Jan</cp:lastModifiedBy>
  <cp:revision>7</cp:revision>
  <dcterms:created xsi:type="dcterms:W3CDTF">2020-05-20T13:38:00Z</dcterms:created>
  <dcterms:modified xsi:type="dcterms:W3CDTF">2020-06-01T08:47:00Z</dcterms:modified>
</cp:coreProperties>
</file>