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8405C2">
        <w:rPr>
          <w:rFonts w:asciiTheme="majorHAnsi" w:hAnsiTheme="majorHAnsi" w:cs="MyriadPro-Black"/>
          <w:caps/>
          <w:sz w:val="32"/>
          <w:szCs w:val="40"/>
        </w:rPr>
        <w:t>8</w:t>
      </w:r>
      <w:r w:rsidR="004E722C">
        <w:rPr>
          <w:rFonts w:asciiTheme="majorHAnsi" w:hAnsiTheme="majorHAnsi" w:cs="MyriadPro-Black"/>
          <w:caps/>
          <w:sz w:val="32"/>
          <w:szCs w:val="40"/>
        </w:rPr>
        <w:t xml:space="preserve">. </w:t>
      </w:r>
      <w:r w:rsidR="008405C2">
        <w:rPr>
          <w:rFonts w:asciiTheme="majorHAnsi" w:hAnsiTheme="majorHAnsi" w:cs="MyriadPro-Black"/>
          <w:caps/>
          <w:sz w:val="32"/>
          <w:szCs w:val="40"/>
        </w:rPr>
        <w:t>3</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0" w:name="_Toc508181275"/>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rsidR="00553A23" w:rsidRDefault="00553A23">
          <w:pPr>
            <w:pStyle w:val="Obsah1"/>
            <w:rPr>
              <w:rFonts w:eastAsiaTheme="minorEastAsia"/>
              <w:noProof/>
              <w:lang w:eastAsia="cs-CZ"/>
            </w:rPr>
          </w:pPr>
          <w:hyperlink w:anchor="_Toc508181276" w:history="1">
            <w:r w:rsidRPr="00986156">
              <w:rPr>
                <w:rStyle w:val="Hypertextovodkaz"/>
                <w:caps/>
                <w:noProof/>
              </w:rPr>
              <w:t>2.</w:t>
            </w:r>
            <w:r>
              <w:rPr>
                <w:rFonts w:eastAsiaTheme="minorEastAsia"/>
                <w:noProof/>
                <w:lang w:eastAsia="cs-CZ"/>
              </w:rPr>
              <w:tab/>
            </w:r>
            <w:r w:rsidRPr="00986156">
              <w:rPr>
                <w:rStyle w:val="Hypertextovodkaz"/>
                <w:caps/>
                <w:noProof/>
              </w:rPr>
              <w:t>ÚVODNÍ INFORMACE</w:t>
            </w:r>
            <w:r>
              <w:rPr>
                <w:noProof/>
                <w:webHidden/>
              </w:rPr>
              <w:tab/>
            </w:r>
            <w:r>
              <w:rPr>
                <w:noProof/>
                <w:webHidden/>
              </w:rPr>
              <w:fldChar w:fldCharType="begin"/>
            </w:r>
            <w:r>
              <w:rPr>
                <w:noProof/>
                <w:webHidden/>
              </w:rPr>
              <w:instrText xml:space="preserve"> PAGEREF _Toc508181276 \h </w:instrText>
            </w:r>
            <w:r>
              <w:rPr>
                <w:noProof/>
                <w:webHidden/>
              </w:rPr>
            </w:r>
            <w:r>
              <w:rPr>
                <w:noProof/>
                <w:webHidden/>
              </w:rPr>
              <w:fldChar w:fldCharType="separate"/>
            </w:r>
            <w:r>
              <w:rPr>
                <w:noProof/>
                <w:webHidden/>
              </w:rPr>
              <w:t>3</w:t>
            </w:r>
            <w:r>
              <w:rPr>
                <w:noProof/>
                <w:webHidden/>
              </w:rPr>
              <w:fldChar w:fldCharType="end"/>
            </w:r>
          </w:hyperlink>
        </w:p>
        <w:p w:rsidR="00553A23" w:rsidRDefault="00553A23">
          <w:pPr>
            <w:pStyle w:val="Obsah1"/>
            <w:rPr>
              <w:rFonts w:eastAsiaTheme="minorEastAsia"/>
              <w:noProof/>
              <w:lang w:eastAsia="cs-CZ"/>
            </w:rPr>
          </w:pPr>
          <w:hyperlink w:anchor="_Toc508181277" w:history="1">
            <w:r w:rsidRPr="00986156">
              <w:rPr>
                <w:rStyle w:val="Hypertextovodkaz"/>
                <w:caps/>
                <w:noProof/>
              </w:rPr>
              <w:t>3.</w:t>
            </w:r>
            <w:r>
              <w:rPr>
                <w:rFonts w:eastAsiaTheme="minorEastAsia"/>
                <w:noProof/>
                <w:lang w:eastAsia="cs-CZ"/>
              </w:rPr>
              <w:tab/>
            </w:r>
            <w:r w:rsidRPr="00986156">
              <w:rPr>
                <w:rStyle w:val="Hypertextovodkaz"/>
                <w:caps/>
                <w:noProof/>
              </w:rPr>
              <w:t>ZÁKLADNÍ INFORMACE O ŽADATELI</w:t>
            </w:r>
            <w:r>
              <w:rPr>
                <w:noProof/>
                <w:webHidden/>
              </w:rPr>
              <w:tab/>
            </w:r>
            <w:r>
              <w:rPr>
                <w:noProof/>
                <w:webHidden/>
              </w:rPr>
              <w:fldChar w:fldCharType="begin"/>
            </w:r>
            <w:r>
              <w:rPr>
                <w:noProof/>
                <w:webHidden/>
              </w:rPr>
              <w:instrText xml:space="preserve"> PAGEREF _Toc508181277 \h </w:instrText>
            </w:r>
            <w:r>
              <w:rPr>
                <w:noProof/>
                <w:webHidden/>
              </w:rPr>
            </w:r>
            <w:r>
              <w:rPr>
                <w:noProof/>
                <w:webHidden/>
              </w:rPr>
              <w:fldChar w:fldCharType="separate"/>
            </w:r>
            <w:r>
              <w:rPr>
                <w:noProof/>
                <w:webHidden/>
              </w:rPr>
              <w:t>3</w:t>
            </w:r>
            <w:r>
              <w:rPr>
                <w:noProof/>
                <w:webHidden/>
              </w:rPr>
              <w:fldChar w:fldCharType="end"/>
            </w:r>
          </w:hyperlink>
        </w:p>
        <w:p w:rsidR="00553A23" w:rsidRDefault="00553A23">
          <w:pPr>
            <w:pStyle w:val="Obsah1"/>
            <w:rPr>
              <w:rFonts w:eastAsiaTheme="minorEastAsia"/>
              <w:noProof/>
              <w:lang w:eastAsia="cs-CZ"/>
            </w:rPr>
          </w:pPr>
          <w:hyperlink w:anchor="_Toc508181278" w:history="1">
            <w:r w:rsidRPr="00986156">
              <w:rPr>
                <w:rStyle w:val="Hypertextovodkaz"/>
                <w:caps/>
                <w:noProof/>
              </w:rPr>
              <w:t>4.</w:t>
            </w:r>
            <w:r>
              <w:rPr>
                <w:rFonts w:eastAsiaTheme="minorEastAsia"/>
                <w:noProof/>
                <w:lang w:eastAsia="cs-CZ"/>
              </w:rPr>
              <w:tab/>
            </w:r>
            <w:r w:rsidRPr="00986156">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_Toc508181278 \h </w:instrText>
            </w:r>
            <w:r>
              <w:rPr>
                <w:noProof/>
                <w:webHidden/>
              </w:rPr>
            </w:r>
            <w:r>
              <w:rPr>
                <w:noProof/>
                <w:webHidden/>
              </w:rPr>
              <w:fldChar w:fldCharType="separate"/>
            </w:r>
            <w:r>
              <w:rPr>
                <w:noProof/>
                <w:webHidden/>
              </w:rPr>
              <w:t>3</w:t>
            </w:r>
            <w:r>
              <w:rPr>
                <w:noProof/>
                <w:webHidden/>
              </w:rPr>
              <w:fldChar w:fldCharType="end"/>
            </w:r>
          </w:hyperlink>
        </w:p>
        <w:p w:rsidR="00553A23" w:rsidRDefault="00553A23">
          <w:pPr>
            <w:pStyle w:val="Obsah1"/>
            <w:rPr>
              <w:rFonts w:eastAsiaTheme="minorEastAsia"/>
              <w:noProof/>
              <w:lang w:eastAsia="cs-CZ"/>
            </w:rPr>
          </w:pPr>
          <w:hyperlink w:anchor="_Toc508181279" w:history="1">
            <w:r w:rsidRPr="00986156">
              <w:rPr>
                <w:rStyle w:val="Hypertextovodkaz"/>
                <w:caps/>
                <w:noProof/>
              </w:rPr>
              <w:t>5.</w:t>
            </w:r>
            <w:r>
              <w:rPr>
                <w:rFonts w:eastAsiaTheme="minorEastAsia"/>
                <w:noProof/>
                <w:lang w:eastAsia="cs-CZ"/>
              </w:rPr>
              <w:tab/>
            </w:r>
            <w:r w:rsidRPr="00986156">
              <w:rPr>
                <w:rStyle w:val="Hypertextovodkaz"/>
                <w:caps/>
                <w:noProof/>
              </w:rPr>
              <w:t>Podrobný popis projektu</w:t>
            </w:r>
            <w:r>
              <w:rPr>
                <w:noProof/>
                <w:webHidden/>
              </w:rPr>
              <w:tab/>
            </w:r>
            <w:r>
              <w:rPr>
                <w:noProof/>
                <w:webHidden/>
              </w:rPr>
              <w:fldChar w:fldCharType="begin"/>
            </w:r>
            <w:r>
              <w:rPr>
                <w:noProof/>
                <w:webHidden/>
              </w:rPr>
              <w:instrText xml:space="preserve"> PAGEREF _Toc508181279 \h </w:instrText>
            </w:r>
            <w:r>
              <w:rPr>
                <w:noProof/>
                <w:webHidden/>
              </w:rPr>
            </w:r>
            <w:r>
              <w:rPr>
                <w:noProof/>
                <w:webHidden/>
              </w:rPr>
              <w:fldChar w:fldCharType="separate"/>
            </w:r>
            <w:r>
              <w:rPr>
                <w:noProof/>
                <w:webHidden/>
              </w:rPr>
              <w:t>3</w:t>
            </w:r>
            <w:r>
              <w:rPr>
                <w:noProof/>
                <w:webHidden/>
              </w:rPr>
              <w:fldChar w:fldCharType="end"/>
            </w:r>
          </w:hyperlink>
        </w:p>
        <w:p w:rsidR="00553A23" w:rsidRDefault="00553A23">
          <w:pPr>
            <w:pStyle w:val="Obsah1"/>
            <w:rPr>
              <w:rFonts w:eastAsiaTheme="minorEastAsia"/>
              <w:noProof/>
              <w:lang w:eastAsia="cs-CZ"/>
            </w:rPr>
          </w:pPr>
          <w:hyperlink w:anchor="_Toc508181280" w:history="1">
            <w:r w:rsidRPr="00986156">
              <w:rPr>
                <w:rStyle w:val="Hypertextovodkaz"/>
                <w:caps/>
                <w:noProof/>
              </w:rPr>
              <w:t>6.</w:t>
            </w:r>
            <w:r>
              <w:rPr>
                <w:rFonts w:eastAsiaTheme="minorEastAsia"/>
                <w:noProof/>
                <w:lang w:eastAsia="cs-CZ"/>
              </w:rPr>
              <w:tab/>
            </w:r>
            <w:r w:rsidRPr="00986156">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_Toc508181280 \h </w:instrText>
            </w:r>
            <w:r>
              <w:rPr>
                <w:noProof/>
                <w:webHidden/>
              </w:rPr>
            </w:r>
            <w:r>
              <w:rPr>
                <w:noProof/>
                <w:webHidden/>
              </w:rPr>
              <w:fldChar w:fldCharType="separate"/>
            </w:r>
            <w:r>
              <w:rPr>
                <w:noProof/>
                <w:webHidden/>
              </w:rPr>
              <w:t>4</w:t>
            </w:r>
            <w:r>
              <w:rPr>
                <w:noProof/>
                <w:webHidden/>
              </w:rPr>
              <w:fldChar w:fldCharType="end"/>
            </w:r>
          </w:hyperlink>
        </w:p>
        <w:p w:rsidR="00553A23" w:rsidRDefault="00553A23">
          <w:pPr>
            <w:pStyle w:val="Obsah1"/>
            <w:rPr>
              <w:rFonts w:eastAsiaTheme="minorEastAsia"/>
              <w:noProof/>
              <w:lang w:eastAsia="cs-CZ"/>
            </w:rPr>
          </w:pPr>
          <w:hyperlink w:anchor="_Toc508181281" w:history="1">
            <w:r w:rsidRPr="00986156">
              <w:rPr>
                <w:rStyle w:val="Hypertextovodkaz"/>
                <w:caps/>
                <w:noProof/>
              </w:rPr>
              <w:t>7.</w:t>
            </w:r>
            <w:r>
              <w:rPr>
                <w:rFonts w:eastAsiaTheme="minorEastAsia"/>
                <w:noProof/>
                <w:lang w:eastAsia="cs-CZ"/>
              </w:rPr>
              <w:tab/>
            </w:r>
            <w:r w:rsidRPr="00986156">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_Toc508181281 \h </w:instrText>
            </w:r>
            <w:r>
              <w:rPr>
                <w:noProof/>
                <w:webHidden/>
              </w:rPr>
            </w:r>
            <w:r>
              <w:rPr>
                <w:noProof/>
                <w:webHidden/>
              </w:rPr>
              <w:fldChar w:fldCharType="separate"/>
            </w:r>
            <w:r>
              <w:rPr>
                <w:noProof/>
                <w:webHidden/>
              </w:rPr>
              <w:t>5</w:t>
            </w:r>
            <w:r>
              <w:rPr>
                <w:noProof/>
                <w:webHidden/>
              </w:rPr>
              <w:fldChar w:fldCharType="end"/>
            </w:r>
          </w:hyperlink>
        </w:p>
        <w:p w:rsidR="00553A23" w:rsidRDefault="00553A23">
          <w:pPr>
            <w:pStyle w:val="Obsah1"/>
            <w:rPr>
              <w:rFonts w:eastAsiaTheme="minorEastAsia"/>
              <w:noProof/>
              <w:lang w:eastAsia="cs-CZ"/>
            </w:rPr>
          </w:pPr>
          <w:hyperlink w:anchor="_Toc508181282" w:history="1">
            <w:r w:rsidRPr="00986156">
              <w:rPr>
                <w:rStyle w:val="Hypertextovodkaz"/>
                <w:caps/>
                <w:noProof/>
              </w:rPr>
              <w:t>8.</w:t>
            </w:r>
            <w:r>
              <w:rPr>
                <w:rFonts w:eastAsiaTheme="minorEastAsia"/>
                <w:noProof/>
                <w:lang w:eastAsia="cs-CZ"/>
              </w:rPr>
              <w:tab/>
            </w:r>
            <w:r w:rsidRPr="00986156">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_Toc508181282 \h </w:instrText>
            </w:r>
            <w:r>
              <w:rPr>
                <w:noProof/>
                <w:webHidden/>
              </w:rPr>
            </w:r>
            <w:r>
              <w:rPr>
                <w:noProof/>
                <w:webHidden/>
              </w:rPr>
              <w:fldChar w:fldCharType="separate"/>
            </w:r>
            <w:r>
              <w:rPr>
                <w:noProof/>
                <w:webHidden/>
              </w:rPr>
              <w:t>5</w:t>
            </w:r>
            <w:r>
              <w:rPr>
                <w:noProof/>
                <w:webHidden/>
              </w:rPr>
              <w:fldChar w:fldCharType="end"/>
            </w:r>
          </w:hyperlink>
        </w:p>
        <w:p w:rsidR="00553A23" w:rsidRDefault="00553A23">
          <w:pPr>
            <w:pStyle w:val="Obsah1"/>
            <w:rPr>
              <w:rFonts w:eastAsiaTheme="minorEastAsia"/>
              <w:noProof/>
              <w:lang w:eastAsia="cs-CZ"/>
            </w:rPr>
          </w:pPr>
          <w:hyperlink w:anchor="_Toc508181283" w:history="1">
            <w:r w:rsidRPr="00986156">
              <w:rPr>
                <w:rStyle w:val="Hypertextovodkaz"/>
                <w:caps/>
                <w:noProof/>
              </w:rPr>
              <w:t>9.</w:t>
            </w:r>
            <w:r>
              <w:rPr>
                <w:rFonts w:eastAsiaTheme="minorEastAsia"/>
                <w:noProof/>
                <w:lang w:eastAsia="cs-CZ"/>
              </w:rPr>
              <w:tab/>
            </w:r>
            <w:r w:rsidRPr="00986156">
              <w:rPr>
                <w:rStyle w:val="Hypertextovodkaz"/>
                <w:caps/>
                <w:noProof/>
              </w:rPr>
              <w:t>Výstupy projektu</w:t>
            </w:r>
            <w:r>
              <w:rPr>
                <w:noProof/>
                <w:webHidden/>
              </w:rPr>
              <w:tab/>
            </w:r>
            <w:r>
              <w:rPr>
                <w:noProof/>
                <w:webHidden/>
              </w:rPr>
              <w:fldChar w:fldCharType="begin"/>
            </w:r>
            <w:r>
              <w:rPr>
                <w:noProof/>
                <w:webHidden/>
              </w:rPr>
              <w:instrText xml:space="preserve"> PAGEREF _Toc508181283 \h </w:instrText>
            </w:r>
            <w:r>
              <w:rPr>
                <w:noProof/>
                <w:webHidden/>
              </w:rPr>
            </w:r>
            <w:r>
              <w:rPr>
                <w:noProof/>
                <w:webHidden/>
              </w:rPr>
              <w:fldChar w:fldCharType="separate"/>
            </w:r>
            <w:r>
              <w:rPr>
                <w:noProof/>
                <w:webHidden/>
              </w:rPr>
              <w:t>5</w:t>
            </w:r>
            <w:r>
              <w:rPr>
                <w:noProof/>
                <w:webHidden/>
              </w:rPr>
              <w:fldChar w:fldCharType="end"/>
            </w:r>
          </w:hyperlink>
        </w:p>
        <w:p w:rsidR="00553A23" w:rsidRDefault="00553A23">
          <w:pPr>
            <w:pStyle w:val="Obsah1"/>
            <w:rPr>
              <w:rFonts w:eastAsiaTheme="minorEastAsia"/>
              <w:noProof/>
              <w:lang w:eastAsia="cs-CZ"/>
            </w:rPr>
          </w:pPr>
          <w:hyperlink w:anchor="_Toc508181284" w:history="1">
            <w:r w:rsidRPr="00986156">
              <w:rPr>
                <w:rStyle w:val="Hypertextovodkaz"/>
                <w:caps/>
                <w:noProof/>
              </w:rPr>
              <w:t>10.</w:t>
            </w:r>
            <w:r>
              <w:rPr>
                <w:rFonts w:eastAsiaTheme="minorEastAsia"/>
                <w:noProof/>
                <w:lang w:eastAsia="cs-CZ"/>
              </w:rPr>
              <w:tab/>
            </w:r>
            <w:r w:rsidRPr="00986156">
              <w:rPr>
                <w:rStyle w:val="Hypertextovodkaz"/>
                <w:caps/>
                <w:noProof/>
              </w:rPr>
              <w:t>Připravenost projektu k realizaci</w:t>
            </w:r>
            <w:r>
              <w:rPr>
                <w:noProof/>
                <w:webHidden/>
              </w:rPr>
              <w:tab/>
            </w:r>
            <w:r>
              <w:rPr>
                <w:noProof/>
                <w:webHidden/>
              </w:rPr>
              <w:fldChar w:fldCharType="begin"/>
            </w:r>
            <w:r>
              <w:rPr>
                <w:noProof/>
                <w:webHidden/>
              </w:rPr>
              <w:instrText xml:space="preserve"> PAGEREF _Toc508181284 \h </w:instrText>
            </w:r>
            <w:r>
              <w:rPr>
                <w:noProof/>
                <w:webHidden/>
              </w:rPr>
            </w:r>
            <w:r>
              <w:rPr>
                <w:noProof/>
                <w:webHidden/>
              </w:rPr>
              <w:fldChar w:fldCharType="separate"/>
            </w:r>
            <w:r>
              <w:rPr>
                <w:noProof/>
                <w:webHidden/>
              </w:rPr>
              <w:t>5</w:t>
            </w:r>
            <w:r>
              <w:rPr>
                <w:noProof/>
                <w:webHidden/>
              </w:rPr>
              <w:fldChar w:fldCharType="end"/>
            </w:r>
          </w:hyperlink>
        </w:p>
        <w:p w:rsidR="00553A23" w:rsidRDefault="00553A23">
          <w:pPr>
            <w:pStyle w:val="Obsah1"/>
            <w:rPr>
              <w:rFonts w:eastAsiaTheme="minorEastAsia"/>
              <w:noProof/>
              <w:lang w:eastAsia="cs-CZ"/>
            </w:rPr>
          </w:pPr>
          <w:hyperlink w:anchor="_Toc508181285" w:history="1">
            <w:r w:rsidRPr="00986156">
              <w:rPr>
                <w:rStyle w:val="Hypertextovodkaz"/>
                <w:caps/>
                <w:noProof/>
              </w:rPr>
              <w:t>11.</w:t>
            </w:r>
            <w:r>
              <w:rPr>
                <w:rFonts w:eastAsiaTheme="minorEastAsia"/>
                <w:noProof/>
                <w:lang w:eastAsia="cs-CZ"/>
              </w:rPr>
              <w:tab/>
            </w:r>
            <w:r w:rsidRPr="00986156">
              <w:rPr>
                <w:rStyle w:val="Hypertextovodkaz"/>
                <w:caps/>
                <w:noProof/>
              </w:rPr>
              <w:t>Finanční analýza</w:t>
            </w:r>
            <w:r>
              <w:rPr>
                <w:noProof/>
                <w:webHidden/>
              </w:rPr>
              <w:tab/>
            </w:r>
            <w:r>
              <w:rPr>
                <w:noProof/>
                <w:webHidden/>
              </w:rPr>
              <w:fldChar w:fldCharType="begin"/>
            </w:r>
            <w:r>
              <w:rPr>
                <w:noProof/>
                <w:webHidden/>
              </w:rPr>
              <w:instrText xml:space="preserve"> PAGEREF _Toc508181285 \h </w:instrText>
            </w:r>
            <w:r>
              <w:rPr>
                <w:noProof/>
                <w:webHidden/>
              </w:rPr>
            </w:r>
            <w:r>
              <w:rPr>
                <w:noProof/>
                <w:webHidden/>
              </w:rPr>
              <w:fldChar w:fldCharType="separate"/>
            </w:r>
            <w:r>
              <w:rPr>
                <w:noProof/>
                <w:webHidden/>
              </w:rPr>
              <w:t>6</w:t>
            </w:r>
            <w:r>
              <w:rPr>
                <w:noProof/>
                <w:webHidden/>
              </w:rPr>
              <w:fldChar w:fldCharType="end"/>
            </w:r>
          </w:hyperlink>
        </w:p>
        <w:p w:rsidR="00553A23" w:rsidRDefault="00553A23">
          <w:pPr>
            <w:pStyle w:val="Obsah1"/>
            <w:rPr>
              <w:rFonts w:eastAsiaTheme="minorEastAsia"/>
              <w:noProof/>
              <w:lang w:eastAsia="cs-CZ"/>
            </w:rPr>
          </w:pPr>
          <w:hyperlink w:anchor="_Toc508181286" w:history="1">
            <w:r w:rsidRPr="00986156">
              <w:rPr>
                <w:rStyle w:val="Hypertextovodkaz"/>
                <w:caps/>
                <w:noProof/>
              </w:rPr>
              <w:t>12.</w:t>
            </w:r>
            <w:r>
              <w:rPr>
                <w:rFonts w:eastAsiaTheme="minorEastAsia"/>
                <w:noProof/>
                <w:lang w:eastAsia="cs-CZ"/>
              </w:rPr>
              <w:tab/>
            </w:r>
            <w:r w:rsidRPr="00986156">
              <w:rPr>
                <w:rStyle w:val="Hypertextovodkaz"/>
                <w:caps/>
                <w:noProof/>
              </w:rPr>
              <w:t>Analýza a řízení rizik</w:t>
            </w:r>
            <w:r>
              <w:rPr>
                <w:noProof/>
                <w:webHidden/>
              </w:rPr>
              <w:tab/>
            </w:r>
            <w:r>
              <w:rPr>
                <w:noProof/>
                <w:webHidden/>
              </w:rPr>
              <w:fldChar w:fldCharType="begin"/>
            </w:r>
            <w:r>
              <w:rPr>
                <w:noProof/>
                <w:webHidden/>
              </w:rPr>
              <w:instrText xml:space="preserve"> PAGEREF _Toc508181286 \h </w:instrText>
            </w:r>
            <w:r>
              <w:rPr>
                <w:noProof/>
                <w:webHidden/>
              </w:rPr>
            </w:r>
            <w:r>
              <w:rPr>
                <w:noProof/>
                <w:webHidden/>
              </w:rPr>
              <w:fldChar w:fldCharType="separate"/>
            </w:r>
            <w:r>
              <w:rPr>
                <w:noProof/>
                <w:webHidden/>
              </w:rPr>
              <w:t>7</w:t>
            </w:r>
            <w:r>
              <w:rPr>
                <w:noProof/>
                <w:webHidden/>
              </w:rPr>
              <w:fldChar w:fldCharType="end"/>
            </w:r>
          </w:hyperlink>
        </w:p>
        <w:p w:rsidR="00553A23" w:rsidRDefault="00553A23">
          <w:pPr>
            <w:pStyle w:val="Obsah1"/>
            <w:rPr>
              <w:rFonts w:eastAsiaTheme="minorEastAsia"/>
              <w:noProof/>
              <w:lang w:eastAsia="cs-CZ"/>
            </w:rPr>
          </w:pPr>
          <w:hyperlink w:anchor="_Toc508181287" w:history="1">
            <w:r w:rsidRPr="00986156">
              <w:rPr>
                <w:rStyle w:val="Hypertextovodkaz"/>
                <w:caps/>
                <w:noProof/>
              </w:rPr>
              <w:t>13.</w:t>
            </w:r>
            <w:r>
              <w:rPr>
                <w:rFonts w:eastAsiaTheme="minorEastAsia"/>
                <w:noProof/>
                <w:lang w:eastAsia="cs-CZ"/>
              </w:rPr>
              <w:tab/>
            </w:r>
            <w:r w:rsidRPr="00986156">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_Toc508181287 \h </w:instrText>
            </w:r>
            <w:r>
              <w:rPr>
                <w:noProof/>
                <w:webHidden/>
              </w:rPr>
            </w:r>
            <w:r>
              <w:rPr>
                <w:noProof/>
                <w:webHidden/>
              </w:rPr>
              <w:fldChar w:fldCharType="separate"/>
            </w:r>
            <w:r>
              <w:rPr>
                <w:noProof/>
                <w:webHidden/>
              </w:rPr>
              <w:t>8</w:t>
            </w:r>
            <w:r>
              <w:rPr>
                <w:noProof/>
                <w:webHidden/>
              </w:rPr>
              <w:fldChar w:fldCharType="end"/>
            </w:r>
          </w:hyperlink>
        </w:p>
        <w:p w:rsidR="00553A23" w:rsidRDefault="00553A23">
          <w:pPr>
            <w:pStyle w:val="Obsah1"/>
            <w:rPr>
              <w:rFonts w:eastAsiaTheme="minorEastAsia"/>
              <w:noProof/>
              <w:lang w:eastAsia="cs-CZ"/>
            </w:rPr>
          </w:pPr>
          <w:hyperlink w:anchor="_Toc508181288" w:history="1">
            <w:r w:rsidRPr="00986156">
              <w:rPr>
                <w:rStyle w:val="Hypertextovodkaz"/>
                <w:caps/>
                <w:noProof/>
              </w:rPr>
              <w:t>14.</w:t>
            </w:r>
            <w:r>
              <w:rPr>
                <w:rFonts w:eastAsiaTheme="minorEastAsia"/>
                <w:noProof/>
                <w:lang w:eastAsia="cs-CZ"/>
              </w:rPr>
              <w:tab/>
            </w:r>
            <w:r w:rsidRPr="00986156">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_Toc508181288 \h </w:instrText>
            </w:r>
            <w:r>
              <w:rPr>
                <w:noProof/>
                <w:webHidden/>
              </w:rPr>
            </w:r>
            <w:r>
              <w:rPr>
                <w:noProof/>
                <w:webHidden/>
              </w:rPr>
              <w:fldChar w:fldCharType="separate"/>
            </w:r>
            <w:r>
              <w:rPr>
                <w:noProof/>
                <w:webHidden/>
              </w:rPr>
              <w:t>8</w:t>
            </w:r>
            <w:r>
              <w:rPr>
                <w:noProof/>
                <w:webHidden/>
              </w:rPr>
              <w:fldChar w:fldCharType="end"/>
            </w:r>
          </w:hyperlink>
        </w:p>
        <w:p w:rsidR="00553A23" w:rsidRDefault="00553A23">
          <w:pPr>
            <w:pStyle w:val="Obsah1"/>
            <w:rPr>
              <w:rFonts w:eastAsiaTheme="minorEastAsia"/>
              <w:noProof/>
              <w:lang w:eastAsia="cs-CZ"/>
            </w:rPr>
          </w:pPr>
          <w:hyperlink w:anchor="_Toc508181289" w:history="1">
            <w:r w:rsidRPr="00986156">
              <w:rPr>
                <w:rStyle w:val="Hypertextovodkaz"/>
                <w:caps/>
                <w:noProof/>
              </w:rPr>
              <w:t>15.</w:t>
            </w:r>
            <w:r>
              <w:rPr>
                <w:rFonts w:eastAsiaTheme="minorEastAsia"/>
                <w:noProof/>
                <w:lang w:eastAsia="cs-CZ"/>
              </w:rPr>
              <w:tab/>
            </w:r>
            <w:r w:rsidRPr="00986156">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_Toc508181289 \h </w:instrText>
            </w:r>
            <w:r>
              <w:rPr>
                <w:noProof/>
                <w:webHidden/>
              </w:rPr>
            </w:r>
            <w:r>
              <w:rPr>
                <w:noProof/>
                <w:webHidden/>
              </w:rPr>
              <w:fldChar w:fldCharType="separate"/>
            </w:r>
            <w:r>
              <w:rPr>
                <w:noProof/>
                <w:webHidden/>
              </w:rPr>
              <w:t>8</w:t>
            </w:r>
            <w:r>
              <w:rPr>
                <w:noProof/>
                <w:webHidden/>
              </w:rPr>
              <w:fldChar w:fldCharType="end"/>
            </w:r>
          </w:hyperlink>
        </w:p>
        <w:p w:rsidR="00553A23" w:rsidRDefault="00553A23">
          <w:pPr>
            <w:pStyle w:val="Obsah1"/>
            <w:rPr>
              <w:rFonts w:eastAsiaTheme="minorEastAsia"/>
              <w:noProof/>
              <w:lang w:eastAsia="cs-CZ"/>
            </w:rPr>
          </w:pPr>
          <w:hyperlink w:anchor="_Toc508181290" w:history="1">
            <w:r w:rsidRPr="00986156">
              <w:rPr>
                <w:rStyle w:val="Hypertextovodkaz"/>
                <w:caps/>
                <w:noProof/>
              </w:rPr>
              <w:t>16.</w:t>
            </w:r>
            <w:r>
              <w:rPr>
                <w:rFonts w:eastAsiaTheme="minorEastAsia"/>
                <w:noProof/>
                <w:lang w:eastAsia="cs-CZ"/>
              </w:rPr>
              <w:tab/>
            </w:r>
            <w:r w:rsidRPr="00986156">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_Toc508181290 \h </w:instrText>
            </w:r>
            <w:r>
              <w:rPr>
                <w:noProof/>
                <w:webHidden/>
              </w:rPr>
            </w:r>
            <w:r>
              <w:rPr>
                <w:noProof/>
                <w:webHidden/>
              </w:rPr>
              <w:fldChar w:fldCharType="separate"/>
            </w:r>
            <w:r>
              <w:rPr>
                <w:noProof/>
                <w:webHidden/>
              </w:rPr>
              <w:t>10</w:t>
            </w:r>
            <w:r>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1" w:name="_Toc508181276"/>
      <w:r w:rsidRPr="004A323F">
        <w:rPr>
          <w:caps/>
        </w:rPr>
        <w:lastRenderedPageBreak/>
        <w:t>ÚVODNÍ INFORMACE</w:t>
      </w:r>
      <w:bookmarkEnd w:id="1"/>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2" w:name="_Toc508181277"/>
      <w:r w:rsidRPr="004A323F">
        <w:rPr>
          <w:caps/>
        </w:rPr>
        <w:t>ZÁKLADNÍ INFORMACE</w:t>
      </w:r>
      <w:r w:rsidR="00634381" w:rsidRPr="004A323F">
        <w:rPr>
          <w:caps/>
        </w:rPr>
        <w:t xml:space="preserve"> O ŽADATELI</w:t>
      </w:r>
      <w:bookmarkEnd w:id="2"/>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3" w:name="_Toc508181278"/>
      <w:r w:rsidRPr="004A323F">
        <w:rPr>
          <w:caps/>
        </w:rPr>
        <w:t>Charakteristika projektu a jeho soulad s programem</w:t>
      </w:r>
      <w:bookmarkEnd w:id="3"/>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w:t>
      </w:r>
      <w:bookmarkStart w:id="4" w:name="_GoBack"/>
      <w:bookmarkEnd w:id="4"/>
      <w:r w:rsidRPr="00CB00F0">
        <w:t xml:space="preserve">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7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r w:rsidR="00ED00BC">
        <w:t>979</w:t>
      </w:r>
      <w:r w:rsidR="00060650" w:rsidRPr="003A0A83">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8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81"/>
      <w:r w:rsidRPr="004A323F">
        <w:rPr>
          <w:caps/>
        </w:rPr>
        <w:lastRenderedPageBreak/>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8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3A0A83">
      <w:pPr>
        <w:pStyle w:val="Odstavecseseznamem"/>
        <w:numPr>
          <w:ilvl w:val="1"/>
          <w:numId w:val="38"/>
        </w:numPr>
        <w:jc w:val="both"/>
      </w:pPr>
      <w:r w:rsidRPr="00B50ADD">
        <w:t>stavební připravenost projektu (pokud je relevantní),</w:t>
      </w:r>
    </w:p>
    <w:p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8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84"/>
      <w:r w:rsidRPr="004A323F">
        <w:rPr>
          <w:caps/>
        </w:rPr>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8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86"/>
      <w:r w:rsidRPr="004A323F">
        <w:rPr>
          <w:caps/>
        </w:rPr>
        <w:lastRenderedPageBreak/>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8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8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rsidR="000852DF" w:rsidRPr="00BC0C93" w:rsidRDefault="006B3982" w:rsidP="00E97781">
      <w:pPr>
        <w:pStyle w:val="Nadpis1"/>
        <w:numPr>
          <w:ilvl w:val="0"/>
          <w:numId w:val="14"/>
        </w:numPr>
        <w:ind w:left="470" w:hanging="357"/>
        <w:jc w:val="both"/>
        <w:rPr>
          <w:caps/>
        </w:rPr>
      </w:pPr>
      <w:bookmarkStart w:id="19" w:name="_Toc50818128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90"/>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53A23">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53A23">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D11D1-C560-416B-8DB2-8FFAF49B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2378</Words>
  <Characters>14036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Pekárek Aleš</cp:lastModifiedBy>
  <cp:revision>49</cp:revision>
  <cp:lastPrinted>2016-05-18T06:50:00Z</cp:lastPrinted>
  <dcterms:created xsi:type="dcterms:W3CDTF">2016-05-26T06:34:00Z</dcterms:created>
  <dcterms:modified xsi:type="dcterms:W3CDTF">2018-03-07T09:21:00Z</dcterms:modified>
</cp:coreProperties>
</file>