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5DD311" w14:textId="77777777" w:rsidR="00F31ED0" w:rsidRPr="006E599E" w:rsidRDefault="00F31ED0" w:rsidP="00974847">
      <w:pPr>
        <w:spacing w:before="720" w:after="0"/>
        <w:jc w:val="center"/>
        <w:rPr>
          <w:rFonts w:cs="Arial"/>
          <w:b/>
          <w:bCs/>
          <w:caps/>
          <w:color w:val="2F5496" w:themeColor="accent5" w:themeShade="BF"/>
          <w:sz w:val="56"/>
          <w:szCs w:val="56"/>
          <w:lang w:val="cs-CZ"/>
        </w:rPr>
      </w:pPr>
      <w:r w:rsidRPr="006E599E">
        <w:rPr>
          <w:rFonts w:cs="Arial"/>
          <w:b/>
          <w:caps/>
          <w:noProof/>
          <w:color w:val="2F5496" w:themeColor="accent5" w:themeShade="BF"/>
          <w:sz w:val="60"/>
          <w:szCs w:val="60"/>
          <w:lang w:val="cs-CZ" w:eastAsia="cs-CZ"/>
        </w:rPr>
        <w:drawing>
          <wp:anchor distT="0" distB="0" distL="114300" distR="114300" simplePos="0" relativeHeight="251659264" behindDoc="0" locked="0" layoutInCell="1" allowOverlap="1" wp14:anchorId="3D4CE2E4" wp14:editId="49A92808">
            <wp:simplePos x="0" y="0"/>
            <wp:positionH relativeFrom="margin">
              <wp:posOffset>965835</wp:posOffset>
            </wp:positionH>
            <wp:positionV relativeFrom="margin">
              <wp:posOffset>25400</wp:posOffset>
            </wp:positionV>
            <wp:extent cx="3829050" cy="279016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extLst>
                        <a:ext uri="{28A0092B-C50C-407E-A947-70E740481C1C}">
                          <a14:useLocalDpi xmlns:a14="http://schemas.microsoft.com/office/drawing/2010/main" val="0"/>
                        </a:ext>
                      </a:extLst>
                    </a:blip>
                    <a:srcRect t="14516" b="12634"/>
                    <a:stretch>
                      <a:fillRect/>
                    </a:stretch>
                  </pic:blipFill>
                  <pic:spPr>
                    <a:xfrm>
                      <a:off x="0" y="0"/>
                      <a:ext cx="3829050" cy="2790160"/>
                    </a:xfrm>
                    <a:prstGeom prst="rect">
                      <a:avLst/>
                    </a:prstGeom>
                    <a:ln/>
                  </pic:spPr>
                </pic:pic>
              </a:graphicData>
            </a:graphic>
          </wp:anchor>
        </w:drawing>
      </w:r>
      <w:r w:rsidRPr="006E599E">
        <w:rPr>
          <w:rFonts w:cs="Arial"/>
          <w:b/>
          <w:bCs/>
          <w:caps/>
          <w:color w:val="2F5496" w:themeColor="accent5" w:themeShade="BF"/>
          <w:sz w:val="60"/>
          <w:szCs w:val="60"/>
          <w:lang w:val="cs-CZ"/>
        </w:rPr>
        <w:t xml:space="preserve"> </w:t>
      </w:r>
      <w:r w:rsidRPr="006E599E">
        <w:rPr>
          <w:rFonts w:cs="Arial"/>
          <w:b/>
          <w:bCs/>
          <w:caps/>
          <w:color w:val="2F5496" w:themeColor="accent5" w:themeShade="BF"/>
          <w:sz w:val="56"/>
          <w:szCs w:val="56"/>
          <w:lang w:val="cs-CZ"/>
        </w:rPr>
        <w:t>Integrovaný regionální operační program</w:t>
      </w:r>
    </w:p>
    <w:p w14:paraId="5C771136" w14:textId="77777777" w:rsidR="00F31ED0" w:rsidRPr="006E599E" w:rsidRDefault="00F31ED0" w:rsidP="00F31ED0">
      <w:pPr>
        <w:spacing w:before="0" w:after="60" w:line="240" w:lineRule="auto"/>
        <w:jc w:val="center"/>
        <w:rPr>
          <w:b/>
          <w:color w:val="0B5394"/>
          <w:sz w:val="56"/>
          <w:szCs w:val="56"/>
          <w:lang w:val="cs-CZ"/>
        </w:rPr>
      </w:pPr>
      <w:r w:rsidRPr="006E599E">
        <w:rPr>
          <w:b/>
          <w:color w:val="0B5394"/>
          <w:sz w:val="56"/>
          <w:szCs w:val="56"/>
          <w:lang w:val="cs-CZ"/>
        </w:rPr>
        <w:t>2021–2027</w:t>
      </w:r>
    </w:p>
    <w:p w14:paraId="5EDC1CE2" w14:textId="011A348C" w:rsidR="00F31ED0" w:rsidRPr="006E599E" w:rsidRDefault="003F42A1" w:rsidP="007B3F0A">
      <w:pPr>
        <w:spacing w:before="840" w:after="0"/>
        <w:jc w:val="center"/>
        <w:rPr>
          <w:rFonts w:cs="Arial"/>
          <w:b/>
          <w:bCs/>
          <w:caps/>
          <w:color w:val="2F5496" w:themeColor="accent5" w:themeShade="BF"/>
          <w:sz w:val="56"/>
          <w:szCs w:val="56"/>
          <w:lang w:val="cs-CZ"/>
        </w:rPr>
      </w:pPr>
      <w:r w:rsidRPr="006E599E">
        <w:rPr>
          <w:rFonts w:cs="Arial"/>
          <w:b/>
          <w:bCs/>
          <w:color w:val="2F5496" w:themeColor="accent5" w:themeShade="BF"/>
          <w:sz w:val="56"/>
          <w:szCs w:val="56"/>
          <w:lang w:val="cs-CZ"/>
        </w:rPr>
        <w:t>OBECNÁ PRAVIDLA PRO ŽADATELE A PŘÍJEMCE</w:t>
      </w:r>
      <w:r w:rsidRPr="006E599E" w:rsidDel="003F42A1">
        <w:rPr>
          <w:rFonts w:cs="Arial"/>
          <w:b/>
          <w:bCs/>
          <w:caps/>
          <w:color w:val="2F5496" w:themeColor="accent5" w:themeShade="BF"/>
          <w:sz w:val="56"/>
          <w:szCs w:val="56"/>
          <w:lang w:val="cs-CZ"/>
        </w:rPr>
        <w:t xml:space="preserve"> </w:t>
      </w:r>
    </w:p>
    <w:p w14:paraId="571FD10C" w14:textId="77777777" w:rsidR="006A07B0" w:rsidRDefault="006A07B0" w:rsidP="006E599E">
      <w:pPr>
        <w:spacing w:before="240" w:after="0"/>
        <w:jc w:val="center"/>
        <w:rPr>
          <w:rFonts w:cs="Arial"/>
          <w:b/>
          <w:bCs/>
          <w:caps/>
          <w:color w:val="2F5496" w:themeColor="accent5" w:themeShade="BF"/>
          <w:sz w:val="52"/>
          <w:szCs w:val="56"/>
          <w:lang w:val="cs-CZ"/>
        </w:rPr>
      </w:pPr>
    </w:p>
    <w:p w14:paraId="14967F0E" w14:textId="42692792" w:rsidR="007B3F0A" w:rsidRPr="006E599E" w:rsidRDefault="002454E3" w:rsidP="006E599E">
      <w:pPr>
        <w:spacing w:before="240" w:after="0"/>
        <w:jc w:val="center"/>
        <w:rPr>
          <w:rFonts w:cs="Arial"/>
          <w:b/>
          <w:bCs/>
          <w:caps/>
          <w:color w:val="2F5496" w:themeColor="accent5" w:themeShade="BF"/>
          <w:sz w:val="52"/>
          <w:szCs w:val="56"/>
          <w:lang w:val="cs-CZ"/>
        </w:rPr>
      </w:pPr>
      <w:r w:rsidRPr="006E599E">
        <w:rPr>
          <w:rFonts w:cs="Arial"/>
          <w:b/>
          <w:caps/>
          <w:noProof/>
          <w:color w:val="2F5496" w:themeColor="accent5" w:themeShade="BF"/>
          <w:sz w:val="52"/>
          <w:szCs w:val="56"/>
          <w:lang w:val="cs-CZ" w:eastAsia="cs-CZ"/>
        </w:rPr>
        <w:drawing>
          <wp:anchor distT="0" distB="0" distL="114300" distR="114300" simplePos="0" relativeHeight="251658240" behindDoc="0" locked="0" layoutInCell="1" allowOverlap="1" wp14:anchorId="6E3BBA7F" wp14:editId="6E15CE36">
            <wp:simplePos x="0" y="0"/>
            <wp:positionH relativeFrom="margin">
              <wp:align>center</wp:align>
            </wp:positionH>
            <wp:positionV relativeFrom="margin">
              <wp:align>top</wp:align>
            </wp:positionV>
            <wp:extent cx="3829050" cy="279016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extLst>
                        <a:ext uri="{28A0092B-C50C-407E-A947-70E740481C1C}">
                          <a14:useLocalDpi xmlns:a14="http://schemas.microsoft.com/office/drawing/2010/main" val="0"/>
                        </a:ext>
                      </a:extLst>
                    </a:blip>
                    <a:srcRect t="14516" b="12634"/>
                    <a:stretch>
                      <a:fillRect/>
                    </a:stretch>
                  </pic:blipFill>
                  <pic:spPr>
                    <a:xfrm>
                      <a:off x="0" y="0"/>
                      <a:ext cx="3829050" cy="2790160"/>
                    </a:xfrm>
                    <a:prstGeom prst="rect">
                      <a:avLst/>
                    </a:prstGeom>
                    <a:ln/>
                  </pic:spPr>
                </pic:pic>
              </a:graphicData>
            </a:graphic>
          </wp:anchor>
        </w:drawing>
      </w:r>
      <w:r w:rsidR="00F31ED0" w:rsidRPr="006E599E">
        <w:rPr>
          <w:rFonts w:cs="Arial"/>
          <w:b/>
          <w:bCs/>
          <w:caps/>
          <w:color w:val="2F5496" w:themeColor="accent5" w:themeShade="BF"/>
          <w:sz w:val="52"/>
          <w:szCs w:val="56"/>
          <w:lang w:val="cs-CZ"/>
        </w:rPr>
        <w:t xml:space="preserve">PŘÍLOHA </w:t>
      </w:r>
      <w:r w:rsidR="003F42A1" w:rsidRPr="006E599E">
        <w:rPr>
          <w:rFonts w:cs="Arial"/>
          <w:b/>
          <w:bCs/>
          <w:caps/>
          <w:color w:val="2F5496" w:themeColor="accent5" w:themeShade="BF"/>
          <w:sz w:val="52"/>
          <w:szCs w:val="56"/>
          <w:lang w:val="cs-CZ"/>
        </w:rPr>
        <w:t>1</w:t>
      </w:r>
    </w:p>
    <w:p w14:paraId="30DB0D13" w14:textId="2C77CD7F" w:rsidR="00800DF2" w:rsidRPr="006E599E" w:rsidRDefault="007B3F0A" w:rsidP="00F31ED0">
      <w:pPr>
        <w:spacing w:before="240" w:after="0"/>
        <w:jc w:val="center"/>
        <w:rPr>
          <w:rFonts w:cs="Arial"/>
          <w:b/>
          <w:bCs/>
          <w:i/>
          <w:iCs/>
          <w:caps/>
          <w:color w:val="2F5496" w:themeColor="accent5" w:themeShade="BF"/>
          <w:sz w:val="52"/>
          <w:szCs w:val="56"/>
          <w:lang w:val="cs-CZ"/>
        </w:rPr>
      </w:pPr>
      <w:r w:rsidRPr="006E599E">
        <w:rPr>
          <w:rFonts w:cs="Arial"/>
          <w:b/>
          <w:bCs/>
          <w:i/>
          <w:iCs/>
          <w:caps/>
          <w:color w:val="2F5496" w:themeColor="accent5" w:themeShade="BF"/>
          <w:sz w:val="52"/>
          <w:szCs w:val="56"/>
          <w:lang w:val="cs-CZ"/>
        </w:rPr>
        <w:t>FINANČNÍ OPRAVY ZA NEDODRŽENÍ POSTUPU STANOVENÉHO V ZZVZ A V MPZ</w:t>
      </w:r>
    </w:p>
    <w:p w14:paraId="691AB83F" w14:textId="3F397109" w:rsidR="004C3244" w:rsidRDefault="00496E8A" w:rsidP="00F31ED0">
      <w:pPr>
        <w:spacing w:before="240" w:after="0"/>
        <w:jc w:val="center"/>
        <w:rPr>
          <w:rFonts w:cs="Arial"/>
          <w:b/>
          <w:bCs/>
          <w:caps/>
          <w:color w:val="2F5496" w:themeColor="accent5" w:themeShade="BF"/>
          <w:sz w:val="24"/>
          <w:szCs w:val="28"/>
          <w:lang w:val="cs-CZ"/>
        </w:rPr>
        <w:sectPr w:rsidR="004C3244" w:rsidSect="004C3244">
          <w:footerReference w:type="default" r:id="rId10"/>
          <w:headerReference w:type="first" r:id="rId11"/>
          <w:pgSz w:w="11906" w:h="16838"/>
          <w:pgMar w:top="1417" w:right="1417" w:bottom="1417" w:left="1417" w:header="709" w:footer="708" w:gutter="0"/>
          <w:cols w:space="708"/>
          <w:docGrid w:linePitch="360"/>
        </w:sectPr>
      </w:pPr>
      <w:r w:rsidRPr="006E599E">
        <w:rPr>
          <w:rFonts w:cs="Arial"/>
          <w:b/>
          <w:bCs/>
          <w:caps/>
          <w:color w:val="2F5496" w:themeColor="accent5" w:themeShade="BF"/>
          <w:sz w:val="24"/>
          <w:szCs w:val="28"/>
          <w:lang w:val="cs-CZ"/>
        </w:rPr>
        <w:t>verze 1</w:t>
      </w:r>
    </w:p>
    <w:p w14:paraId="26E8AA1B" w14:textId="77777777" w:rsidR="006E599E" w:rsidRPr="006E599E" w:rsidRDefault="006E599E" w:rsidP="006E599E">
      <w:pPr>
        <w:pStyle w:val="Nadpis1"/>
        <w:numPr>
          <w:ilvl w:val="0"/>
          <w:numId w:val="16"/>
        </w:numPr>
        <w:ind w:left="567" w:hanging="510"/>
        <w:rPr>
          <w:lang w:val="cs-CZ"/>
        </w:rPr>
      </w:pPr>
      <w:r w:rsidRPr="006E599E">
        <w:rPr>
          <w:lang w:val="cs-CZ"/>
        </w:rPr>
        <w:lastRenderedPageBreak/>
        <w:t>Úvod</w:t>
      </w:r>
    </w:p>
    <w:p w14:paraId="46D2A71F" w14:textId="08AA9037" w:rsidR="006E599E" w:rsidRPr="006E599E" w:rsidRDefault="006E599E" w:rsidP="006E599E">
      <w:pPr>
        <w:pStyle w:val="Zkladntext"/>
        <w:tabs>
          <w:tab w:val="left" w:pos="1710"/>
        </w:tabs>
        <w:spacing w:before="120" w:after="120" w:line="60" w:lineRule="atLeast"/>
        <w:jc w:val="both"/>
        <w:rPr>
          <w:rFonts w:ascii="Arial" w:hAnsi="Arial" w:cs="Arial"/>
          <w:i w:val="0"/>
          <w:sz w:val="22"/>
          <w:szCs w:val="22"/>
        </w:rPr>
      </w:pPr>
      <w:r w:rsidRPr="006E599E">
        <w:rPr>
          <w:rFonts w:ascii="Arial" w:hAnsi="Arial" w:cs="Arial"/>
          <w:i w:val="0"/>
          <w:sz w:val="22"/>
          <w:szCs w:val="22"/>
        </w:rPr>
        <w:t>Odchylně od ustanovení kapitoly 1. Úvod Obecných pravidel pro žadatele a příjemce je aktuální znění této přílohy platné pro všechny žádosti o podporu bez ohledu na datum jejich podání</w:t>
      </w:r>
      <w:r w:rsidR="008C6070">
        <w:rPr>
          <w:rStyle w:val="Znakapoznpodarou"/>
          <w:rFonts w:ascii="Arial" w:hAnsi="Arial" w:cs="Arial"/>
          <w:i w:val="0"/>
          <w:sz w:val="22"/>
          <w:szCs w:val="22"/>
        </w:rPr>
        <w:footnoteReference w:id="1"/>
      </w:r>
      <w:r w:rsidRPr="006E599E">
        <w:rPr>
          <w:rFonts w:ascii="Arial" w:hAnsi="Arial" w:cs="Arial"/>
          <w:i w:val="0"/>
          <w:sz w:val="22"/>
          <w:szCs w:val="22"/>
        </w:rPr>
        <w:t xml:space="preserve">. </w:t>
      </w:r>
    </w:p>
    <w:p w14:paraId="6B3C1FD1" w14:textId="625EEBD4" w:rsidR="00E90880" w:rsidRDefault="006E599E" w:rsidP="006E599E">
      <w:pPr>
        <w:pStyle w:val="Zkladntext"/>
        <w:tabs>
          <w:tab w:val="left" w:pos="1710"/>
        </w:tabs>
        <w:spacing w:before="120" w:after="120" w:line="60" w:lineRule="atLeast"/>
        <w:jc w:val="both"/>
        <w:rPr>
          <w:rFonts w:ascii="Arial" w:hAnsi="Arial" w:cs="Arial"/>
          <w:b w:val="0"/>
          <w:i w:val="0"/>
          <w:sz w:val="22"/>
          <w:szCs w:val="22"/>
        </w:rPr>
      </w:pPr>
      <w:r w:rsidRPr="006E599E">
        <w:rPr>
          <w:rFonts w:ascii="Arial" w:hAnsi="Arial" w:cs="Arial"/>
          <w:b w:val="0"/>
          <w:i w:val="0"/>
          <w:sz w:val="22"/>
          <w:szCs w:val="22"/>
        </w:rPr>
        <w:t xml:space="preserve">Finanční opravy za nedodržení postupu stanoveného v zákoně č. 134/2016 Sb., o zadávání veřejných zakázek (dále jen „ZZVZ“) a v Metodickém pokynu pro oblast zadávání zakázek pro programové období </w:t>
      </w:r>
      <w:r w:rsidR="00EA2784" w:rsidRPr="006E599E">
        <w:rPr>
          <w:rFonts w:ascii="Arial" w:hAnsi="Arial" w:cs="Arial"/>
          <w:b w:val="0"/>
          <w:i w:val="0"/>
          <w:sz w:val="22"/>
          <w:szCs w:val="22"/>
        </w:rPr>
        <w:t>2021–2027</w:t>
      </w:r>
      <w:r w:rsidRPr="006E599E">
        <w:rPr>
          <w:rFonts w:ascii="Arial" w:hAnsi="Arial" w:cs="Arial"/>
          <w:b w:val="0"/>
          <w:i w:val="0"/>
          <w:sz w:val="22"/>
          <w:szCs w:val="22"/>
        </w:rPr>
        <w:t xml:space="preserve"> (dále jen „MPZ“)</w:t>
      </w:r>
      <w:r w:rsidR="00526EFD">
        <w:rPr>
          <w:rFonts w:ascii="Arial" w:hAnsi="Arial" w:cs="Arial"/>
          <w:b w:val="0"/>
          <w:i w:val="0"/>
          <w:sz w:val="22"/>
          <w:szCs w:val="22"/>
        </w:rPr>
        <w:t xml:space="preserve"> (dále jen „porušení“)</w:t>
      </w:r>
      <w:r w:rsidRPr="006E599E">
        <w:rPr>
          <w:rFonts w:ascii="Arial" w:hAnsi="Arial" w:cs="Arial"/>
          <w:b w:val="0"/>
          <w:i w:val="0"/>
          <w:sz w:val="22"/>
          <w:szCs w:val="22"/>
        </w:rPr>
        <w:t xml:space="preserve"> mohou být uplatněny</w:t>
      </w:r>
      <w:r w:rsidR="009A48D4">
        <w:rPr>
          <w:rFonts w:ascii="Arial" w:hAnsi="Arial" w:cs="Arial"/>
          <w:b w:val="0"/>
          <w:i w:val="0"/>
          <w:sz w:val="22"/>
          <w:szCs w:val="22"/>
        </w:rPr>
        <w:t xml:space="preserve">, </w:t>
      </w:r>
      <w:r w:rsidR="009A48D4" w:rsidRPr="009A48D4">
        <w:rPr>
          <w:rFonts w:ascii="Arial" w:hAnsi="Arial" w:cs="Arial"/>
          <w:b w:val="0"/>
          <w:i w:val="0"/>
          <w:sz w:val="22"/>
          <w:szCs w:val="22"/>
        </w:rPr>
        <w:t xml:space="preserve">pokud vzhledem k povaze </w:t>
      </w:r>
      <w:r w:rsidR="009A48D4">
        <w:rPr>
          <w:rFonts w:ascii="Arial" w:hAnsi="Arial" w:cs="Arial"/>
          <w:b w:val="0"/>
          <w:i w:val="0"/>
          <w:sz w:val="22"/>
          <w:szCs w:val="22"/>
        </w:rPr>
        <w:t>porušení</w:t>
      </w:r>
      <w:r w:rsidR="009A48D4" w:rsidRPr="009A48D4">
        <w:rPr>
          <w:rFonts w:ascii="Arial" w:hAnsi="Arial" w:cs="Arial"/>
          <w:b w:val="0"/>
          <w:i w:val="0"/>
          <w:sz w:val="22"/>
          <w:szCs w:val="22"/>
        </w:rPr>
        <w:t xml:space="preserve"> není možné finanční dopad přesně vyčíslit</w:t>
      </w:r>
      <w:r w:rsidR="009A48D4">
        <w:rPr>
          <w:rFonts w:ascii="Arial" w:hAnsi="Arial" w:cs="Arial"/>
          <w:b w:val="0"/>
          <w:i w:val="0"/>
          <w:sz w:val="22"/>
          <w:szCs w:val="22"/>
        </w:rPr>
        <w:t>,</w:t>
      </w:r>
      <w:r w:rsidR="007123D7">
        <w:rPr>
          <w:rFonts w:ascii="Arial" w:hAnsi="Arial" w:cs="Arial"/>
          <w:b w:val="0"/>
          <w:i w:val="0"/>
          <w:sz w:val="22"/>
          <w:szCs w:val="22"/>
        </w:rPr>
        <w:t xml:space="preserve"> na základě stupnice paušálních sazeb </w:t>
      </w:r>
      <w:r w:rsidRPr="006E599E">
        <w:rPr>
          <w:rFonts w:ascii="Arial" w:hAnsi="Arial" w:cs="Arial"/>
          <w:b w:val="0"/>
          <w:i w:val="0"/>
          <w:sz w:val="22"/>
          <w:szCs w:val="22"/>
        </w:rPr>
        <w:t xml:space="preserve">v souladu s pokyny Evropské komise, které jsou přílohou rozhodnutí Evropské komise C(2019) 3452 ze dne 14. 5. 2019. </w:t>
      </w:r>
      <w:r w:rsidR="007123D7" w:rsidRPr="00507179">
        <w:rPr>
          <w:rFonts w:ascii="Arial" w:hAnsi="Arial" w:cs="Arial"/>
          <w:b w:val="0"/>
          <w:i w:val="0"/>
          <w:sz w:val="22"/>
          <w:szCs w:val="22"/>
        </w:rPr>
        <w:t>Za účelem zajištění zásady přiměřenosti zváží Centrum/ŘO IROP při rozhodování o finanční opravě povahu a závažnost porušení</w:t>
      </w:r>
      <w:r w:rsidR="007123D7">
        <w:rPr>
          <w:rFonts w:ascii="Arial" w:hAnsi="Arial" w:cs="Arial"/>
          <w:b w:val="0"/>
          <w:i w:val="0"/>
          <w:sz w:val="22"/>
          <w:szCs w:val="22"/>
        </w:rPr>
        <w:t>, což</w:t>
      </w:r>
      <w:r w:rsidR="00507179" w:rsidRPr="00507179">
        <w:rPr>
          <w:rFonts w:ascii="Arial" w:hAnsi="Arial" w:cs="Arial"/>
          <w:b w:val="0"/>
          <w:i w:val="0"/>
          <w:sz w:val="22"/>
          <w:szCs w:val="22"/>
        </w:rPr>
        <w:t xml:space="preserve"> znamená, že finanční opravy provedené na základě stupnice paušálních sazeb uvedených v oddíle 2 těchto pokynů (</w:t>
      </w:r>
      <w:r w:rsidR="007123D7">
        <w:rPr>
          <w:rFonts w:ascii="Arial" w:hAnsi="Arial" w:cs="Arial"/>
          <w:b w:val="0"/>
          <w:i w:val="0"/>
          <w:sz w:val="22"/>
          <w:szCs w:val="22"/>
        </w:rPr>
        <w:t>2</w:t>
      </w:r>
      <w:r w:rsidR="00EA2784">
        <w:rPr>
          <w:rFonts w:ascii="Arial" w:hAnsi="Arial" w:cs="Arial"/>
          <w:b w:val="0"/>
          <w:i w:val="0"/>
          <w:sz w:val="22"/>
          <w:szCs w:val="22"/>
        </w:rPr>
        <w:t xml:space="preserve"> </w:t>
      </w:r>
      <w:r w:rsidR="007123D7">
        <w:rPr>
          <w:rFonts w:ascii="Arial" w:hAnsi="Arial" w:cs="Arial"/>
          <w:b w:val="0"/>
          <w:i w:val="0"/>
          <w:sz w:val="22"/>
          <w:szCs w:val="22"/>
        </w:rPr>
        <w:t xml:space="preserve">%, </w:t>
      </w:r>
      <w:r w:rsidR="00507179" w:rsidRPr="00507179">
        <w:rPr>
          <w:rFonts w:ascii="Arial" w:hAnsi="Arial" w:cs="Arial"/>
          <w:b w:val="0"/>
          <w:i w:val="0"/>
          <w:sz w:val="22"/>
          <w:szCs w:val="22"/>
        </w:rPr>
        <w:t>5</w:t>
      </w:r>
      <w:r w:rsidR="00EA2784">
        <w:rPr>
          <w:rFonts w:ascii="Arial" w:hAnsi="Arial" w:cs="Arial"/>
          <w:b w:val="0"/>
          <w:i w:val="0"/>
          <w:sz w:val="22"/>
          <w:szCs w:val="22"/>
        </w:rPr>
        <w:t xml:space="preserve"> </w:t>
      </w:r>
      <w:r w:rsidR="00507179" w:rsidRPr="00507179">
        <w:rPr>
          <w:rFonts w:ascii="Arial" w:hAnsi="Arial" w:cs="Arial"/>
          <w:b w:val="0"/>
          <w:i w:val="0"/>
          <w:sz w:val="22"/>
          <w:szCs w:val="22"/>
        </w:rPr>
        <w:t>%, 10</w:t>
      </w:r>
      <w:r w:rsidR="00EA2784">
        <w:rPr>
          <w:rFonts w:ascii="Arial" w:hAnsi="Arial" w:cs="Arial"/>
          <w:b w:val="0"/>
          <w:i w:val="0"/>
          <w:sz w:val="22"/>
          <w:szCs w:val="22"/>
        </w:rPr>
        <w:t xml:space="preserve"> </w:t>
      </w:r>
      <w:r w:rsidR="00507179" w:rsidRPr="00507179">
        <w:rPr>
          <w:rFonts w:ascii="Arial" w:hAnsi="Arial" w:cs="Arial"/>
          <w:b w:val="0"/>
          <w:i w:val="0"/>
          <w:sz w:val="22"/>
          <w:szCs w:val="22"/>
        </w:rPr>
        <w:t>%, 25</w:t>
      </w:r>
      <w:r w:rsidR="00EA2784">
        <w:rPr>
          <w:rFonts w:ascii="Arial" w:hAnsi="Arial" w:cs="Arial"/>
          <w:b w:val="0"/>
          <w:i w:val="0"/>
          <w:sz w:val="22"/>
          <w:szCs w:val="22"/>
        </w:rPr>
        <w:t xml:space="preserve"> </w:t>
      </w:r>
      <w:r w:rsidR="00507179" w:rsidRPr="00507179">
        <w:rPr>
          <w:rFonts w:ascii="Arial" w:hAnsi="Arial" w:cs="Arial"/>
          <w:b w:val="0"/>
          <w:i w:val="0"/>
          <w:sz w:val="22"/>
          <w:szCs w:val="22"/>
        </w:rPr>
        <w:t>% a 100</w:t>
      </w:r>
      <w:r w:rsidR="00EA2784">
        <w:rPr>
          <w:rFonts w:ascii="Arial" w:hAnsi="Arial" w:cs="Arial"/>
          <w:b w:val="0"/>
          <w:i w:val="0"/>
          <w:sz w:val="22"/>
          <w:szCs w:val="22"/>
        </w:rPr>
        <w:t xml:space="preserve"> </w:t>
      </w:r>
      <w:r w:rsidR="00507179" w:rsidRPr="00507179">
        <w:rPr>
          <w:rFonts w:ascii="Arial" w:hAnsi="Arial" w:cs="Arial"/>
          <w:b w:val="0"/>
          <w:i w:val="0"/>
          <w:sz w:val="22"/>
          <w:szCs w:val="22"/>
        </w:rPr>
        <w:t>%) dodržují zásadu přiměřenosti.</w:t>
      </w:r>
      <w:r w:rsidR="007123D7">
        <w:rPr>
          <w:rFonts w:ascii="Arial" w:hAnsi="Arial" w:cs="Arial"/>
          <w:b w:val="0"/>
          <w:i w:val="0"/>
          <w:sz w:val="22"/>
          <w:szCs w:val="22"/>
        </w:rPr>
        <w:t xml:space="preserve"> </w:t>
      </w:r>
    </w:p>
    <w:p w14:paraId="1C70A036" w14:textId="4D580463" w:rsidR="00526EFD" w:rsidRDefault="006E599E" w:rsidP="006E599E">
      <w:pPr>
        <w:pStyle w:val="Zkladntext"/>
        <w:tabs>
          <w:tab w:val="left" w:pos="1710"/>
        </w:tabs>
        <w:spacing w:before="120" w:after="120" w:line="60" w:lineRule="atLeast"/>
        <w:jc w:val="both"/>
        <w:rPr>
          <w:rFonts w:ascii="Arial" w:hAnsi="Arial" w:cs="Arial"/>
          <w:b w:val="0"/>
          <w:i w:val="0"/>
          <w:sz w:val="22"/>
          <w:szCs w:val="22"/>
        </w:rPr>
      </w:pPr>
      <w:r w:rsidRPr="006E599E">
        <w:rPr>
          <w:rFonts w:ascii="Arial" w:hAnsi="Arial" w:cs="Arial"/>
          <w:b w:val="0"/>
          <w:i w:val="0"/>
          <w:sz w:val="22"/>
          <w:szCs w:val="22"/>
        </w:rPr>
        <w:t>Výčet porušení a odpovídajících</w:t>
      </w:r>
      <w:r w:rsidR="00E90880">
        <w:rPr>
          <w:rFonts w:ascii="Arial" w:hAnsi="Arial" w:cs="Arial"/>
          <w:b w:val="0"/>
          <w:i w:val="0"/>
          <w:sz w:val="22"/>
          <w:szCs w:val="22"/>
        </w:rPr>
        <w:t xml:space="preserve"> </w:t>
      </w:r>
      <w:r w:rsidR="009A48D4">
        <w:rPr>
          <w:rFonts w:ascii="Arial" w:hAnsi="Arial" w:cs="Arial"/>
          <w:b w:val="0"/>
          <w:i w:val="0"/>
          <w:sz w:val="22"/>
          <w:szCs w:val="22"/>
        </w:rPr>
        <w:t>paušálních</w:t>
      </w:r>
      <w:r w:rsidR="009A48D4" w:rsidRPr="006E599E">
        <w:rPr>
          <w:rFonts w:ascii="Arial" w:hAnsi="Arial" w:cs="Arial"/>
          <w:b w:val="0"/>
          <w:i w:val="0"/>
          <w:sz w:val="22"/>
          <w:szCs w:val="22"/>
        </w:rPr>
        <w:t xml:space="preserve"> </w:t>
      </w:r>
      <w:r w:rsidRPr="006E599E">
        <w:rPr>
          <w:rFonts w:ascii="Arial" w:hAnsi="Arial" w:cs="Arial"/>
          <w:b w:val="0"/>
          <w:i w:val="0"/>
          <w:sz w:val="22"/>
          <w:szCs w:val="22"/>
        </w:rPr>
        <w:t>sazeb finančních oprav je uveden dále v jednotlivých tabulkách</w:t>
      </w:r>
      <w:r w:rsidR="00526EFD">
        <w:rPr>
          <w:rStyle w:val="Znakapoznpodarou"/>
          <w:rFonts w:ascii="Arial" w:hAnsi="Arial" w:cs="Arial"/>
          <w:b w:val="0"/>
          <w:i w:val="0"/>
          <w:sz w:val="22"/>
          <w:szCs w:val="22"/>
        </w:rPr>
        <w:footnoteReference w:id="2"/>
      </w:r>
      <w:r w:rsidRPr="006E599E">
        <w:rPr>
          <w:rFonts w:ascii="Arial" w:hAnsi="Arial" w:cs="Arial"/>
          <w:b w:val="0"/>
          <w:i w:val="0"/>
          <w:sz w:val="22"/>
          <w:szCs w:val="22"/>
        </w:rPr>
        <w:t>.</w:t>
      </w:r>
      <w:r w:rsidR="00526EFD" w:rsidRPr="00526EFD">
        <w:rPr>
          <w:rFonts w:ascii="Arial" w:hAnsi="Arial" w:cs="Arial"/>
          <w:b w:val="0"/>
          <w:i w:val="0"/>
          <w:sz w:val="22"/>
          <w:szCs w:val="22"/>
        </w:rPr>
        <w:t xml:space="preserve"> </w:t>
      </w:r>
    </w:p>
    <w:p w14:paraId="5D1D13A3" w14:textId="25608A6A" w:rsidR="006E599E" w:rsidRPr="006E599E" w:rsidRDefault="00526EFD" w:rsidP="006E599E">
      <w:pPr>
        <w:pStyle w:val="Zkladntext"/>
        <w:tabs>
          <w:tab w:val="left" w:pos="1710"/>
        </w:tabs>
        <w:spacing w:before="120" w:after="120" w:line="60" w:lineRule="atLeast"/>
        <w:jc w:val="both"/>
        <w:rPr>
          <w:rFonts w:ascii="Arial" w:hAnsi="Arial" w:cs="Arial"/>
          <w:b w:val="0"/>
          <w:i w:val="0"/>
          <w:sz w:val="22"/>
          <w:szCs w:val="22"/>
        </w:rPr>
      </w:pPr>
      <w:r w:rsidRPr="006E599E">
        <w:rPr>
          <w:rFonts w:ascii="Arial" w:hAnsi="Arial" w:cs="Arial"/>
          <w:b w:val="0"/>
          <w:i w:val="0"/>
          <w:sz w:val="22"/>
          <w:szCs w:val="22"/>
        </w:rPr>
        <w:t>V případě, že tabulky finančních oprav obsahují více sazeb finančních oprav, které je možné za dané zjištění uplatnit, musí Centrum/ŘO IROP zdůvodnit, z jakých důvodů byla uplatněna zvolená sazba finančních oprav, přičemž musí být zejména vzaty v úvahu všechny polehčující a přitěžující skutečnosti).</w:t>
      </w:r>
      <w:r w:rsidR="007123D7">
        <w:rPr>
          <w:rFonts w:ascii="Arial" w:hAnsi="Arial" w:cs="Arial"/>
          <w:b w:val="0"/>
          <w:i w:val="0"/>
          <w:sz w:val="22"/>
          <w:szCs w:val="22"/>
        </w:rPr>
        <w:t xml:space="preserve"> V</w:t>
      </w:r>
      <w:r w:rsidR="007123D7" w:rsidRPr="007123D7">
        <w:rPr>
          <w:rFonts w:ascii="Arial" w:hAnsi="Arial" w:cs="Arial"/>
          <w:b w:val="0"/>
          <w:i w:val="0"/>
          <w:sz w:val="22"/>
          <w:szCs w:val="22"/>
        </w:rPr>
        <w:t>ýpočet konečné částky opravy, která má být použita, by měl zohlednit všechny znaky zjištěné</w:t>
      </w:r>
      <w:r w:rsidR="007123D7">
        <w:rPr>
          <w:rFonts w:ascii="Arial" w:hAnsi="Arial" w:cs="Arial"/>
          <w:b w:val="0"/>
          <w:i w:val="0"/>
          <w:sz w:val="22"/>
          <w:szCs w:val="22"/>
        </w:rPr>
        <w:t>ho porušení</w:t>
      </w:r>
      <w:r w:rsidR="007123D7" w:rsidRPr="007123D7">
        <w:rPr>
          <w:rFonts w:ascii="Arial" w:hAnsi="Arial" w:cs="Arial"/>
          <w:b w:val="0"/>
          <w:i w:val="0"/>
          <w:sz w:val="22"/>
          <w:szCs w:val="22"/>
        </w:rPr>
        <w:t xml:space="preserve"> ve vztahu k prvkům zohledněným při stanovení této paušální sazby</w:t>
      </w:r>
      <w:r w:rsidR="007123D7">
        <w:rPr>
          <w:rFonts w:ascii="Arial" w:hAnsi="Arial" w:cs="Arial"/>
          <w:b w:val="0"/>
          <w:i w:val="0"/>
          <w:sz w:val="22"/>
          <w:szCs w:val="22"/>
        </w:rPr>
        <w:t>.</w:t>
      </w:r>
    </w:p>
    <w:p w14:paraId="3F873D57" w14:textId="77777777" w:rsidR="006E599E" w:rsidRPr="006E599E" w:rsidRDefault="006E599E" w:rsidP="006E599E">
      <w:pPr>
        <w:tabs>
          <w:tab w:val="left" w:pos="1710"/>
        </w:tabs>
        <w:spacing w:line="60" w:lineRule="atLeast"/>
        <w:rPr>
          <w:rFonts w:cs="Arial"/>
          <w:bCs/>
          <w:iCs/>
          <w:szCs w:val="22"/>
          <w:lang w:val="cs-CZ"/>
        </w:rPr>
      </w:pPr>
      <w:r w:rsidRPr="006E599E">
        <w:rPr>
          <w:rFonts w:cs="Arial"/>
          <w:bCs/>
          <w:iCs/>
          <w:szCs w:val="22"/>
          <w:lang w:val="cs-CZ"/>
        </w:rPr>
        <w:t xml:space="preserve">V případě, že identifikované porušení nemohlo </w:t>
      </w:r>
      <w:r w:rsidRPr="003462F9">
        <w:rPr>
          <w:rFonts w:cs="Arial"/>
          <w:bCs/>
          <w:iCs/>
          <w:szCs w:val="22"/>
          <w:lang w:val="cs-CZ"/>
        </w:rPr>
        <w:t>mít ani potenciální vliv</w:t>
      </w:r>
      <w:r w:rsidRPr="006E599E">
        <w:rPr>
          <w:rFonts w:cs="Arial"/>
          <w:bCs/>
          <w:iCs/>
          <w:szCs w:val="22"/>
          <w:lang w:val="cs-CZ"/>
        </w:rPr>
        <w:t xml:space="preserve"> na výběr nejvhodnější nabídky, nestanoví se za něj žádná finanční oprava.</w:t>
      </w:r>
    </w:p>
    <w:p w14:paraId="42490660" w14:textId="77777777" w:rsidR="006E599E" w:rsidRPr="006E599E" w:rsidRDefault="006E599E" w:rsidP="006E599E">
      <w:pPr>
        <w:tabs>
          <w:tab w:val="left" w:pos="1710"/>
        </w:tabs>
        <w:spacing w:line="60" w:lineRule="atLeast"/>
        <w:rPr>
          <w:rFonts w:cs="Arial"/>
          <w:bCs/>
          <w:iCs/>
          <w:szCs w:val="22"/>
          <w:lang w:val="cs-CZ"/>
        </w:rPr>
      </w:pPr>
      <w:r w:rsidRPr="006E599E">
        <w:rPr>
          <w:rFonts w:cs="Arial"/>
          <w:bCs/>
          <w:iCs/>
          <w:szCs w:val="22"/>
          <w:lang w:val="cs-CZ"/>
        </w:rPr>
        <w:t>Výše finanční opravy se vypočte z částky, která byla nebo má být z prostředků IROP poskytnuta v souvislosti s veřejnou zakázkou, u které se porušení vyskytlo.</w:t>
      </w:r>
    </w:p>
    <w:p w14:paraId="06866D91" w14:textId="77777777" w:rsidR="006E599E" w:rsidRPr="006E599E" w:rsidRDefault="006E599E" w:rsidP="006E599E">
      <w:pPr>
        <w:tabs>
          <w:tab w:val="left" w:pos="1710"/>
        </w:tabs>
        <w:spacing w:line="60" w:lineRule="atLeast"/>
        <w:rPr>
          <w:rFonts w:cs="Arial"/>
          <w:bCs/>
          <w:iCs/>
          <w:szCs w:val="22"/>
          <w:lang w:val="cs-CZ"/>
        </w:rPr>
      </w:pPr>
      <w:r w:rsidRPr="006E599E">
        <w:rPr>
          <w:rFonts w:cs="Arial"/>
          <w:bCs/>
          <w:iCs/>
          <w:szCs w:val="22"/>
          <w:lang w:val="cs-CZ"/>
        </w:rPr>
        <w:t>V případě, že u veřejné zakázky bude identifikováno více porušení, výše finančních oprav stanovených za jednotlivá porušení se nesčítají a výsledná finanční oprava je stanovena s ohledem na nejzávažnější porušení.</w:t>
      </w:r>
    </w:p>
    <w:p w14:paraId="6E25FB3C" w14:textId="509F2289" w:rsidR="006E599E" w:rsidRPr="006E599E" w:rsidRDefault="006E599E" w:rsidP="006E599E">
      <w:pPr>
        <w:tabs>
          <w:tab w:val="left" w:pos="1710"/>
        </w:tabs>
        <w:spacing w:line="60" w:lineRule="atLeast"/>
        <w:rPr>
          <w:rFonts w:cs="Arial"/>
          <w:bCs/>
          <w:iCs/>
          <w:szCs w:val="22"/>
          <w:lang w:val="cs-CZ"/>
        </w:rPr>
      </w:pPr>
      <w:r w:rsidRPr="006E599E">
        <w:rPr>
          <w:rFonts w:cs="Arial"/>
          <w:bCs/>
          <w:iCs/>
          <w:szCs w:val="22"/>
          <w:lang w:val="cs-CZ"/>
        </w:rPr>
        <w:t xml:space="preserve">Závažnost porušení je posuzována zejména z hlediska </w:t>
      </w:r>
      <w:r w:rsidRPr="00507179">
        <w:rPr>
          <w:rFonts w:cs="Arial"/>
          <w:bCs/>
          <w:iCs/>
          <w:szCs w:val="22"/>
          <w:lang w:val="cs-CZ"/>
        </w:rPr>
        <w:t>jeho skutečného nebo možného vlivu na výsledek výběrového/zadávacího řízení</w:t>
      </w:r>
      <w:r w:rsidRPr="006E599E">
        <w:rPr>
          <w:rFonts w:cs="Arial"/>
          <w:bCs/>
          <w:iCs/>
          <w:szCs w:val="22"/>
          <w:lang w:val="cs-CZ"/>
        </w:rPr>
        <w:t xml:space="preserve">, z hlediska míry porušení základních zásad zadávání veřejných zakázek a z hlediska míry porušení principů hospodárnosti, efektivity a účelnosti při vynakládání veřejných prostředků. Porušení je nutno považovat za závažné především v případech, kdy v jeho důsledku došlo k odrazení potenciálních dodavatelů od účasti ve výběrovém/zadávacím řízení nebo k zadání veřejné zakázky jinému dodavateli, než kterému měla být zadána. </w:t>
      </w:r>
    </w:p>
    <w:p w14:paraId="42242967" w14:textId="77777777" w:rsidR="006E599E" w:rsidRPr="006E599E" w:rsidRDefault="006E599E" w:rsidP="006E599E">
      <w:pPr>
        <w:tabs>
          <w:tab w:val="left" w:pos="1710"/>
        </w:tabs>
        <w:spacing w:line="60" w:lineRule="atLeast"/>
        <w:rPr>
          <w:rFonts w:cs="Arial"/>
          <w:bCs/>
          <w:iCs/>
          <w:szCs w:val="22"/>
          <w:lang w:val="cs-CZ"/>
        </w:rPr>
      </w:pPr>
      <w:r w:rsidRPr="006E599E">
        <w:rPr>
          <w:rFonts w:cs="Arial"/>
          <w:bCs/>
          <w:iCs/>
          <w:szCs w:val="22"/>
          <w:lang w:val="cs-CZ"/>
        </w:rPr>
        <w:lastRenderedPageBreak/>
        <w:t xml:space="preserve">V případě, že bude identifikováno porušení, které nelze podřadit pod konkrétní typ porušení uvedený v tabulce – Typy porušení a sazby finančních oprav této části, bude stanovena finanční oprava analogicky a dle zásady přiměřenosti. </w:t>
      </w:r>
    </w:p>
    <w:p w14:paraId="005530F5" w14:textId="77777777" w:rsidR="006E599E" w:rsidRPr="006E599E" w:rsidRDefault="006E599E" w:rsidP="006E599E">
      <w:pPr>
        <w:tabs>
          <w:tab w:val="left" w:pos="1710"/>
        </w:tabs>
        <w:spacing w:line="60" w:lineRule="atLeast"/>
        <w:rPr>
          <w:rFonts w:cs="Arial"/>
          <w:bCs/>
          <w:iCs/>
          <w:szCs w:val="22"/>
          <w:lang w:val="cs-CZ"/>
        </w:rPr>
      </w:pPr>
      <w:r w:rsidRPr="006E599E">
        <w:rPr>
          <w:rFonts w:cs="Arial"/>
          <w:bCs/>
          <w:iCs/>
          <w:szCs w:val="22"/>
          <w:lang w:val="cs-CZ"/>
        </w:rPr>
        <w:t>U zakázek vyjmutých z působnosti ZZVZ, pokud to tabulka sazeb finančních oprav umožňuje a pokud nebyl prokázán jejich nepochybný přeshraniční význam, se nepoužije horní sazba finanční opravy pro příslušný typ finanční opravy.</w:t>
      </w:r>
    </w:p>
    <w:p w14:paraId="5F43E6FE" w14:textId="18A8855C" w:rsidR="006E599E" w:rsidRDefault="006E599E" w:rsidP="006E599E">
      <w:pPr>
        <w:tabs>
          <w:tab w:val="left" w:pos="1710"/>
        </w:tabs>
        <w:spacing w:line="60" w:lineRule="atLeast"/>
        <w:rPr>
          <w:rFonts w:cs="Arial"/>
          <w:bCs/>
          <w:iCs/>
          <w:szCs w:val="22"/>
          <w:lang w:val="cs-CZ"/>
        </w:rPr>
      </w:pPr>
      <w:r w:rsidRPr="006E599E">
        <w:rPr>
          <w:rFonts w:cs="Arial"/>
          <w:bCs/>
          <w:iCs/>
          <w:szCs w:val="22"/>
          <w:lang w:val="cs-CZ"/>
        </w:rPr>
        <w:t>Na dotčenou zakázku bude uplatněna sazba finanční opravy z částky poskytnuté podpory, uvedená v Informace o nevyplacení části dotace, které je uložena v systému MS 2021+ na záložce předmětné ŽoP, ve které příjemce uplatnil první výdaje z dotčené zakázky nebo sazba finanční opravy stanovená po využití všech opravných prostředků ze strany příjemce (dále jen „stanovená sazba finanční opravy“). Stanovená sazba finanční opravy bude platit i pro veškeré následující žádosti o platbu zahrnující výdaje z takové zakázky. Pro vyloučení pochybností se uvádí, že stanovená sazba finanční opravy může být změněna, bude-li pro to závažný důvod, avšak pouze rozhodnutím poskytovatele dotace. Závažným důvodem je například situace, kdy se příjemce dopustí nového (či bude překlasifikováno dříve zjištěné) pochybení, za které bude nutné uložit vyšší nebo další sazbu finanční opravy.</w:t>
      </w:r>
    </w:p>
    <w:p w14:paraId="1410E4AE" w14:textId="77777777" w:rsidR="006E599E" w:rsidRPr="006E599E" w:rsidRDefault="006E599E" w:rsidP="006E599E">
      <w:pPr>
        <w:tabs>
          <w:tab w:val="left" w:pos="1710"/>
        </w:tabs>
        <w:spacing w:line="60" w:lineRule="atLeast"/>
        <w:rPr>
          <w:rFonts w:cs="Arial"/>
          <w:bCs/>
          <w:iCs/>
          <w:szCs w:val="22"/>
          <w:lang w:val="cs-CZ"/>
        </w:rPr>
      </w:pPr>
    </w:p>
    <w:p w14:paraId="503D13BF" w14:textId="77777777" w:rsidR="006E599E" w:rsidRPr="006E599E" w:rsidRDefault="006E599E" w:rsidP="006E599E">
      <w:pPr>
        <w:pStyle w:val="Nadpis1"/>
        <w:numPr>
          <w:ilvl w:val="0"/>
          <w:numId w:val="16"/>
        </w:numPr>
        <w:ind w:left="567" w:hanging="510"/>
        <w:rPr>
          <w:lang w:val="cs-CZ"/>
        </w:rPr>
      </w:pPr>
      <w:r w:rsidRPr="006E599E">
        <w:rPr>
          <w:lang w:val="cs-CZ"/>
        </w:rPr>
        <w:t>Pravidla pro uplatňování finančních oprav pro zadávací/výběrová řízení</w:t>
      </w:r>
    </w:p>
    <w:p w14:paraId="522B592F" w14:textId="77777777" w:rsidR="006E599E" w:rsidRPr="006E599E" w:rsidRDefault="006E599E" w:rsidP="006E599E">
      <w:pPr>
        <w:rPr>
          <w:rFonts w:cs="Arial"/>
          <w:szCs w:val="22"/>
          <w:lang w:val="cs-CZ"/>
        </w:rPr>
      </w:pPr>
    </w:p>
    <w:tbl>
      <w:tblPr>
        <w:tblStyle w:val="Mkatabulky1"/>
        <w:tblW w:w="5000" w:type="pct"/>
        <w:tblBorders>
          <w:top w:val="single" w:sz="12" w:space="0" w:color="auto"/>
          <w:left w:val="single" w:sz="12" w:space="0" w:color="auto"/>
          <w:bottom w:val="single" w:sz="12" w:space="0" w:color="auto"/>
          <w:right w:val="single" w:sz="12" w:space="0" w:color="auto"/>
        </w:tblBorders>
        <w:tblLook w:val="0620" w:firstRow="1" w:lastRow="0" w:firstColumn="0" w:lastColumn="0" w:noHBand="1" w:noVBand="1"/>
      </w:tblPr>
      <w:tblGrid>
        <w:gridCol w:w="662"/>
        <w:gridCol w:w="2876"/>
        <w:gridCol w:w="2876"/>
        <w:gridCol w:w="2874"/>
      </w:tblGrid>
      <w:tr w:rsidR="006E599E" w:rsidRPr="006E599E" w14:paraId="560E117E" w14:textId="77777777" w:rsidTr="000F3721">
        <w:trPr>
          <w:tblHeader/>
        </w:trPr>
        <w:tc>
          <w:tcPr>
            <w:tcW w:w="357" w:type="pct"/>
            <w:tcBorders>
              <w:top w:val="single" w:sz="12" w:space="0" w:color="auto"/>
              <w:bottom w:val="single" w:sz="12" w:space="0" w:color="auto"/>
            </w:tcBorders>
            <w:tcMar>
              <w:top w:w="113" w:type="dxa"/>
              <w:bottom w:w="113" w:type="dxa"/>
            </w:tcMar>
          </w:tcPr>
          <w:p w14:paraId="64092EE6" w14:textId="77777777" w:rsidR="006E599E" w:rsidRPr="006E599E" w:rsidRDefault="006E599E" w:rsidP="000F3721">
            <w:pPr>
              <w:widowControl w:val="0"/>
              <w:jc w:val="center"/>
              <w:rPr>
                <w:rFonts w:cs="Arial"/>
                <w:b/>
                <w:lang w:val="cs-CZ"/>
              </w:rPr>
            </w:pPr>
            <w:r w:rsidRPr="006E599E">
              <w:rPr>
                <w:rFonts w:cs="Arial"/>
                <w:b/>
                <w:lang w:val="cs-CZ"/>
              </w:rPr>
              <w:t>Č.</w:t>
            </w:r>
          </w:p>
        </w:tc>
        <w:tc>
          <w:tcPr>
            <w:tcW w:w="1548" w:type="pct"/>
            <w:tcBorders>
              <w:top w:val="single" w:sz="12" w:space="0" w:color="auto"/>
              <w:bottom w:val="single" w:sz="12" w:space="0" w:color="auto"/>
            </w:tcBorders>
            <w:tcMar>
              <w:top w:w="113" w:type="dxa"/>
              <w:bottom w:w="113" w:type="dxa"/>
            </w:tcMar>
            <w:vAlign w:val="center"/>
          </w:tcPr>
          <w:p w14:paraId="4F590AB1" w14:textId="77777777" w:rsidR="006E599E" w:rsidRPr="006E599E" w:rsidRDefault="006E599E" w:rsidP="000F3721">
            <w:pPr>
              <w:widowControl w:val="0"/>
              <w:jc w:val="center"/>
              <w:rPr>
                <w:rFonts w:cs="Arial"/>
                <w:b/>
                <w:lang w:val="cs-CZ"/>
              </w:rPr>
            </w:pPr>
            <w:r w:rsidRPr="006E599E">
              <w:rPr>
                <w:rFonts w:cs="Arial"/>
                <w:b/>
                <w:lang w:val="cs-CZ"/>
              </w:rPr>
              <w:t>Typ porušení</w:t>
            </w:r>
          </w:p>
        </w:tc>
        <w:tc>
          <w:tcPr>
            <w:tcW w:w="1548" w:type="pct"/>
            <w:tcBorders>
              <w:top w:val="single" w:sz="12" w:space="0" w:color="auto"/>
              <w:bottom w:val="single" w:sz="12" w:space="0" w:color="auto"/>
            </w:tcBorders>
            <w:tcMar>
              <w:top w:w="113" w:type="dxa"/>
              <w:bottom w:w="113" w:type="dxa"/>
            </w:tcMar>
            <w:vAlign w:val="center"/>
          </w:tcPr>
          <w:p w14:paraId="25FBF9AD" w14:textId="77777777" w:rsidR="006E599E" w:rsidRPr="006E599E" w:rsidRDefault="006E599E" w:rsidP="000F3721">
            <w:pPr>
              <w:widowControl w:val="0"/>
              <w:jc w:val="center"/>
              <w:rPr>
                <w:rFonts w:cs="Arial"/>
                <w:b/>
                <w:lang w:val="cs-CZ"/>
              </w:rPr>
            </w:pPr>
            <w:r w:rsidRPr="006E599E">
              <w:rPr>
                <w:rFonts w:cs="Arial"/>
                <w:b/>
                <w:lang w:val="cs-CZ"/>
              </w:rPr>
              <w:t>Popis porušení</w:t>
            </w:r>
          </w:p>
        </w:tc>
        <w:tc>
          <w:tcPr>
            <w:tcW w:w="1547" w:type="pct"/>
            <w:tcBorders>
              <w:top w:val="single" w:sz="12" w:space="0" w:color="auto"/>
              <w:bottom w:val="single" w:sz="12" w:space="0" w:color="auto"/>
            </w:tcBorders>
            <w:tcMar>
              <w:top w:w="113" w:type="dxa"/>
              <w:bottom w:w="113" w:type="dxa"/>
            </w:tcMar>
            <w:vAlign w:val="center"/>
          </w:tcPr>
          <w:p w14:paraId="4EA61F5D" w14:textId="77777777" w:rsidR="006E599E" w:rsidRPr="006E599E" w:rsidRDefault="006E599E" w:rsidP="000F3721">
            <w:pPr>
              <w:widowControl w:val="0"/>
              <w:jc w:val="center"/>
              <w:rPr>
                <w:rFonts w:cs="Arial"/>
                <w:b/>
                <w:lang w:val="cs-CZ"/>
              </w:rPr>
            </w:pPr>
            <w:r w:rsidRPr="006E599E">
              <w:rPr>
                <w:rFonts w:cs="Arial"/>
                <w:b/>
                <w:lang w:val="cs-CZ"/>
              </w:rPr>
              <w:t>Sazba finanční opravy</w:t>
            </w:r>
          </w:p>
        </w:tc>
      </w:tr>
      <w:tr w:rsidR="006E599E" w:rsidRPr="006E599E" w14:paraId="4B392D45" w14:textId="77777777" w:rsidTr="000F3721">
        <w:trPr>
          <w:trHeight w:val="20"/>
        </w:trPr>
        <w:tc>
          <w:tcPr>
            <w:tcW w:w="357" w:type="pct"/>
            <w:vMerge w:val="restart"/>
            <w:tcBorders>
              <w:top w:val="single" w:sz="12" w:space="0" w:color="auto"/>
            </w:tcBorders>
            <w:tcMar>
              <w:top w:w="113" w:type="dxa"/>
              <w:bottom w:w="113" w:type="dxa"/>
            </w:tcMar>
          </w:tcPr>
          <w:p w14:paraId="74C1FF63"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516F7964" w14:textId="77777777" w:rsidR="006E599E" w:rsidRPr="006E599E" w:rsidRDefault="006E599E" w:rsidP="000F3721">
            <w:pPr>
              <w:widowControl w:val="0"/>
              <w:rPr>
                <w:rFonts w:cs="Arial"/>
                <w:lang w:val="cs-CZ"/>
              </w:rPr>
            </w:pPr>
            <w:r w:rsidRPr="006E599E">
              <w:rPr>
                <w:rFonts w:cs="Arial"/>
                <w:lang w:val="cs-CZ"/>
              </w:rPr>
              <w:t xml:space="preserve">Nedodržení požadovaného způsobu zahájení řízení a jeho uveřejnění </w:t>
            </w:r>
          </w:p>
          <w:p w14:paraId="3C90D80E" w14:textId="77777777" w:rsidR="006E599E" w:rsidRPr="006E599E" w:rsidRDefault="006E599E" w:rsidP="000F3721">
            <w:pPr>
              <w:widowControl w:val="0"/>
              <w:rPr>
                <w:rFonts w:cs="Arial"/>
                <w:lang w:val="cs-CZ"/>
              </w:rPr>
            </w:pPr>
            <w:r w:rsidRPr="006E599E">
              <w:rPr>
                <w:rFonts w:cs="Arial"/>
                <w:lang w:val="cs-CZ"/>
              </w:rPr>
              <w:t xml:space="preserve">nebo </w:t>
            </w:r>
          </w:p>
          <w:p w14:paraId="1BBD6C0D" w14:textId="77777777" w:rsidR="006E599E" w:rsidRPr="006E599E" w:rsidRDefault="006E599E" w:rsidP="000F3721">
            <w:pPr>
              <w:widowControl w:val="0"/>
              <w:rPr>
                <w:rFonts w:cs="Arial"/>
                <w:lang w:val="cs-CZ"/>
              </w:rPr>
            </w:pPr>
            <w:r w:rsidRPr="006E599E">
              <w:rPr>
                <w:rFonts w:cs="Arial"/>
                <w:lang w:val="cs-CZ"/>
              </w:rPr>
              <w:t xml:space="preserve">neoprávněné přímé zadání (např. neoprávněné užití jednacího řízení bez uveřejnění) </w:t>
            </w:r>
          </w:p>
        </w:tc>
        <w:tc>
          <w:tcPr>
            <w:tcW w:w="1548" w:type="pct"/>
            <w:vMerge w:val="restart"/>
            <w:tcBorders>
              <w:top w:val="single" w:sz="12" w:space="0" w:color="auto"/>
            </w:tcBorders>
            <w:tcMar>
              <w:top w:w="113" w:type="dxa"/>
              <w:bottom w:w="113" w:type="dxa"/>
            </w:tcMar>
          </w:tcPr>
          <w:p w14:paraId="4CE6F5D4" w14:textId="77777777" w:rsidR="006E599E" w:rsidRPr="006E599E" w:rsidRDefault="006E599E" w:rsidP="000F3721">
            <w:pPr>
              <w:widowControl w:val="0"/>
              <w:rPr>
                <w:rFonts w:cs="Arial"/>
                <w:lang w:val="cs-CZ"/>
              </w:rPr>
            </w:pPr>
            <w:r w:rsidRPr="006E599E">
              <w:rPr>
                <w:rFonts w:cs="Arial"/>
                <w:lang w:val="cs-CZ"/>
              </w:rPr>
              <w:t>Zadavatel zadal veřejnou zakázku, aniž by zahájil výběrové/zadávací řízení v souladu se zákonem nebo výběrové řízení v souladu s pravidly IROP, příp. s MPZ.</w:t>
            </w:r>
          </w:p>
        </w:tc>
        <w:tc>
          <w:tcPr>
            <w:tcW w:w="1547" w:type="pct"/>
            <w:tcBorders>
              <w:top w:val="single" w:sz="12" w:space="0" w:color="auto"/>
            </w:tcBorders>
            <w:tcMar>
              <w:top w:w="113" w:type="dxa"/>
              <w:bottom w:w="113" w:type="dxa"/>
            </w:tcMar>
          </w:tcPr>
          <w:p w14:paraId="5371AE51" w14:textId="77777777" w:rsidR="006E599E" w:rsidRPr="006E599E" w:rsidRDefault="006E599E" w:rsidP="000F3721">
            <w:pPr>
              <w:widowControl w:val="0"/>
              <w:rPr>
                <w:rFonts w:cs="Arial"/>
                <w:lang w:val="cs-CZ"/>
              </w:rPr>
            </w:pPr>
            <w:r w:rsidRPr="006E599E">
              <w:rPr>
                <w:rFonts w:cs="Arial"/>
                <w:lang w:val="cs-CZ"/>
              </w:rPr>
              <w:t>100 %</w:t>
            </w:r>
          </w:p>
        </w:tc>
      </w:tr>
      <w:tr w:rsidR="006E599E" w:rsidRPr="006E599E" w14:paraId="6D7FDC55" w14:textId="77777777" w:rsidTr="000F3721">
        <w:trPr>
          <w:trHeight w:val="1637"/>
        </w:trPr>
        <w:tc>
          <w:tcPr>
            <w:tcW w:w="357" w:type="pct"/>
            <w:vMerge/>
            <w:tcBorders>
              <w:top w:val="single" w:sz="4" w:space="0" w:color="auto"/>
              <w:bottom w:val="single" w:sz="4" w:space="0" w:color="auto"/>
            </w:tcBorders>
            <w:tcMar>
              <w:top w:w="113" w:type="dxa"/>
              <w:bottom w:w="113" w:type="dxa"/>
            </w:tcMar>
          </w:tcPr>
          <w:p w14:paraId="6B8A93B8"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top w:val="single" w:sz="4" w:space="0" w:color="auto"/>
              <w:bottom w:val="single" w:sz="4" w:space="0" w:color="auto"/>
            </w:tcBorders>
            <w:tcMar>
              <w:top w:w="113" w:type="dxa"/>
              <w:bottom w:w="113" w:type="dxa"/>
            </w:tcMar>
          </w:tcPr>
          <w:p w14:paraId="3E51EA03" w14:textId="77777777" w:rsidR="006E599E" w:rsidRPr="006E599E" w:rsidRDefault="006E599E" w:rsidP="000F3721">
            <w:pPr>
              <w:widowControl w:val="0"/>
              <w:rPr>
                <w:rFonts w:cs="Arial"/>
                <w:lang w:val="cs-CZ"/>
              </w:rPr>
            </w:pPr>
          </w:p>
        </w:tc>
        <w:tc>
          <w:tcPr>
            <w:tcW w:w="1548" w:type="pct"/>
            <w:vMerge/>
            <w:tcBorders>
              <w:top w:val="single" w:sz="4" w:space="0" w:color="auto"/>
              <w:bottom w:val="single" w:sz="4" w:space="0" w:color="auto"/>
            </w:tcBorders>
            <w:tcMar>
              <w:top w:w="113" w:type="dxa"/>
              <w:bottom w:w="113" w:type="dxa"/>
            </w:tcMar>
          </w:tcPr>
          <w:p w14:paraId="678B4BC8" w14:textId="77777777" w:rsidR="006E599E" w:rsidRPr="006E599E" w:rsidRDefault="006E599E" w:rsidP="000F3721">
            <w:pPr>
              <w:widowControl w:val="0"/>
              <w:rPr>
                <w:rFonts w:cs="Arial"/>
                <w:lang w:val="cs-CZ"/>
              </w:rPr>
            </w:pPr>
          </w:p>
        </w:tc>
        <w:tc>
          <w:tcPr>
            <w:tcW w:w="1547" w:type="pct"/>
            <w:tcBorders>
              <w:top w:val="single" w:sz="4" w:space="0" w:color="auto"/>
            </w:tcBorders>
            <w:tcMar>
              <w:top w:w="113" w:type="dxa"/>
              <w:bottom w:w="113" w:type="dxa"/>
            </w:tcMar>
          </w:tcPr>
          <w:p w14:paraId="65E71790" w14:textId="77777777" w:rsidR="006E599E" w:rsidRPr="006E599E" w:rsidRDefault="006E599E" w:rsidP="000F3721">
            <w:pPr>
              <w:widowControl w:val="0"/>
              <w:rPr>
                <w:rFonts w:cs="Arial"/>
                <w:lang w:val="cs-CZ"/>
              </w:rPr>
            </w:pPr>
            <w:r w:rsidRPr="006E599E">
              <w:rPr>
                <w:rFonts w:cs="Arial"/>
                <w:lang w:val="cs-CZ"/>
              </w:rPr>
              <w:t>25 %, pokud byla dodržena určitá míra uveřejnění, která umožnila potenciálním dodavatelům přístup k zadávané veřejné zakázce</w:t>
            </w:r>
          </w:p>
        </w:tc>
      </w:tr>
      <w:tr w:rsidR="006E599E" w:rsidRPr="006E599E" w14:paraId="20BF5A91" w14:textId="77777777" w:rsidTr="000F3721">
        <w:trPr>
          <w:trHeight w:val="20"/>
        </w:trPr>
        <w:tc>
          <w:tcPr>
            <w:tcW w:w="357" w:type="pct"/>
            <w:vMerge w:val="restart"/>
            <w:tcBorders>
              <w:top w:val="single" w:sz="12" w:space="0" w:color="auto"/>
            </w:tcBorders>
            <w:tcMar>
              <w:top w:w="113" w:type="dxa"/>
              <w:bottom w:w="113" w:type="dxa"/>
            </w:tcMar>
          </w:tcPr>
          <w:p w14:paraId="5D348DBB"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442E2BA8" w14:textId="77777777" w:rsidR="006E599E" w:rsidRPr="006E599E" w:rsidRDefault="006E599E" w:rsidP="000F3721">
            <w:pPr>
              <w:widowControl w:val="0"/>
              <w:rPr>
                <w:rFonts w:cs="Arial"/>
                <w:lang w:val="cs-CZ"/>
              </w:rPr>
            </w:pPr>
            <w:r w:rsidRPr="006E599E">
              <w:rPr>
                <w:rFonts w:cs="Arial"/>
                <w:lang w:val="cs-CZ"/>
              </w:rPr>
              <w:t>Neoprávněné rozdělení předmětu veřejné zakázky</w:t>
            </w:r>
          </w:p>
        </w:tc>
        <w:tc>
          <w:tcPr>
            <w:tcW w:w="1548" w:type="pct"/>
            <w:vMerge w:val="restart"/>
            <w:tcBorders>
              <w:top w:val="single" w:sz="12" w:space="0" w:color="auto"/>
            </w:tcBorders>
            <w:tcMar>
              <w:top w:w="113" w:type="dxa"/>
              <w:bottom w:w="113" w:type="dxa"/>
            </w:tcMar>
          </w:tcPr>
          <w:p w14:paraId="3A4D9503" w14:textId="77777777" w:rsidR="006E599E" w:rsidRPr="006E599E" w:rsidRDefault="006E599E" w:rsidP="000F3721">
            <w:pPr>
              <w:widowControl w:val="0"/>
              <w:rPr>
                <w:rFonts w:cs="Arial"/>
                <w:lang w:val="cs-CZ"/>
              </w:rPr>
            </w:pPr>
            <w:r w:rsidRPr="006E599E">
              <w:rPr>
                <w:rFonts w:cs="Arial"/>
                <w:lang w:val="cs-CZ"/>
              </w:rPr>
              <w:t xml:space="preserve">Zadavatel uměle rozdělil předmět veřejné zakázky tak, že tím došlo ke snížení předpokládané hodnoty pod finanční limity </w:t>
            </w:r>
            <w:r w:rsidRPr="006E599E">
              <w:rPr>
                <w:rFonts w:cs="Arial"/>
                <w:lang w:val="cs-CZ"/>
              </w:rPr>
              <w:lastRenderedPageBreak/>
              <w:t>stanovené v zákoně nebo v pravidlech IROP, příp. v MPZ, čímž nebylo zajištěno řádné uveřejnění veřejné zakázky.</w:t>
            </w:r>
          </w:p>
        </w:tc>
        <w:tc>
          <w:tcPr>
            <w:tcW w:w="1547" w:type="pct"/>
            <w:tcBorders>
              <w:top w:val="single" w:sz="12" w:space="0" w:color="auto"/>
            </w:tcBorders>
            <w:tcMar>
              <w:top w:w="113" w:type="dxa"/>
              <w:bottom w:w="113" w:type="dxa"/>
            </w:tcMar>
          </w:tcPr>
          <w:p w14:paraId="4D5A6AC8" w14:textId="77777777" w:rsidR="006E599E" w:rsidRPr="006E599E" w:rsidRDefault="006E599E" w:rsidP="000F3721">
            <w:pPr>
              <w:widowControl w:val="0"/>
              <w:rPr>
                <w:rFonts w:cs="Arial"/>
                <w:lang w:val="cs-CZ"/>
              </w:rPr>
            </w:pPr>
            <w:r w:rsidRPr="006E599E">
              <w:rPr>
                <w:rFonts w:cs="Arial"/>
                <w:lang w:val="cs-CZ"/>
              </w:rPr>
              <w:lastRenderedPageBreak/>
              <w:t xml:space="preserve">100 %, pokud veřejná zakázka nebyla uveřejněna, ačkoliv se na ni tato povinnost vztahovala </w:t>
            </w:r>
          </w:p>
        </w:tc>
      </w:tr>
      <w:tr w:rsidR="006E599E" w:rsidRPr="006E599E" w14:paraId="46379E00" w14:textId="77777777" w:rsidTr="000F3721">
        <w:trPr>
          <w:trHeight w:val="1944"/>
        </w:trPr>
        <w:tc>
          <w:tcPr>
            <w:tcW w:w="357" w:type="pct"/>
            <w:vMerge/>
            <w:tcMar>
              <w:top w:w="113" w:type="dxa"/>
              <w:bottom w:w="113" w:type="dxa"/>
            </w:tcMar>
          </w:tcPr>
          <w:p w14:paraId="68023355"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377828BC"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17BF7A82" w14:textId="77777777" w:rsidR="006E599E" w:rsidRPr="006E599E" w:rsidRDefault="006E599E" w:rsidP="000F3721">
            <w:pPr>
              <w:widowControl w:val="0"/>
              <w:rPr>
                <w:rFonts w:cs="Arial"/>
                <w:lang w:val="cs-CZ"/>
              </w:rPr>
            </w:pPr>
          </w:p>
        </w:tc>
        <w:tc>
          <w:tcPr>
            <w:tcW w:w="1547" w:type="pct"/>
            <w:tcMar>
              <w:top w:w="113" w:type="dxa"/>
              <w:bottom w:w="113" w:type="dxa"/>
            </w:tcMar>
          </w:tcPr>
          <w:p w14:paraId="27CB8846" w14:textId="77777777" w:rsidR="006E599E" w:rsidRPr="006E599E" w:rsidRDefault="006E599E" w:rsidP="000F3721">
            <w:pPr>
              <w:widowControl w:val="0"/>
              <w:rPr>
                <w:rFonts w:cs="Arial"/>
                <w:lang w:val="cs-CZ"/>
              </w:rPr>
            </w:pPr>
            <w:r w:rsidRPr="006E599E">
              <w:rPr>
                <w:rFonts w:cs="Arial"/>
                <w:lang w:val="cs-CZ"/>
              </w:rPr>
              <w:t>25 %, pokud byla dodržena určitá míra uveřejnění, která umožnila potenciálním dodavatelům přístup k zadávané veřejné zakázce</w:t>
            </w:r>
          </w:p>
        </w:tc>
      </w:tr>
      <w:tr w:rsidR="006E599E" w:rsidRPr="006E599E" w14:paraId="43F8A980" w14:textId="77777777" w:rsidTr="000F3721">
        <w:trPr>
          <w:trHeight w:val="652"/>
        </w:trPr>
        <w:tc>
          <w:tcPr>
            <w:tcW w:w="357" w:type="pct"/>
            <w:tcMar>
              <w:top w:w="113" w:type="dxa"/>
              <w:bottom w:w="113" w:type="dxa"/>
            </w:tcMar>
          </w:tcPr>
          <w:p w14:paraId="5EB54528"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Mar>
              <w:top w:w="113" w:type="dxa"/>
              <w:bottom w:w="113" w:type="dxa"/>
            </w:tcMar>
          </w:tcPr>
          <w:p w14:paraId="6B2B0398" w14:textId="77777777" w:rsidR="006E599E" w:rsidRPr="006E599E" w:rsidRDefault="006E599E" w:rsidP="000F3721">
            <w:pPr>
              <w:widowControl w:val="0"/>
              <w:rPr>
                <w:rFonts w:cs="Arial"/>
                <w:lang w:val="cs-CZ"/>
              </w:rPr>
            </w:pPr>
            <w:r w:rsidRPr="006E599E">
              <w:rPr>
                <w:rFonts w:cs="Arial"/>
                <w:lang w:val="cs-CZ"/>
              </w:rPr>
              <w:t>Chybějící či nedostatečné zdůvodnění nerozdělení veřejné zakázky na části</w:t>
            </w:r>
          </w:p>
        </w:tc>
        <w:tc>
          <w:tcPr>
            <w:tcW w:w="1548" w:type="pct"/>
            <w:tcMar>
              <w:top w:w="113" w:type="dxa"/>
              <w:bottom w:w="113" w:type="dxa"/>
            </w:tcMar>
          </w:tcPr>
          <w:p w14:paraId="6C35C5EB" w14:textId="77777777" w:rsidR="006E599E" w:rsidRPr="006E599E" w:rsidRDefault="006E599E" w:rsidP="000F3721">
            <w:pPr>
              <w:widowControl w:val="0"/>
              <w:rPr>
                <w:rFonts w:cs="Arial"/>
                <w:lang w:val="cs-CZ"/>
              </w:rPr>
            </w:pPr>
            <w:r w:rsidRPr="006E599E">
              <w:rPr>
                <w:rFonts w:cs="Arial"/>
                <w:lang w:val="cs-CZ"/>
              </w:rPr>
              <w:t>Zadavatel nerozdělil nadlimitní veřejnou zakázku na části dle zákona a toto rozhodnutí v písemné zprávě zadavatele neodůvodnil či toto odůvodnění nebylo dostatečné.</w:t>
            </w:r>
          </w:p>
        </w:tc>
        <w:tc>
          <w:tcPr>
            <w:tcW w:w="1547" w:type="pct"/>
            <w:tcMar>
              <w:top w:w="113" w:type="dxa"/>
              <w:bottom w:w="113" w:type="dxa"/>
            </w:tcMar>
          </w:tcPr>
          <w:p w14:paraId="65F6B132" w14:textId="77777777" w:rsidR="006E599E" w:rsidRPr="006E599E" w:rsidRDefault="006E599E" w:rsidP="000F3721">
            <w:pPr>
              <w:widowControl w:val="0"/>
              <w:rPr>
                <w:rFonts w:cs="Arial"/>
                <w:lang w:val="cs-CZ"/>
              </w:rPr>
            </w:pPr>
            <w:r w:rsidRPr="006E599E">
              <w:rPr>
                <w:rFonts w:cs="Arial"/>
                <w:lang w:val="cs-CZ"/>
              </w:rPr>
              <w:t>5 %</w:t>
            </w:r>
          </w:p>
        </w:tc>
      </w:tr>
      <w:tr w:rsidR="006E599E" w:rsidRPr="006E599E" w14:paraId="074F11B5" w14:textId="77777777" w:rsidTr="000F3721">
        <w:trPr>
          <w:trHeight w:val="1808"/>
        </w:trPr>
        <w:tc>
          <w:tcPr>
            <w:tcW w:w="357" w:type="pct"/>
            <w:vMerge w:val="restart"/>
            <w:tcBorders>
              <w:top w:val="single" w:sz="12" w:space="0" w:color="auto"/>
            </w:tcBorders>
            <w:tcMar>
              <w:top w:w="113" w:type="dxa"/>
              <w:bottom w:w="113" w:type="dxa"/>
            </w:tcMar>
          </w:tcPr>
          <w:p w14:paraId="358B6147"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3F1FA919" w14:textId="77777777" w:rsidR="006E599E" w:rsidRPr="006E599E" w:rsidRDefault="006E599E" w:rsidP="000F3721">
            <w:pPr>
              <w:widowControl w:val="0"/>
              <w:rPr>
                <w:rFonts w:cs="Arial"/>
                <w:lang w:val="cs-CZ"/>
              </w:rPr>
            </w:pPr>
            <w:r w:rsidRPr="006E599E">
              <w:rPr>
                <w:rFonts w:cs="Arial"/>
                <w:lang w:val="cs-CZ"/>
              </w:rPr>
              <w:t>Nedodržení minimální délky lhůty pro podání nabídek, předběžných nabídek nebo žádostí o účast</w:t>
            </w:r>
          </w:p>
          <w:p w14:paraId="3CA708C9" w14:textId="77777777" w:rsidR="006E599E" w:rsidRPr="006E599E" w:rsidRDefault="006E599E" w:rsidP="000F3721">
            <w:pPr>
              <w:widowControl w:val="0"/>
              <w:rPr>
                <w:rFonts w:cs="Arial"/>
                <w:lang w:val="cs-CZ"/>
              </w:rPr>
            </w:pPr>
            <w:r w:rsidRPr="006E599E">
              <w:rPr>
                <w:rFonts w:cs="Arial"/>
                <w:lang w:val="cs-CZ"/>
              </w:rPr>
              <w:t>nebo</w:t>
            </w:r>
          </w:p>
          <w:p w14:paraId="6F08E5A7" w14:textId="77777777" w:rsidR="006E599E" w:rsidRPr="006E599E" w:rsidRDefault="006E599E" w:rsidP="000F3721">
            <w:pPr>
              <w:widowControl w:val="0"/>
              <w:rPr>
                <w:rFonts w:cs="Arial"/>
                <w:lang w:val="cs-CZ"/>
              </w:rPr>
            </w:pPr>
            <w:r w:rsidRPr="006E599E">
              <w:rPr>
                <w:rFonts w:cs="Arial"/>
                <w:lang w:val="cs-CZ"/>
              </w:rPr>
              <w:t>neprodloužení této lhůty v případě takové změny zadávacích podmínek, jejichž povaha to vyžadovala</w:t>
            </w:r>
          </w:p>
        </w:tc>
        <w:tc>
          <w:tcPr>
            <w:tcW w:w="1548" w:type="pct"/>
            <w:vMerge w:val="restart"/>
            <w:tcBorders>
              <w:top w:val="single" w:sz="12" w:space="0" w:color="auto"/>
            </w:tcBorders>
            <w:tcMar>
              <w:top w:w="113" w:type="dxa"/>
              <w:bottom w:w="113" w:type="dxa"/>
            </w:tcMar>
          </w:tcPr>
          <w:p w14:paraId="435F2151" w14:textId="77777777" w:rsidR="006E599E" w:rsidRPr="006E599E" w:rsidRDefault="006E599E" w:rsidP="000F3721">
            <w:pPr>
              <w:widowControl w:val="0"/>
              <w:rPr>
                <w:rFonts w:cs="Arial"/>
                <w:lang w:val="cs-CZ"/>
              </w:rPr>
            </w:pPr>
            <w:r w:rsidRPr="006E599E">
              <w:rPr>
                <w:rFonts w:cs="Arial"/>
                <w:lang w:val="cs-CZ"/>
              </w:rPr>
              <w:t xml:space="preserve">Zadavatel stanovil lhůtu pro podání nabídek, předběžných nabídek nebo žádostí o účast tak, že jejich délka nedosahovala minimálních lhůt stanovených v zákoně nebo v pravidlech IROP, příp. v MPZ </w:t>
            </w:r>
          </w:p>
          <w:p w14:paraId="338DFEC3" w14:textId="77777777" w:rsidR="006E599E" w:rsidRPr="006E599E" w:rsidRDefault="006E599E" w:rsidP="000F3721">
            <w:pPr>
              <w:widowControl w:val="0"/>
              <w:rPr>
                <w:rFonts w:cs="Arial"/>
                <w:lang w:val="cs-CZ"/>
              </w:rPr>
            </w:pPr>
            <w:r w:rsidRPr="006E599E">
              <w:rPr>
                <w:rFonts w:cs="Arial"/>
                <w:lang w:val="cs-CZ"/>
              </w:rPr>
              <w:t>nebo zadavatel v případě takové změny zadávacích podmínek, jejichž povaha to vyžadovala, přiměřeně tuto lhůtu neprodloužil.</w:t>
            </w:r>
          </w:p>
        </w:tc>
        <w:tc>
          <w:tcPr>
            <w:tcW w:w="1547" w:type="pct"/>
            <w:tcBorders>
              <w:top w:val="single" w:sz="12" w:space="0" w:color="auto"/>
              <w:bottom w:val="single" w:sz="4" w:space="0" w:color="auto"/>
            </w:tcBorders>
            <w:tcMar>
              <w:top w:w="113" w:type="dxa"/>
              <w:bottom w:w="113" w:type="dxa"/>
            </w:tcMar>
          </w:tcPr>
          <w:p w14:paraId="69734C9D" w14:textId="77777777" w:rsidR="006E599E" w:rsidRPr="006E599E" w:rsidRDefault="006E599E" w:rsidP="000F3721">
            <w:pPr>
              <w:widowControl w:val="0"/>
              <w:rPr>
                <w:rFonts w:cs="Arial"/>
                <w:lang w:val="cs-CZ"/>
              </w:rPr>
            </w:pPr>
            <w:r w:rsidRPr="006E599E">
              <w:rPr>
                <w:rFonts w:cs="Arial"/>
                <w:lang w:val="cs-CZ"/>
              </w:rPr>
              <w:t>100 %, pokud je zkrácení vyšší nebo rovno 85 % délky minimální lhůty, nebo byla lhůta rovna nebo kratší než 5 dnů.</w:t>
            </w:r>
          </w:p>
        </w:tc>
      </w:tr>
      <w:tr w:rsidR="006E599E" w:rsidRPr="006E599E" w14:paraId="70C3A242" w14:textId="77777777" w:rsidTr="000F3721">
        <w:trPr>
          <w:trHeight w:val="1552"/>
        </w:trPr>
        <w:tc>
          <w:tcPr>
            <w:tcW w:w="357" w:type="pct"/>
            <w:vMerge/>
            <w:tcMar>
              <w:top w:w="113" w:type="dxa"/>
              <w:bottom w:w="113" w:type="dxa"/>
            </w:tcMar>
          </w:tcPr>
          <w:p w14:paraId="7F670B17"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2F21765B"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31C6446C" w14:textId="77777777" w:rsidR="006E599E" w:rsidRPr="006E599E" w:rsidRDefault="006E599E" w:rsidP="000F3721">
            <w:pPr>
              <w:widowControl w:val="0"/>
              <w:rPr>
                <w:rFonts w:cs="Arial"/>
                <w:lang w:val="cs-CZ"/>
              </w:rPr>
            </w:pPr>
          </w:p>
        </w:tc>
        <w:tc>
          <w:tcPr>
            <w:tcW w:w="1547" w:type="pct"/>
            <w:tcBorders>
              <w:top w:val="single" w:sz="12" w:space="0" w:color="auto"/>
              <w:bottom w:val="single" w:sz="4" w:space="0" w:color="auto"/>
            </w:tcBorders>
            <w:tcMar>
              <w:top w:w="113" w:type="dxa"/>
              <w:bottom w:w="113" w:type="dxa"/>
            </w:tcMar>
          </w:tcPr>
          <w:p w14:paraId="1E3BA207" w14:textId="77777777" w:rsidR="006E599E" w:rsidRPr="006E599E" w:rsidRDefault="006E599E" w:rsidP="000F3721">
            <w:pPr>
              <w:widowControl w:val="0"/>
              <w:rPr>
                <w:rFonts w:cs="Arial"/>
                <w:lang w:val="cs-CZ"/>
              </w:rPr>
            </w:pPr>
            <w:r w:rsidRPr="006E599E">
              <w:rPr>
                <w:rFonts w:cs="Arial"/>
                <w:lang w:val="cs-CZ"/>
              </w:rPr>
              <w:t>25 %, pokud je zkrácení vyšší nebo rovno 50 % délky minimální lhůty (ale nedosahuje 85 %)</w:t>
            </w:r>
          </w:p>
        </w:tc>
      </w:tr>
      <w:tr w:rsidR="006E599E" w:rsidRPr="006E599E" w14:paraId="7508F231" w14:textId="77777777" w:rsidTr="000F3721">
        <w:trPr>
          <w:trHeight w:val="757"/>
        </w:trPr>
        <w:tc>
          <w:tcPr>
            <w:tcW w:w="357" w:type="pct"/>
            <w:vMerge/>
            <w:tcMar>
              <w:top w:w="113" w:type="dxa"/>
              <w:bottom w:w="113" w:type="dxa"/>
            </w:tcMar>
          </w:tcPr>
          <w:p w14:paraId="1C34B544"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2D1AABC6"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733C9C00" w14:textId="77777777" w:rsidR="006E599E" w:rsidRPr="006E599E" w:rsidRDefault="006E599E" w:rsidP="000F3721">
            <w:pPr>
              <w:widowControl w:val="0"/>
              <w:rPr>
                <w:rFonts w:cs="Arial"/>
                <w:lang w:val="cs-CZ"/>
              </w:rPr>
            </w:pPr>
          </w:p>
        </w:tc>
        <w:tc>
          <w:tcPr>
            <w:tcW w:w="1547" w:type="pct"/>
            <w:tcMar>
              <w:top w:w="113" w:type="dxa"/>
              <w:bottom w:w="113" w:type="dxa"/>
            </w:tcMar>
          </w:tcPr>
          <w:p w14:paraId="77399A5E" w14:textId="77777777" w:rsidR="006E599E" w:rsidRPr="006E599E" w:rsidRDefault="006E599E" w:rsidP="000F3721">
            <w:pPr>
              <w:widowControl w:val="0"/>
              <w:rPr>
                <w:rFonts w:cs="Arial"/>
                <w:lang w:val="cs-CZ"/>
              </w:rPr>
            </w:pPr>
            <w:r w:rsidRPr="006E599E">
              <w:rPr>
                <w:rFonts w:cs="Arial"/>
                <w:lang w:val="cs-CZ"/>
              </w:rPr>
              <w:t>10 %, pokud je zkrácení vyšší nebo rovno 30 % délky minimální lhůty (ale nedosahuje 50 %)</w:t>
            </w:r>
          </w:p>
          <w:p w14:paraId="77E3F76A" w14:textId="77777777" w:rsidR="006E599E" w:rsidRPr="006E599E" w:rsidRDefault="006E599E" w:rsidP="000F3721">
            <w:pPr>
              <w:widowControl w:val="0"/>
              <w:rPr>
                <w:rFonts w:cs="Arial"/>
                <w:lang w:val="cs-CZ"/>
              </w:rPr>
            </w:pPr>
            <w:r w:rsidRPr="006E599E">
              <w:rPr>
                <w:rFonts w:cs="Arial"/>
                <w:lang w:val="cs-CZ"/>
              </w:rPr>
              <w:t>nebo</w:t>
            </w:r>
          </w:p>
          <w:p w14:paraId="7F9793AB" w14:textId="77777777" w:rsidR="006E599E" w:rsidRPr="006E599E" w:rsidRDefault="006E599E" w:rsidP="000F3721">
            <w:pPr>
              <w:widowControl w:val="0"/>
              <w:rPr>
                <w:rFonts w:cs="Arial"/>
                <w:lang w:val="cs-CZ"/>
              </w:rPr>
            </w:pPr>
            <w:r w:rsidRPr="006E599E">
              <w:rPr>
                <w:rFonts w:cs="Arial"/>
                <w:lang w:val="cs-CZ"/>
              </w:rPr>
              <w:t>nebyla prodloužena lhůta pro podání nabídek, předběžných nabídek nebo žádostí o účast v případě takové změny zadávacích podmínek, jejichž povaha to vyžadovala</w:t>
            </w:r>
          </w:p>
        </w:tc>
      </w:tr>
      <w:tr w:rsidR="006E599E" w:rsidRPr="006E599E" w14:paraId="1D109A28" w14:textId="77777777" w:rsidTr="000F3721">
        <w:trPr>
          <w:trHeight w:val="370"/>
        </w:trPr>
        <w:tc>
          <w:tcPr>
            <w:tcW w:w="357" w:type="pct"/>
            <w:vMerge/>
            <w:tcBorders>
              <w:bottom w:val="single" w:sz="4" w:space="0" w:color="auto"/>
            </w:tcBorders>
            <w:tcMar>
              <w:top w:w="113" w:type="dxa"/>
              <w:bottom w:w="113" w:type="dxa"/>
            </w:tcMar>
          </w:tcPr>
          <w:p w14:paraId="7340315E"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4" w:space="0" w:color="auto"/>
            </w:tcBorders>
            <w:tcMar>
              <w:top w:w="113" w:type="dxa"/>
              <w:bottom w:w="113" w:type="dxa"/>
            </w:tcMar>
          </w:tcPr>
          <w:p w14:paraId="00B2CED3" w14:textId="77777777" w:rsidR="006E599E" w:rsidRPr="006E599E" w:rsidRDefault="006E599E" w:rsidP="000F3721">
            <w:pPr>
              <w:widowControl w:val="0"/>
              <w:rPr>
                <w:rFonts w:cs="Arial"/>
                <w:lang w:val="cs-CZ"/>
              </w:rPr>
            </w:pPr>
          </w:p>
        </w:tc>
        <w:tc>
          <w:tcPr>
            <w:tcW w:w="1548" w:type="pct"/>
            <w:vMerge/>
            <w:tcBorders>
              <w:bottom w:val="single" w:sz="4" w:space="0" w:color="auto"/>
            </w:tcBorders>
            <w:tcMar>
              <w:top w:w="113" w:type="dxa"/>
              <w:bottom w:w="113" w:type="dxa"/>
            </w:tcMar>
          </w:tcPr>
          <w:p w14:paraId="66B528E0" w14:textId="77777777" w:rsidR="006E599E" w:rsidRPr="006E599E" w:rsidRDefault="006E599E" w:rsidP="000F3721">
            <w:pPr>
              <w:widowControl w:val="0"/>
              <w:rPr>
                <w:rFonts w:cs="Arial"/>
                <w:lang w:val="cs-CZ"/>
              </w:rPr>
            </w:pPr>
          </w:p>
        </w:tc>
        <w:tc>
          <w:tcPr>
            <w:tcW w:w="1547" w:type="pct"/>
            <w:tcBorders>
              <w:top w:val="single" w:sz="4" w:space="0" w:color="auto"/>
            </w:tcBorders>
            <w:tcMar>
              <w:top w:w="113" w:type="dxa"/>
              <w:bottom w:w="113" w:type="dxa"/>
            </w:tcMar>
          </w:tcPr>
          <w:p w14:paraId="4EEE0A5E" w14:textId="77777777" w:rsidR="006E599E" w:rsidRPr="006E599E" w:rsidRDefault="006E599E" w:rsidP="000F3721">
            <w:pPr>
              <w:widowControl w:val="0"/>
              <w:rPr>
                <w:rFonts w:cs="Arial"/>
                <w:lang w:val="cs-CZ"/>
              </w:rPr>
            </w:pPr>
            <w:r w:rsidRPr="006E599E">
              <w:rPr>
                <w:rFonts w:cs="Arial"/>
                <w:lang w:val="cs-CZ"/>
              </w:rPr>
              <w:t>5 %, pokud je zkrácení nižší než 30 %</w:t>
            </w:r>
          </w:p>
        </w:tc>
      </w:tr>
      <w:tr w:rsidR="006E599E" w:rsidRPr="006E599E" w14:paraId="5285DAC7" w14:textId="77777777" w:rsidTr="000F3721">
        <w:trPr>
          <w:trHeight w:val="252"/>
        </w:trPr>
        <w:tc>
          <w:tcPr>
            <w:tcW w:w="357" w:type="pct"/>
            <w:vMerge w:val="restart"/>
            <w:tcMar>
              <w:top w:w="113" w:type="dxa"/>
              <w:bottom w:w="113" w:type="dxa"/>
            </w:tcMar>
          </w:tcPr>
          <w:p w14:paraId="20F6BA7D"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Mar>
              <w:top w:w="113" w:type="dxa"/>
              <w:bottom w:w="113" w:type="dxa"/>
            </w:tcMar>
          </w:tcPr>
          <w:p w14:paraId="345D0B9A" w14:textId="77777777" w:rsidR="006E599E" w:rsidRPr="006E599E" w:rsidRDefault="006E599E" w:rsidP="000F3721">
            <w:pPr>
              <w:suppressAutoHyphens/>
              <w:rPr>
                <w:rFonts w:cs="Arial"/>
                <w:snapToGrid w:val="0"/>
                <w:lang w:val="cs-CZ"/>
              </w:rPr>
            </w:pPr>
            <w:r w:rsidRPr="006E599E">
              <w:rPr>
                <w:rFonts w:cs="Arial"/>
                <w:snapToGrid w:val="0"/>
                <w:lang w:val="cs-CZ"/>
              </w:rPr>
              <w:t>Nedostatečná doba pro opatření zadávací dokumentace</w:t>
            </w:r>
          </w:p>
          <w:p w14:paraId="7092E3A4" w14:textId="77777777" w:rsidR="006E599E" w:rsidRPr="006E599E" w:rsidRDefault="006E599E" w:rsidP="000F3721">
            <w:pPr>
              <w:suppressAutoHyphens/>
              <w:rPr>
                <w:rFonts w:cs="Arial"/>
                <w:snapToGrid w:val="0"/>
                <w:lang w:val="cs-CZ"/>
              </w:rPr>
            </w:pPr>
            <w:r w:rsidRPr="006E599E">
              <w:rPr>
                <w:rFonts w:cs="Arial"/>
                <w:snapToGrid w:val="0"/>
                <w:lang w:val="cs-CZ"/>
              </w:rPr>
              <w:t>nebo</w:t>
            </w:r>
          </w:p>
          <w:p w14:paraId="4E33FC78" w14:textId="77777777" w:rsidR="006E599E" w:rsidRPr="006E599E" w:rsidRDefault="006E599E" w:rsidP="000F3721">
            <w:pPr>
              <w:suppressAutoHyphens/>
              <w:rPr>
                <w:rFonts w:cs="Arial"/>
                <w:snapToGrid w:val="0"/>
                <w:lang w:val="cs-CZ"/>
              </w:rPr>
            </w:pPr>
            <w:r w:rsidRPr="006E599E">
              <w:rPr>
                <w:rFonts w:cs="Arial"/>
                <w:snapToGrid w:val="0"/>
                <w:lang w:val="cs-CZ"/>
              </w:rPr>
              <w:t>jiná omezení pro získání zadávací dokumentace</w:t>
            </w:r>
          </w:p>
        </w:tc>
        <w:tc>
          <w:tcPr>
            <w:tcW w:w="1548" w:type="pct"/>
            <w:vMerge w:val="restart"/>
            <w:tcMar>
              <w:top w:w="113" w:type="dxa"/>
              <w:bottom w:w="113" w:type="dxa"/>
            </w:tcMar>
          </w:tcPr>
          <w:p w14:paraId="3B696508" w14:textId="77777777" w:rsidR="006E599E" w:rsidRPr="006E599E" w:rsidRDefault="006E599E" w:rsidP="000F3721">
            <w:pPr>
              <w:suppressAutoHyphens/>
              <w:rPr>
                <w:rFonts w:cs="Arial"/>
                <w:snapToGrid w:val="0"/>
                <w:lang w:val="cs-CZ"/>
              </w:rPr>
            </w:pPr>
            <w:r w:rsidRPr="006E599E">
              <w:rPr>
                <w:rFonts w:cs="Arial"/>
                <w:snapToGrid w:val="0"/>
                <w:lang w:val="cs-CZ"/>
              </w:rPr>
              <w:t>Jestliže zadávací dokumentace není volně, přímo a úplně dostupná, přičemž doba, ve které si ji mohou potenciální dodavatelé opatřit, je příliš krátká, či zadavatel jinak vytváří neodůvodněnou překážku pro řádnou hospodářskou soutěž.</w:t>
            </w:r>
          </w:p>
        </w:tc>
        <w:tc>
          <w:tcPr>
            <w:tcW w:w="1547" w:type="pct"/>
            <w:tcMar>
              <w:top w:w="113" w:type="dxa"/>
              <w:bottom w:w="113" w:type="dxa"/>
            </w:tcMar>
          </w:tcPr>
          <w:p w14:paraId="5555AACA" w14:textId="77777777" w:rsidR="006E599E" w:rsidRPr="006E599E" w:rsidRDefault="006E599E" w:rsidP="000F3721">
            <w:pPr>
              <w:widowControl w:val="0"/>
              <w:rPr>
                <w:rFonts w:cs="Arial"/>
                <w:lang w:val="cs-CZ"/>
              </w:rPr>
            </w:pPr>
            <w:r w:rsidRPr="006E599E">
              <w:rPr>
                <w:rFonts w:cs="Arial"/>
                <w:lang w:val="cs-CZ"/>
              </w:rPr>
              <w:t>10 %, pokud po zkrácení činí délka lhůty pro doručení nabídek méně než nebo je rovna 50 % stanovené lhůty pro doručení nabídek</w:t>
            </w:r>
          </w:p>
        </w:tc>
      </w:tr>
      <w:tr w:rsidR="006E599E" w:rsidRPr="006E599E" w14:paraId="3E5D42B6" w14:textId="77777777" w:rsidTr="000F3721">
        <w:trPr>
          <w:trHeight w:val="252"/>
        </w:trPr>
        <w:tc>
          <w:tcPr>
            <w:tcW w:w="357" w:type="pct"/>
            <w:vMerge/>
            <w:tcMar>
              <w:top w:w="113" w:type="dxa"/>
              <w:bottom w:w="113" w:type="dxa"/>
            </w:tcMar>
          </w:tcPr>
          <w:p w14:paraId="7426E47F"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1318E509"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3D17385A" w14:textId="77777777" w:rsidR="006E599E" w:rsidRPr="006E599E" w:rsidRDefault="006E599E" w:rsidP="000F3721">
            <w:pPr>
              <w:widowControl w:val="0"/>
              <w:rPr>
                <w:rFonts w:cs="Arial"/>
                <w:lang w:val="cs-CZ"/>
              </w:rPr>
            </w:pPr>
          </w:p>
        </w:tc>
        <w:tc>
          <w:tcPr>
            <w:tcW w:w="1547" w:type="pct"/>
            <w:tcMar>
              <w:top w:w="113" w:type="dxa"/>
              <w:bottom w:w="113" w:type="dxa"/>
            </w:tcMar>
          </w:tcPr>
          <w:p w14:paraId="3ED9A35F" w14:textId="77777777" w:rsidR="006E599E" w:rsidRPr="006E599E" w:rsidRDefault="006E599E" w:rsidP="000F3721">
            <w:pPr>
              <w:widowControl w:val="0"/>
              <w:rPr>
                <w:rFonts w:cs="Arial"/>
                <w:lang w:val="cs-CZ"/>
              </w:rPr>
            </w:pPr>
            <w:r w:rsidRPr="006E599E">
              <w:rPr>
                <w:rFonts w:cs="Arial"/>
                <w:lang w:val="cs-CZ"/>
              </w:rPr>
              <w:t>5 %, pokud po zkrácení činí délka lhůty pro doručení nabídek méně než nebo je rovna 80 % stanovené lhůty pro doručení nabídek</w:t>
            </w:r>
          </w:p>
        </w:tc>
      </w:tr>
      <w:tr w:rsidR="006E599E" w:rsidRPr="006E599E" w14:paraId="1094F3E3" w14:textId="77777777" w:rsidTr="000F3721">
        <w:trPr>
          <w:trHeight w:val="252"/>
        </w:trPr>
        <w:tc>
          <w:tcPr>
            <w:tcW w:w="357" w:type="pct"/>
            <w:vMerge/>
            <w:tcMar>
              <w:top w:w="113" w:type="dxa"/>
              <w:bottom w:w="113" w:type="dxa"/>
            </w:tcMar>
          </w:tcPr>
          <w:p w14:paraId="1AD519BC"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7C48FE0F"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17479191" w14:textId="77777777" w:rsidR="006E599E" w:rsidRPr="006E599E" w:rsidRDefault="006E599E" w:rsidP="000F3721">
            <w:pPr>
              <w:widowControl w:val="0"/>
              <w:rPr>
                <w:rFonts w:cs="Arial"/>
                <w:lang w:val="cs-CZ"/>
              </w:rPr>
            </w:pPr>
          </w:p>
        </w:tc>
        <w:tc>
          <w:tcPr>
            <w:tcW w:w="1547" w:type="pct"/>
            <w:tcMar>
              <w:top w:w="113" w:type="dxa"/>
              <w:bottom w:w="113" w:type="dxa"/>
            </w:tcMar>
          </w:tcPr>
          <w:p w14:paraId="2FA834EE" w14:textId="77777777" w:rsidR="006E599E" w:rsidRPr="006E599E" w:rsidRDefault="006E599E" w:rsidP="000F3721">
            <w:pPr>
              <w:widowControl w:val="0"/>
              <w:rPr>
                <w:rFonts w:cs="Arial"/>
                <w:lang w:val="cs-CZ"/>
              </w:rPr>
            </w:pPr>
            <w:r w:rsidRPr="006E599E">
              <w:rPr>
                <w:rFonts w:cs="Arial"/>
                <w:lang w:val="cs-CZ"/>
              </w:rPr>
              <w:t xml:space="preserve">25 %, pokud je doba pro získání zadávací dokumentace rovna nebo nižší 5 dnům </w:t>
            </w:r>
          </w:p>
          <w:p w14:paraId="63034C5A" w14:textId="77777777" w:rsidR="006E599E" w:rsidRPr="006E599E" w:rsidRDefault="006E599E" w:rsidP="000F3721">
            <w:pPr>
              <w:widowControl w:val="0"/>
              <w:rPr>
                <w:rFonts w:cs="Arial"/>
                <w:lang w:val="cs-CZ"/>
              </w:rPr>
            </w:pPr>
            <w:r w:rsidRPr="006E599E">
              <w:rPr>
                <w:rFonts w:cs="Arial"/>
                <w:lang w:val="cs-CZ"/>
              </w:rPr>
              <w:t xml:space="preserve">nebo zadavatel vůbec neumožnil bezplatný, neomezený a přímý přístup k zadávací dokumentaci elektronickým způsobem </w:t>
            </w:r>
          </w:p>
        </w:tc>
      </w:tr>
      <w:tr w:rsidR="006E599E" w:rsidRPr="006E599E" w14:paraId="299A8243" w14:textId="77777777" w:rsidTr="000F3721">
        <w:trPr>
          <w:trHeight w:val="20"/>
        </w:trPr>
        <w:tc>
          <w:tcPr>
            <w:tcW w:w="357" w:type="pct"/>
            <w:vMerge w:val="restart"/>
            <w:tcBorders>
              <w:top w:val="single" w:sz="12" w:space="0" w:color="auto"/>
            </w:tcBorders>
            <w:tcMar>
              <w:top w:w="113" w:type="dxa"/>
              <w:bottom w:w="113" w:type="dxa"/>
            </w:tcMar>
          </w:tcPr>
          <w:p w14:paraId="3D5D011D"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34009179" w14:textId="77777777" w:rsidR="006E599E" w:rsidRPr="006E599E" w:rsidRDefault="006E599E" w:rsidP="000F3721">
            <w:pPr>
              <w:widowControl w:val="0"/>
              <w:rPr>
                <w:rFonts w:cs="Arial"/>
                <w:lang w:val="cs-CZ"/>
              </w:rPr>
            </w:pPr>
            <w:r w:rsidRPr="006E599E">
              <w:rPr>
                <w:rFonts w:cs="Arial"/>
                <w:lang w:val="cs-CZ"/>
              </w:rPr>
              <w:t>Neuveřejnění prodloužení lhůty pro podání nabídek, předběžných nabídek nebo žádostí o účast</w:t>
            </w:r>
          </w:p>
          <w:p w14:paraId="14D9A3EE" w14:textId="77777777" w:rsidR="006E599E" w:rsidRPr="006E599E" w:rsidRDefault="006E599E" w:rsidP="000F3721">
            <w:pPr>
              <w:widowControl w:val="0"/>
              <w:rPr>
                <w:rFonts w:cs="Arial"/>
                <w:lang w:val="cs-CZ"/>
              </w:rPr>
            </w:pPr>
            <w:r w:rsidRPr="006E599E">
              <w:rPr>
                <w:rFonts w:cs="Arial"/>
                <w:lang w:val="cs-CZ"/>
              </w:rPr>
              <w:t>nebo</w:t>
            </w:r>
          </w:p>
          <w:p w14:paraId="7C72942F" w14:textId="77777777" w:rsidR="006E599E" w:rsidRPr="006E599E" w:rsidRDefault="006E599E" w:rsidP="000F3721">
            <w:pPr>
              <w:widowControl w:val="0"/>
              <w:rPr>
                <w:rFonts w:cs="Arial"/>
                <w:lang w:val="cs-CZ"/>
              </w:rPr>
            </w:pPr>
            <w:r w:rsidRPr="006E599E">
              <w:rPr>
                <w:rFonts w:cs="Arial"/>
                <w:lang w:val="cs-CZ"/>
              </w:rPr>
              <w:t>neprodloužení této lhůty při nedodržení stanovené lhůty pro poskytnutí vysvětlení</w:t>
            </w:r>
          </w:p>
        </w:tc>
        <w:tc>
          <w:tcPr>
            <w:tcW w:w="1548" w:type="pct"/>
            <w:vMerge w:val="restart"/>
            <w:tcBorders>
              <w:top w:val="single" w:sz="12" w:space="0" w:color="auto"/>
            </w:tcBorders>
            <w:tcMar>
              <w:top w:w="113" w:type="dxa"/>
              <w:bottom w:w="113" w:type="dxa"/>
            </w:tcMar>
          </w:tcPr>
          <w:p w14:paraId="52ABCE27" w14:textId="77777777" w:rsidR="006E599E" w:rsidRPr="006E599E" w:rsidRDefault="006E599E" w:rsidP="000F3721">
            <w:pPr>
              <w:widowControl w:val="0"/>
              <w:rPr>
                <w:rFonts w:cs="Arial"/>
                <w:lang w:val="cs-CZ"/>
              </w:rPr>
            </w:pPr>
            <w:r w:rsidRPr="006E599E">
              <w:rPr>
                <w:rFonts w:cs="Arial"/>
                <w:lang w:val="cs-CZ"/>
              </w:rPr>
              <w:t xml:space="preserve">Zadavatel v průběhu výběrového/zadávacího řízení prodloužil lhůtu pro podání nabídek, předběžných nabídek nebo žádostí o účast, aniž by tuto skutečnost uveřejnil způsobem stanoveným v zákoně nebo v pravidlech IROP, příp. v MPZ, resp. způsobem, jakým bylo zahájeno výběrové/zadávací řízení, </w:t>
            </w:r>
            <w:r w:rsidRPr="006E599E">
              <w:rPr>
                <w:rFonts w:cs="Arial"/>
                <w:lang w:val="cs-CZ"/>
              </w:rPr>
              <w:lastRenderedPageBreak/>
              <w:t xml:space="preserve">nebo ačkoliv žádost o vysvětlení byla doručena včas, zadavatel toto vysvětlení neuveřejnil, neodeslal nebo nepředal ve stanovené lhůtě a současně neprodloužil lhůtu pro podání nabídek. </w:t>
            </w:r>
          </w:p>
        </w:tc>
        <w:tc>
          <w:tcPr>
            <w:tcW w:w="1547" w:type="pct"/>
            <w:tcBorders>
              <w:top w:val="single" w:sz="12" w:space="0" w:color="auto"/>
            </w:tcBorders>
            <w:tcMar>
              <w:top w:w="113" w:type="dxa"/>
              <w:bottom w:w="113" w:type="dxa"/>
            </w:tcMar>
          </w:tcPr>
          <w:p w14:paraId="24108A68" w14:textId="77777777" w:rsidR="006E599E" w:rsidRPr="006E599E" w:rsidRDefault="006E599E" w:rsidP="000F3721">
            <w:pPr>
              <w:widowControl w:val="0"/>
              <w:rPr>
                <w:rFonts w:cs="Arial"/>
                <w:lang w:val="cs-CZ"/>
              </w:rPr>
            </w:pPr>
            <w:r w:rsidRPr="006E599E">
              <w:rPr>
                <w:rFonts w:cs="Arial"/>
                <w:lang w:val="cs-CZ"/>
              </w:rPr>
              <w:lastRenderedPageBreak/>
              <w:t>5 %, pokud došlo k uveřejnění jiným vhodným způsobem</w:t>
            </w:r>
          </w:p>
        </w:tc>
      </w:tr>
      <w:tr w:rsidR="006E599E" w:rsidRPr="006E599E" w14:paraId="1E39911D" w14:textId="77777777" w:rsidTr="000F3721">
        <w:trPr>
          <w:trHeight w:val="1140"/>
        </w:trPr>
        <w:tc>
          <w:tcPr>
            <w:tcW w:w="357" w:type="pct"/>
            <w:vMerge/>
            <w:tcMar>
              <w:top w:w="113" w:type="dxa"/>
              <w:bottom w:w="113" w:type="dxa"/>
            </w:tcMar>
          </w:tcPr>
          <w:p w14:paraId="27840CF2"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0FF17A22"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3DE71224" w14:textId="77777777" w:rsidR="006E599E" w:rsidRPr="006E599E" w:rsidRDefault="006E599E" w:rsidP="000F3721">
            <w:pPr>
              <w:widowControl w:val="0"/>
              <w:rPr>
                <w:rFonts w:cs="Arial"/>
                <w:lang w:val="cs-CZ"/>
              </w:rPr>
            </w:pPr>
          </w:p>
        </w:tc>
        <w:tc>
          <w:tcPr>
            <w:tcW w:w="1547" w:type="pct"/>
            <w:tcMar>
              <w:top w:w="113" w:type="dxa"/>
              <w:bottom w:w="113" w:type="dxa"/>
            </w:tcMar>
          </w:tcPr>
          <w:p w14:paraId="64AFB3DC" w14:textId="77777777" w:rsidR="006E599E" w:rsidRPr="006E599E" w:rsidRDefault="006E599E" w:rsidP="000F3721">
            <w:pPr>
              <w:widowControl w:val="0"/>
              <w:rPr>
                <w:rFonts w:cs="Arial"/>
                <w:lang w:val="cs-CZ"/>
              </w:rPr>
            </w:pPr>
            <w:r w:rsidRPr="006E599E">
              <w:rPr>
                <w:rFonts w:cs="Arial"/>
                <w:lang w:val="cs-CZ"/>
              </w:rPr>
              <w:t xml:space="preserve">10 %, pokud nedošlo k uveřejnění, </w:t>
            </w:r>
          </w:p>
          <w:p w14:paraId="4393F562" w14:textId="77777777" w:rsidR="006E599E" w:rsidRPr="006E599E" w:rsidRDefault="006E599E" w:rsidP="000F3721">
            <w:pPr>
              <w:widowControl w:val="0"/>
              <w:rPr>
                <w:rFonts w:cs="Arial"/>
                <w:lang w:val="cs-CZ"/>
              </w:rPr>
            </w:pPr>
            <w:r w:rsidRPr="006E599E">
              <w:rPr>
                <w:rFonts w:cs="Arial"/>
                <w:lang w:val="cs-CZ"/>
              </w:rPr>
              <w:t>nebo pokud nedošlo k prodloužení lhůty pro podání nabídek v důsledku nedodržení lhůty pro poskytnutí vysvětlení zadávací dokumentace</w:t>
            </w:r>
          </w:p>
        </w:tc>
      </w:tr>
      <w:tr w:rsidR="006E599E" w:rsidRPr="006E599E" w14:paraId="0FA75E4B" w14:textId="77777777" w:rsidTr="000F3721">
        <w:trPr>
          <w:trHeight w:val="1140"/>
        </w:trPr>
        <w:tc>
          <w:tcPr>
            <w:tcW w:w="357" w:type="pct"/>
            <w:vMerge w:val="restart"/>
            <w:tcMar>
              <w:top w:w="113" w:type="dxa"/>
              <w:bottom w:w="113" w:type="dxa"/>
            </w:tcMar>
          </w:tcPr>
          <w:p w14:paraId="2180B737"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Mar>
              <w:top w:w="113" w:type="dxa"/>
              <w:bottom w:w="113" w:type="dxa"/>
            </w:tcMar>
          </w:tcPr>
          <w:p w14:paraId="62017CDD" w14:textId="77777777" w:rsidR="006E599E" w:rsidRPr="006E599E" w:rsidRDefault="006E599E" w:rsidP="000F3721">
            <w:pPr>
              <w:widowControl w:val="0"/>
              <w:rPr>
                <w:rFonts w:cs="Arial"/>
                <w:lang w:val="cs-CZ"/>
              </w:rPr>
            </w:pPr>
            <w:r w:rsidRPr="006E599E">
              <w:rPr>
                <w:rFonts w:cs="Arial"/>
                <w:lang w:val="cs-CZ"/>
              </w:rPr>
              <w:t>Použití jednacího řízení s uveřejněním nebo soutěžního dialogu v rozporu se zákonem</w:t>
            </w:r>
          </w:p>
        </w:tc>
        <w:tc>
          <w:tcPr>
            <w:tcW w:w="1548" w:type="pct"/>
            <w:vMerge w:val="restart"/>
            <w:tcMar>
              <w:top w:w="113" w:type="dxa"/>
              <w:bottom w:w="113" w:type="dxa"/>
            </w:tcMar>
          </w:tcPr>
          <w:p w14:paraId="6E2019DA" w14:textId="0A20CB1C" w:rsidR="006E599E" w:rsidRPr="006E599E" w:rsidRDefault="006E599E" w:rsidP="000F3721">
            <w:pPr>
              <w:widowControl w:val="0"/>
              <w:rPr>
                <w:rFonts w:cs="Arial"/>
                <w:lang w:val="cs-CZ"/>
              </w:rPr>
            </w:pPr>
            <w:r w:rsidRPr="006E599E">
              <w:rPr>
                <w:rFonts w:cs="Arial"/>
                <w:lang w:val="cs-CZ"/>
              </w:rPr>
              <w:t>Zadavatel zadal veřejnou zakázku v jednacím řízení s uveřejněním nebo v soutěžním dialogu, aniž by</w:t>
            </w:r>
            <w:r w:rsidR="007D51DF">
              <w:rPr>
                <w:rFonts w:cs="Arial"/>
                <w:lang w:val="cs-CZ"/>
              </w:rPr>
              <w:t>,</w:t>
            </w:r>
            <w:r w:rsidRPr="006E599E">
              <w:rPr>
                <w:rFonts w:cs="Arial"/>
                <w:lang w:val="cs-CZ"/>
              </w:rPr>
              <w:t xml:space="preserve"> byly splněny zákonné podmínky pro takový postup, nebo v průběhu jednacího řízení s uveřejněním nebo v soutěžním dialogu podstatně změnil zadávací podmínky.</w:t>
            </w:r>
          </w:p>
        </w:tc>
        <w:tc>
          <w:tcPr>
            <w:tcW w:w="1547" w:type="pct"/>
            <w:tcMar>
              <w:top w:w="113" w:type="dxa"/>
              <w:bottom w:w="113" w:type="dxa"/>
            </w:tcMar>
          </w:tcPr>
          <w:p w14:paraId="608CABCA" w14:textId="77777777" w:rsidR="006E599E" w:rsidRPr="006E599E" w:rsidRDefault="006E599E" w:rsidP="000F3721">
            <w:pPr>
              <w:widowControl w:val="0"/>
              <w:rPr>
                <w:rFonts w:cs="Arial"/>
                <w:lang w:val="cs-CZ"/>
              </w:rPr>
            </w:pPr>
            <w:r w:rsidRPr="006E599E">
              <w:rPr>
                <w:rFonts w:cs="Arial"/>
                <w:lang w:val="cs-CZ"/>
              </w:rPr>
              <w:t>25 %</w:t>
            </w:r>
          </w:p>
        </w:tc>
      </w:tr>
      <w:tr w:rsidR="006E599E" w:rsidRPr="006E599E" w14:paraId="7B98561D" w14:textId="77777777" w:rsidTr="000F3721">
        <w:trPr>
          <w:trHeight w:val="1140"/>
        </w:trPr>
        <w:tc>
          <w:tcPr>
            <w:tcW w:w="357" w:type="pct"/>
            <w:vMerge/>
            <w:tcBorders>
              <w:bottom w:val="single" w:sz="12" w:space="0" w:color="auto"/>
            </w:tcBorders>
            <w:tcMar>
              <w:top w:w="113" w:type="dxa"/>
              <w:bottom w:w="113" w:type="dxa"/>
            </w:tcMar>
          </w:tcPr>
          <w:p w14:paraId="22D92B08"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12" w:space="0" w:color="auto"/>
            </w:tcBorders>
            <w:tcMar>
              <w:top w:w="113" w:type="dxa"/>
              <w:bottom w:w="113" w:type="dxa"/>
            </w:tcMar>
          </w:tcPr>
          <w:p w14:paraId="005485D6" w14:textId="77777777" w:rsidR="006E599E" w:rsidRPr="006E599E" w:rsidRDefault="006E599E" w:rsidP="000F3721">
            <w:pPr>
              <w:widowControl w:val="0"/>
              <w:rPr>
                <w:rFonts w:cs="Arial"/>
                <w:lang w:val="cs-CZ"/>
              </w:rPr>
            </w:pPr>
          </w:p>
        </w:tc>
        <w:tc>
          <w:tcPr>
            <w:tcW w:w="1548" w:type="pct"/>
            <w:vMerge/>
            <w:tcBorders>
              <w:bottom w:val="single" w:sz="12" w:space="0" w:color="auto"/>
            </w:tcBorders>
            <w:tcMar>
              <w:top w:w="113" w:type="dxa"/>
              <w:bottom w:w="113" w:type="dxa"/>
            </w:tcMar>
          </w:tcPr>
          <w:p w14:paraId="459F117F" w14:textId="77777777" w:rsidR="006E599E" w:rsidRPr="006E599E" w:rsidRDefault="006E599E" w:rsidP="000F3721">
            <w:pPr>
              <w:widowControl w:val="0"/>
              <w:rPr>
                <w:rFonts w:cs="Arial"/>
                <w:lang w:val="cs-CZ"/>
              </w:rPr>
            </w:pPr>
          </w:p>
        </w:tc>
        <w:tc>
          <w:tcPr>
            <w:tcW w:w="1547" w:type="pct"/>
            <w:tcBorders>
              <w:bottom w:val="single" w:sz="12" w:space="0" w:color="auto"/>
            </w:tcBorders>
            <w:tcMar>
              <w:top w:w="113" w:type="dxa"/>
              <w:bottom w:w="113" w:type="dxa"/>
            </w:tcMar>
          </w:tcPr>
          <w:p w14:paraId="026F1C2B" w14:textId="77777777" w:rsidR="006E599E" w:rsidRPr="006E599E" w:rsidRDefault="006E599E" w:rsidP="000F3721">
            <w:pPr>
              <w:widowControl w:val="0"/>
              <w:rPr>
                <w:rFonts w:cs="Arial"/>
                <w:lang w:val="cs-CZ"/>
              </w:rPr>
            </w:pPr>
            <w:r w:rsidRPr="006E599E">
              <w:rPr>
                <w:rFonts w:cs="Arial"/>
                <w:lang w:val="cs-CZ"/>
              </w:rPr>
              <w:t>10 %, pokud byla zajištěna transparentnost zadávacího řízení vč. zdůvodnění užití tohoto druhu řízení v zadávací dokumentaci</w:t>
            </w:r>
            <w:r w:rsidRPr="006E599E">
              <w:rPr>
                <w:rStyle w:val="Odkaznakoment"/>
                <w:rFonts w:cs="Arial"/>
                <w:sz w:val="22"/>
                <w:szCs w:val="22"/>
                <w:lang w:val="cs-CZ"/>
              </w:rPr>
              <w:t xml:space="preserve">, </w:t>
            </w:r>
            <w:r w:rsidRPr="006E599E">
              <w:rPr>
                <w:rFonts w:cs="Arial"/>
                <w:lang w:val="cs-CZ"/>
              </w:rPr>
              <w:t xml:space="preserve">nebyl omezen počet potenciálních dodavatelů, kteří mohli podat nabídku nebo žádost o účast, a současně byl zajištěn rovný přístup ke všem účastníkům, kteří podali nabídku či žádost o účast </w:t>
            </w:r>
          </w:p>
        </w:tc>
      </w:tr>
      <w:tr w:rsidR="006E599E" w:rsidRPr="006E599E" w14:paraId="36E4D451" w14:textId="77777777" w:rsidTr="000F3721">
        <w:trPr>
          <w:trHeight w:val="20"/>
        </w:trPr>
        <w:tc>
          <w:tcPr>
            <w:tcW w:w="357" w:type="pct"/>
            <w:vMerge w:val="restart"/>
            <w:tcBorders>
              <w:top w:val="single" w:sz="12" w:space="0" w:color="auto"/>
            </w:tcBorders>
            <w:tcMar>
              <w:top w:w="113" w:type="dxa"/>
              <w:bottom w:w="113" w:type="dxa"/>
            </w:tcMar>
          </w:tcPr>
          <w:p w14:paraId="1E2C9518"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2F607C2E" w14:textId="77777777" w:rsidR="006E599E" w:rsidRPr="006E599E" w:rsidRDefault="006E599E" w:rsidP="000F3721">
            <w:pPr>
              <w:widowControl w:val="0"/>
              <w:rPr>
                <w:rFonts w:cs="Arial"/>
                <w:lang w:val="cs-CZ"/>
              </w:rPr>
            </w:pPr>
            <w:r w:rsidRPr="006E599E">
              <w:rPr>
                <w:rFonts w:cs="Arial"/>
                <w:lang w:val="cs-CZ"/>
              </w:rPr>
              <w:t>Nesoulad se stanovenými postupy pro elektronické nebo souhrnné zadávání veřejných zakázek</w:t>
            </w:r>
            <w:r w:rsidRPr="006E599E">
              <w:rPr>
                <w:rStyle w:val="Znakapoznpodarou"/>
                <w:rFonts w:cs="Arial"/>
                <w:lang w:val="cs-CZ"/>
              </w:rPr>
              <w:footnoteReference w:id="3"/>
            </w:r>
          </w:p>
        </w:tc>
        <w:tc>
          <w:tcPr>
            <w:tcW w:w="1548" w:type="pct"/>
            <w:vMerge w:val="restart"/>
            <w:tcBorders>
              <w:top w:val="single" w:sz="12" w:space="0" w:color="auto"/>
            </w:tcBorders>
            <w:tcMar>
              <w:top w:w="113" w:type="dxa"/>
              <w:bottom w:w="113" w:type="dxa"/>
            </w:tcMar>
          </w:tcPr>
          <w:p w14:paraId="2388CEF9" w14:textId="77777777" w:rsidR="006E599E" w:rsidRPr="006E599E" w:rsidRDefault="006E599E" w:rsidP="000F3721">
            <w:pPr>
              <w:widowControl w:val="0"/>
              <w:rPr>
                <w:rFonts w:cs="Arial"/>
                <w:lang w:val="cs-CZ"/>
              </w:rPr>
            </w:pPr>
            <w:r w:rsidRPr="006E599E">
              <w:rPr>
                <w:rFonts w:cs="Arial"/>
                <w:lang w:val="cs-CZ"/>
              </w:rPr>
              <w:t>Nedodržení stanovených postupů pro elektronické nebo souhrnné zadávání veřejných zakázek (tj. rámcové dohody, dynamické nákupní systémy, elektronické aukce, elektronické katalogy, centralizované zadávání, společné zadávání a postupy centrálních zadavatelů).</w:t>
            </w:r>
          </w:p>
          <w:p w14:paraId="5278ED43" w14:textId="77777777" w:rsidR="006E599E" w:rsidRPr="006E599E" w:rsidRDefault="006E599E" w:rsidP="000F3721">
            <w:pPr>
              <w:widowControl w:val="0"/>
              <w:rPr>
                <w:rFonts w:cs="Arial"/>
                <w:lang w:val="cs-CZ"/>
              </w:rPr>
            </w:pPr>
          </w:p>
        </w:tc>
        <w:tc>
          <w:tcPr>
            <w:tcW w:w="1547" w:type="pct"/>
            <w:tcBorders>
              <w:top w:val="single" w:sz="12" w:space="0" w:color="auto"/>
            </w:tcBorders>
            <w:tcMar>
              <w:top w:w="113" w:type="dxa"/>
              <w:bottom w:w="113" w:type="dxa"/>
            </w:tcMar>
          </w:tcPr>
          <w:p w14:paraId="04331622" w14:textId="77777777" w:rsidR="006E599E" w:rsidRPr="006E599E" w:rsidRDefault="006E599E" w:rsidP="000F3721">
            <w:pPr>
              <w:widowControl w:val="0"/>
              <w:rPr>
                <w:rFonts w:cs="Arial"/>
                <w:lang w:val="cs-CZ"/>
              </w:rPr>
            </w:pPr>
            <w:r w:rsidRPr="006E599E">
              <w:rPr>
                <w:rFonts w:cs="Arial"/>
                <w:lang w:val="cs-CZ"/>
              </w:rPr>
              <w:lastRenderedPageBreak/>
              <w:t>10 %, pokud nedodržení mohlo mít za následek odrazení potenciálních dodavatelů od účasti ve výběrovém/zadávacím řízení</w:t>
            </w:r>
          </w:p>
        </w:tc>
      </w:tr>
      <w:tr w:rsidR="006E599E" w:rsidRPr="006E599E" w14:paraId="4D67152C" w14:textId="77777777" w:rsidTr="000F3721">
        <w:trPr>
          <w:trHeight w:val="20"/>
        </w:trPr>
        <w:tc>
          <w:tcPr>
            <w:tcW w:w="357" w:type="pct"/>
            <w:vMerge/>
            <w:tcMar>
              <w:top w:w="113" w:type="dxa"/>
              <w:bottom w:w="113" w:type="dxa"/>
            </w:tcMar>
          </w:tcPr>
          <w:p w14:paraId="03B20996"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60267105"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3DCAA921" w14:textId="77777777" w:rsidR="006E599E" w:rsidRPr="006E599E" w:rsidRDefault="006E599E" w:rsidP="000F3721">
            <w:pPr>
              <w:widowControl w:val="0"/>
              <w:rPr>
                <w:rFonts w:cs="Arial"/>
                <w:lang w:val="cs-CZ"/>
              </w:rPr>
            </w:pPr>
          </w:p>
        </w:tc>
        <w:tc>
          <w:tcPr>
            <w:tcW w:w="1547" w:type="pct"/>
            <w:tcBorders>
              <w:top w:val="single" w:sz="12" w:space="0" w:color="auto"/>
            </w:tcBorders>
            <w:tcMar>
              <w:top w:w="113" w:type="dxa"/>
              <w:bottom w:w="113" w:type="dxa"/>
            </w:tcMar>
          </w:tcPr>
          <w:p w14:paraId="22C72870" w14:textId="77777777" w:rsidR="006E599E" w:rsidRPr="006E599E" w:rsidRDefault="006E599E" w:rsidP="000F3721">
            <w:pPr>
              <w:widowControl w:val="0"/>
              <w:rPr>
                <w:rFonts w:cs="Arial"/>
                <w:lang w:val="cs-CZ"/>
              </w:rPr>
            </w:pPr>
            <w:r w:rsidRPr="006E599E">
              <w:rPr>
                <w:rFonts w:cs="Arial"/>
                <w:lang w:val="cs-CZ"/>
              </w:rPr>
              <w:t xml:space="preserve">25 %, pokud následkem tohoto porušení bylo přidělení veřejné zakázky jinému účastníkovi, než </w:t>
            </w:r>
            <w:r w:rsidRPr="006E599E">
              <w:rPr>
                <w:rFonts w:cs="Arial"/>
                <w:lang w:val="cs-CZ"/>
              </w:rPr>
              <w:lastRenderedPageBreak/>
              <w:t>který by zvítězil, pokud by se zadavatel pochybení nedopustil</w:t>
            </w:r>
          </w:p>
        </w:tc>
      </w:tr>
      <w:tr w:rsidR="006E599E" w:rsidRPr="006E599E" w14:paraId="2A5196F2" w14:textId="77777777" w:rsidTr="000F3721">
        <w:trPr>
          <w:trHeight w:val="20"/>
        </w:trPr>
        <w:tc>
          <w:tcPr>
            <w:tcW w:w="357" w:type="pct"/>
            <w:vMerge w:val="restart"/>
            <w:tcBorders>
              <w:top w:val="single" w:sz="12" w:space="0" w:color="auto"/>
            </w:tcBorders>
            <w:tcMar>
              <w:top w:w="113" w:type="dxa"/>
              <w:bottom w:w="113" w:type="dxa"/>
            </w:tcMar>
          </w:tcPr>
          <w:p w14:paraId="06A41394"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5F8FB908" w14:textId="77777777" w:rsidR="006E599E" w:rsidRPr="006E599E" w:rsidRDefault="006E599E" w:rsidP="000F3721">
            <w:pPr>
              <w:widowControl w:val="0"/>
              <w:rPr>
                <w:rFonts w:cs="Arial"/>
                <w:lang w:val="cs-CZ"/>
              </w:rPr>
            </w:pPr>
            <w:r w:rsidRPr="006E599E">
              <w:rPr>
                <w:rFonts w:cs="Arial"/>
                <w:lang w:val="cs-CZ"/>
              </w:rPr>
              <w:t>Neuvedení nebo nedostatečné vymezení požadavků na kvalifikaci nebo hodnotících kritérií a jejich vah, podmínek plnění veřejné zakázky nebo technické specifikace</w:t>
            </w:r>
          </w:p>
          <w:p w14:paraId="27BA3E73" w14:textId="77777777" w:rsidR="006E599E" w:rsidRPr="006E599E" w:rsidRDefault="006E599E" w:rsidP="000F3721">
            <w:pPr>
              <w:widowControl w:val="0"/>
              <w:rPr>
                <w:rFonts w:cs="Arial"/>
                <w:lang w:val="cs-CZ"/>
              </w:rPr>
            </w:pPr>
            <w:r w:rsidRPr="006E599E">
              <w:rPr>
                <w:rFonts w:cs="Arial"/>
                <w:lang w:val="cs-CZ"/>
              </w:rPr>
              <w:t xml:space="preserve">nebo </w:t>
            </w:r>
          </w:p>
          <w:p w14:paraId="2EFA93C0" w14:textId="77777777" w:rsidR="006E599E" w:rsidRPr="006E599E" w:rsidRDefault="006E599E" w:rsidP="000F3721">
            <w:pPr>
              <w:widowControl w:val="0"/>
              <w:rPr>
                <w:rFonts w:cs="Arial"/>
                <w:lang w:val="cs-CZ"/>
              </w:rPr>
            </w:pPr>
            <w:r w:rsidRPr="006E599E">
              <w:rPr>
                <w:rFonts w:cs="Arial"/>
                <w:lang w:val="cs-CZ"/>
              </w:rPr>
              <w:t>neuveřejnění či neposkytnutí vysvětlení objasňující či doplňující kvalifikační nebo hodnotící kritéria</w:t>
            </w:r>
          </w:p>
        </w:tc>
        <w:tc>
          <w:tcPr>
            <w:tcW w:w="1548" w:type="pct"/>
            <w:vMerge w:val="restart"/>
            <w:tcBorders>
              <w:top w:val="single" w:sz="12" w:space="0" w:color="auto"/>
            </w:tcBorders>
            <w:tcMar>
              <w:top w:w="113" w:type="dxa"/>
              <w:bottom w:w="113" w:type="dxa"/>
            </w:tcMar>
          </w:tcPr>
          <w:p w14:paraId="5E02FBA6" w14:textId="77777777" w:rsidR="006E599E" w:rsidRPr="006E599E" w:rsidRDefault="006E599E" w:rsidP="000F3721">
            <w:pPr>
              <w:widowControl w:val="0"/>
              <w:rPr>
                <w:rFonts w:cs="Arial"/>
                <w:lang w:val="cs-CZ"/>
              </w:rPr>
            </w:pPr>
            <w:r w:rsidRPr="006E599E">
              <w:rPr>
                <w:rFonts w:cs="Arial"/>
                <w:lang w:val="cs-CZ"/>
              </w:rPr>
              <w:t>Zadavatel neuvedl v oznámení o zahájení výběrového/zadávacího řízení požadavky na kvalifikaci, hodnotící kritéria (vč. jejich vah a jasného způsobu hodnocení nabídek), podmínky plnění veřejné zakázky nebo technické specifikace, případně tyto požadavky nevymezil dostatečně určitě</w:t>
            </w:r>
          </w:p>
          <w:p w14:paraId="337CF369" w14:textId="77777777" w:rsidR="006E599E" w:rsidRPr="006E599E" w:rsidRDefault="006E599E" w:rsidP="000F3721">
            <w:pPr>
              <w:widowControl w:val="0"/>
              <w:rPr>
                <w:rFonts w:cs="Arial"/>
                <w:lang w:val="cs-CZ"/>
              </w:rPr>
            </w:pPr>
            <w:r w:rsidRPr="006E599E">
              <w:rPr>
                <w:rFonts w:cs="Arial"/>
                <w:lang w:val="cs-CZ"/>
              </w:rPr>
              <w:t>nebo objasnění či doplnění kvalifikačních či hodnotících kritérií nebylo sděleno všem účastníkům, popř. tyto informace nebyly uveřejněny.</w:t>
            </w:r>
          </w:p>
        </w:tc>
        <w:tc>
          <w:tcPr>
            <w:tcW w:w="1547" w:type="pct"/>
            <w:tcBorders>
              <w:top w:val="single" w:sz="12" w:space="0" w:color="auto"/>
            </w:tcBorders>
            <w:tcMar>
              <w:top w:w="113" w:type="dxa"/>
              <w:bottom w:w="113" w:type="dxa"/>
            </w:tcMar>
          </w:tcPr>
          <w:p w14:paraId="5B92D065" w14:textId="77777777" w:rsidR="006E599E" w:rsidRPr="006E599E" w:rsidRDefault="006E599E" w:rsidP="000F3721">
            <w:pPr>
              <w:widowControl w:val="0"/>
              <w:rPr>
                <w:rFonts w:cs="Arial"/>
                <w:lang w:val="cs-CZ"/>
              </w:rPr>
            </w:pPr>
            <w:r w:rsidRPr="006E599E">
              <w:rPr>
                <w:rFonts w:cs="Arial"/>
                <w:lang w:val="cs-CZ"/>
              </w:rPr>
              <w:t>25 %, pokud nedošlo k uveřejnění kvalifikačních nebo hodnotících kritérií a jejich vah</w:t>
            </w:r>
          </w:p>
        </w:tc>
      </w:tr>
      <w:tr w:rsidR="006E599E" w:rsidRPr="006E599E" w14:paraId="46E496FF" w14:textId="77777777" w:rsidTr="000F3721">
        <w:trPr>
          <w:trHeight w:val="1140"/>
        </w:trPr>
        <w:tc>
          <w:tcPr>
            <w:tcW w:w="357" w:type="pct"/>
            <w:vMerge/>
            <w:tcBorders>
              <w:bottom w:val="single" w:sz="12" w:space="0" w:color="auto"/>
            </w:tcBorders>
            <w:tcMar>
              <w:top w:w="113" w:type="dxa"/>
              <w:bottom w:w="113" w:type="dxa"/>
            </w:tcMar>
          </w:tcPr>
          <w:p w14:paraId="17189D1B"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12" w:space="0" w:color="auto"/>
            </w:tcBorders>
            <w:tcMar>
              <w:top w:w="113" w:type="dxa"/>
              <w:bottom w:w="113" w:type="dxa"/>
            </w:tcMar>
          </w:tcPr>
          <w:p w14:paraId="264FCA76" w14:textId="77777777" w:rsidR="006E599E" w:rsidRPr="006E599E" w:rsidRDefault="006E599E" w:rsidP="000F3721">
            <w:pPr>
              <w:widowControl w:val="0"/>
              <w:rPr>
                <w:rFonts w:cs="Arial"/>
                <w:lang w:val="cs-CZ"/>
              </w:rPr>
            </w:pPr>
          </w:p>
        </w:tc>
        <w:tc>
          <w:tcPr>
            <w:tcW w:w="1548" w:type="pct"/>
            <w:vMerge/>
            <w:tcBorders>
              <w:bottom w:val="single" w:sz="12" w:space="0" w:color="auto"/>
            </w:tcBorders>
            <w:tcMar>
              <w:top w:w="113" w:type="dxa"/>
              <w:bottom w:w="113" w:type="dxa"/>
            </w:tcMar>
          </w:tcPr>
          <w:p w14:paraId="5E16C670" w14:textId="77777777" w:rsidR="006E599E" w:rsidRPr="006E599E" w:rsidRDefault="006E599E" w:rsidP="000F3721">
            <w:pPr>
              <w:widowControl w:val="0"/>
              <w:rPr>
                <w:rFonts w:cs="Arial"/>
                <w:lang w:val="cs-CZ"/>
              </w:rPr>
            </w:pPr>
          </w:p>
        </w:tc>
        <w:tc>
          <w:tcPr>
            <w:tcW w:w="1547" w:type="pct"/>
            <w:tcBorders>
              <w:bottom w:val="single" w:sz="12" w:space="0" w:color="auto"/>
            </w:tcBorders>
            <w:tcMar>
              <w:top w:w="113" w:type="dxa"/>
              <w:bottom w:w="113" w:type="dxa"/>
            </w:tcMar>
          </w:tcPr>
          <w:p w14:paraId="2AC7B205" w14:textId="77777777" w:rsidR="006E599E" w:rsidRPr="006E599E" w:rsidRDefault="006E599E" w:rsidP="000F3721">
            <w:pPr>
              <w:widowControl w:val="0"/>
              <w:rPr>
                <w:rFonts w:cs="Arial"/>
                <w:lang w:val="cs-CZ"/>
              </w:rPr>
            </w:pPr>
            <w:r w:rsidRPr="006E599E">
              <w:rPr>
                <w:rFonts w:cs="Arial"/>
                <w:lang w:val="cs-CZ"/>
              </w:rPr>
              <w:t>10 %, pokud podmínky plnění nebo technická specifikace nejsou v zadávací dokumentaci uvedeny, nebo</w:t>
            </w:r>
          </w:p>
          <w:p w14:paraId="4A0542E8" w14:textId="77777777" w:rsidR="006E599E" w:rsidRPr="006E599E" w:rsidRDefault="006E599E" w:rsidP="000F3721">
            <w:pPr>
              <w:widowControl w:val="0"/>
              <w:rPr>
                <w:rFonts w:cs="Arial"/>
                <w:lang w:val="cs-CZ"/>
              </w:rPr>
            </w:pPr>
            <w:r w:rsidRPr="006E599E">
              <w:rPr>
                <w:rFonts w:cs="Arial"/>
                <w:lang w:val="cs-CZ"/>
              </w:rPr>
              <w:t xml:space="preserve">hodnotící kritéria a jejich váhy nejsou uvedeny dostatečně určitě, což mohlo mít odrazující účinek na potenciální dodavatele, nebo vysvětlení objasňující či doplňující kvalifikační nebo hodnotící kritéria nebyla sdělena všem známým dodavatelům a/nebo nebyla uveřejněna  </w:t>
            </w:r>
          </w:p>
        </w:tc>
      </w:tr>
      <w:tr w:rsidR="006E599E" w:rsidRPr="006E599E" w14:paraId="73C308AE" w14:textId="77777777" w:rsidTr="000F3721">
        <w:trPr>
          <w:trHeight w:val="20"/>
        </w:trPr>
        <w:tc>
          <w:tcPr>
            <w:tcW w:w="357" w:type="pct"/>
            <w:vMerge w:val="restart"/>
            <w:tcBorders>
              <w:top w:val="single" w:sz="12" w:space="0" w:color="auto"/>
            </w:tcBorders>
            <w:tcMar>
              <w:top w:w="113" w:type="dxa"/>
              <w:bottom w:w="113" w:type="dxa"/>
            </w:tcMar>
          </w:tcPr>
          <w:p w14:paraId="4A8190E0"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679FABDA" w14:textId="77777777" w:rsidR="006E599E" w:rsidRPr="006E599E" w:rsidRDefault="006E599E" w:rsidP="000F3721">
            <w:pPr>
              <w:widowControl w:val="0"/>
              <w:rPr>
                <w:rFonts w:cs="Arial"/>
                <w:lang w:val="cs-CZ"/>
              </w:rPr>
            </w:pPr>
            <w:r w:rsidRPr="006E599E">
              <w:rPr>
                <w:rFonts w:cs="Arial"/>
                <w:lang w:val="cs-CZ"/>
              </w:rPr>
              <w:t xml:space="preserve">Stanovení diskriminačních kritérií pro vyloučení, požadavků na kvalifikaci dodavatelů, kritérií hodnocení nabídek, podmínek pro plnění veřejné zakázky nebo technických specifikací v rozporu se zákonem nebo s pravidly IROP, příp. s MPZ, a to ve vztahu k národním, regionálním nebo lokálním preferencím. </w:t>
            </w:r>
          </w:p>
        </w:tc>
        <w:tc>
          <w:tcPr>
            <w:tcW w:w="1548" w:type="pct"/>
            <w:vMerge w:val="restart"/>
            <w:tcBorders>
              <w:top w:val="single" w:sz="12" w:space="0" w:color="auto"/>
            </w:tcBorders>
            <w:tcMar>
              <w:top w:w="113" w:type="dxa"/>
              <w:bottom w:w="113" w:type="dxa"/>
            </w:tcMar>
          </w:tcPr>
          <w:p w14:paraId="7390B929" w14:textId="77777777" w:rsidR="006E599E" w:rsidRPr="006E599E" w:rsidRDefault="006E599E" w:rsidP="000F3721">
            <w:pPr>
              <w:widowControl w:val="0"/>
              <w:rPr>
                <w:rFonts w:cs="Arial"/>
                <w:lang w:val="cs-CZ"/>
              </w:rPr>
            </w:pPr>
            <w:r w:rsidRPr="006E599E">
              <w:rPr>
                <w:rFonts w:cs="Arial"/>
                <w:lang w:val="cs-CZ"/>
              </w:rPr>
              <w:t xml:space="preserve">Zadavatel stanovil diskriminační nebo jiná protiprávní kritéria pro vyloučení, </w:t>
            </w:r>
          </w:p>
          <w:p w14:paraId="121C5A79" w14:textId="77777777" w:rsidR="006E599E" w:rsidRPr="006E599E" w:rsidRDefault="006E599E" w:rsidP="006E599E">
            <w:pPr>
              <w:pStyle w:val="Odstavecseseznamem"/>
              <w:widowControl w:val="0"/>
              <w:numPr>
                <w:ilvl w:val="0"/>
                <w:numId w:val="17"/>
              </w:numPr>
              <w:spacing w:before="0" w:after="0" w:line="240" w:lineRule="auto"/>
              <w:contextualSpacing w:val="0"/>
              <w:jc w:val="left"/>
              <w:rPr>
                <w:rFonts w:cs="Arial"/>
                <w:lang w:val="cs-CZ"/>
              </w:rPr>
            </w:pPr>
            <w:r w:rsidRPr="006E599E">
              <w:rPr>
                <w:rFonts w:cs="Arial"/>
                <w:lang w:val="cs-CZ"/>
              </w:rPr>
              <w:t xml:space="preserve">požadavky na kvalifikaci dodavatelů, </w:t>
            </w:r>
          </w:p>
          <w:p w14:paraId="64C7A21B" w14:textId="77777777" w:rsidR="006E599E" w:rsidRPr="006E599E" w:rsidRDefault="006E599E" w:rsidP="006E599E">
            <w:pPr>
              <w:pStyle w:val="Odstavecseseznamem"/>
              <w:widowControl w:val="0"/>
              <w:numPr>
                <w:ilvl w:val="0"/>
                <w:numId w:val="17"/>
              </w:numPr>
              <w:spacing w:before="0" w:after="0" w:line="240" w:lineRule="auto"/>
              <w:contextualSpacing w:val="0"/>
              <w:jc w:val="left"/>
              <w:rPr>
                <w:rFonts w:cs="Arial"/>
                <w:lang w:val="cs-CZ"/>
              </w:rPr>
            </w:pPr>
            <w:r w:rsidRPr="006E599E">
              <w:rPr>
                <w:rFonts w:cs="Arial"/>
                <w:lang w:val="cs-CZ"/>
              </w:rPr>
              <w:t xml:space="preserve">kritéria hodnocení nabídek, </w:t>
            </w:r>
          </w:p>
          <w:p w14:paraId="59A2D0F4" w14:textId="77777777" w:rsidR="006E599E" w:rsidRPr="006E599E" w:rsidRDefault="006E599E" w:rsidP="006E599E">
            <w:pPr>
              <w:pStyle w:val="Odstavecseseznamem"/>
              <w:widowControl w:val="0"/>
              <w:numPr>
                <w:ilvl w:val="0"/>
                <w:numId w:val="17"/>
              </w:numPr>
              <w:spacing w:before="0" w:after="0" w:line="240" w:lineRule="auto"/>
              <w:contextualSpacing w:val="0"/>
              <w:jc w:val="left"/>
              <w:rPr>
                <w:rFonts w:cs="Arial"/>
                <w:lang w:val="cs-CZ"/>
              </w:rPr>
            </w:pPr>
            <w:r w:rsidRPr="006E599E">
              <w:rPr>
                <w:rFonts w:cs="Arial"/>
                <w:lang w:val="cs-CZ"/>
              </w:rPr>
              <w:t xml:space="preserve">podmínky pro plnění veřejné zakázky nebo </w:t>
            </w:r>
          </w:p>
          <w:p w14:paraId="5637171A" w14:textId="77777777" w:rsidR="006E599E" w:rsidRPr="006E599E" w:rsidRDefault="006E599E" w:rsidP="006E599E">
            <w:pPr>
              <w:pStyle w:val="Odstavecseseznamem"/>
              <w:widowControl w:val="0"/>
              <w:numPr>
                <w:ilvl w:val="0"/>
                <w:numId w:val="17"/>
              </w:numPr>
              <w:spacing w:before="0" w:after="0" w:line="240" w:lineRule="auto"/>
              <w:contextualSpacing w:val="0"/>
              <w:jc w:val="left"/>
              <w:rPr>
                <w:rFonts w:cs="Arial"/>
                <w:lang w:val="cs-CZ"/>
              </w:rPr>
            </w:pPr>
            <w:r w:rsidRPr="006E599E">
              <w:rPr>
                <w:rFonts w:cs="Arial"/>
                <w:lang w:val="cs-CZ"/>
              </w:rPr>
              <w:t>technické specifikace nutné pro účast ve výběrovém/zadáva</w:t>
            </w:r>
            <w:r w:rsidRPr="006E599E">
              <w:rPr>
                <w:rFonts w:cs="Arial"/>
                <w:lang w:val="cs-CZ"/>
              </w:rPr>
              <w:lastRenderedPageBreak/>
              <w:t>cím řízení ve vztahu k místu realizace (např. v případě požadavku na zkušenosti, zařízení, provozovnu atd. z určitého regionu či státu).</w:t>
            </w:r>
          </w:p>
        </w:tc>
        <w:tc>
          <w:tcPr>
            <w:tcW w:w="1547" w:type="pct"/>
            <w:tcBorders>
              <w:top w:val="single" w:sz="12" w:space="0" w:color="auto"/>
            </w:tcBorders>
            <w:tcMar>
              <w:top w:w="113" w:type="dxa"/>
              <w:bottom w:w="113" w:type="dxa"/>
            </w:tcMar>
          </w:tcPr>
          <w:p w14:paraId="1A7E20F5" w14:textId="77777777" w:rsidR="006E599E" w:rsidRPr="006E599E" w:rsidRDefault="006E599E" w:rsidP="000F3721">
            <w:pPr>
              <w:widowControl w:val="0"/>
              <w:rPr>
                <w:rFonts w:cs="Arial"/>
                <w:lang w:val="cs-CZ"/>
              </w:rPr>
            </w:pPr>
            <w:r w:rsidRPr="006E599E">
              <w:rPr>
                <w:rFonts w:cs="Arial"/>
                <w:lang w:val="cs-CZ"/>
              </w:rPr>
              <w:lastRenderedPageBreak/>
              <w:t>25 %, pokud mohlo dojít k odrazení potenciálních dodavatelů od účasti ve výběrovém/zadávacím řízení</w:t>
            </w:r>
          </w:p>
        </w:tc>
      </w:tr>
      <w:tr w:rsidR="006E599E" w:rsidRPr="006E599E" w14:paraId="5C3B5786" w14:textId="77777777" w:rsidTr="000F3721">
        <w:trPr>
          <w:trHeight w:val="1140"/>
        </w:trPr>
        <w:tc>
          <w:tcPr>
            <w:tcW w:w="357" w:type="pct"/>
            <w:vMerge/>
            <w:tcBorders>
              <w:bottom w:val="single" w:sz="12" w:space="0" w:color="auto"/>
            </w:tcBorders>
            <w:tcMar>
              <w:top w:w="113" w:type="dxa"/>
              <w:bottom w:w="113" w:type="dxa"/>
            </w:tcMar>
          </w:tcPr>
          <w:p w14:paraId="1C30E576"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12" w:space="0" w:color="auto"/>
            </w:tcBorders>
            <w:tcMar>
              <w:top w:w="113" w:type="dxa"/>
              <w:bottom w:w="113" w:type="dxa"/>
            </w:tcMar>
          </w:tcPr>
          <w:p w14:paraId="1ADFA939" w14:textId="77777777" w:rsidR="006E599E" w:rsidRPr="006E599E" w:rsidRDefault="006E599E" w:rsidP="000F3721">
            <w:pPr>
              <w:widowControl w:val="0"/>
              <w:rPr>
                <w:rFonts w:cs="Arial"/>
                <w:lang w:val="cs-CZ"/>
              </w:rPr>
            </w:pPr>
          </w:p>
        </w:tc>
        <w:tc>
          <w:tcPr>
            <w:tcW w:w="1548" w:type="pct"/>
            <w:vMerge/>
            <w:tcBorders>
              <w:bottom w:val="single" w:sz="12" w:space="0" w:color="auto"/>
            </w:tcBorders>
            <w:tcMar>
              <w:top w:w="113" w:type="dxa"/>
              <w:bottom w:w="113" w:type="dxa"/>
            </w:tcMar>
          </w:tcPr>
          <w:p w14:paraId="116BC2E1" w14:textId="77777777" w:rsidR="006E599E" w:rsidRPr="006E599E" w:rsidRDefault="006E599E" w:rsidP="000F3721">
            <w:pPr>
              <w:widowControl w:val="0"/>
              <w:rPr>
                <w:rFonts w:cs="Arial"/>
                <w:lang w:val="cs-CZ"/>
              </w:rPr>
            </w:pPr>
          </w:p>
        </w:tc>
        <w:tc>
          <w:tcPr>
            <w:tcW w:w="1547" w:type="pct"/>
            <w:tcBorders>
              <w:bottom w:val="single" w:sz="12" w:space="0" w:color="auto"/>
            </w:tcBorders>
            <w:tcMar>
              <w:top w:w="113" w:type="dxa"/>
              <w:bottom w:w="113" w:type="dxa"/>
            </w:tcMar>
          </w:tcPr>
          <w:p w14:paraId="6E1FFD0A" w14:textId="77777777" w:rsidR="006E599E" w:rsidRPr="006E599E" w:rsidRDefault="006E599E" w:rsidP="000F3721">
            <w:pPr>
              <w:widowControl w:val="0"/>
              <w:rPr>
                <w:rFonts w:cs="Arial"/>
                <w:lang w:val="cs-CZ"/>
              </w:rPr>
            </w:pPr>
            <w:r w:rsidRPr="006E599E">
              <w:rPr>
                <w:rFonts w:cs="Arial"/>
                <w:lang w:val="cs-CZ"/>
              </w:rPr>
              <w:t>10 %, pokud byla zajištěna minimální míra hospodářské soutěže</w:t>
            </w:r>
          </w:p>
        </w:tc>
      </w:tr>
      <w:tr w:rsidR="006E599E" w:rsidRPr="006E599E" w14:paraId="0113AB04" w14:textId="77777777" w:rsidTr="000F3721">
        <w:trPr>
          <w:trHeight w:val="20"/>
        </w:trPr>
        <w:tc>
          <w:tcPr>
            <w:tcW w:w="357" w:type="pct"/>
            <w:vMerge w:val="restart"/>
            <w:tcBorders>
              <w:top w:val="single" w:sz="12" w:space="0" w:color="auto"/>
            </w:tcBorders>
            <w:tcMar>
              <w:top w:w="113" w:type="dxa"/>
              <w:bottom w:w="113" w:type="dxa"/>
            </w:tcMar>
          </w:tcPr>
          <w:p w14:paraId="6B99A949"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01004E29" w14:textId="77777777" w:rsidR="006E599E" w:rsidRPr="006E599E" w:rsidRDefault="006E599E" w:rsidP="000F3721">
            <w:pPr>
              <w:widowControl w:val="0"/>
              <w:rPr>
                <w:rFonts w:cs="Arial"/>
                <w:lang w:val="cs-CZ"/>
              </w:rPr>
            </w:pPr>
            <w:r w:rsidRPr="006E599E">
              <w:rPr>
                <w:rFonts w:cs="Arial"/>
                <w:lang w:val="cs-CZ"/>
              </w:rPr>
              <w:t>Stanovení diskriminačních kritérií pro vyloučení, požadavků na kvalifikaci dodavatelů, kritérií hodnocení nabídek, podmínek pro plnění veřejné zakázky nebo technických specifikací v rozporu se zákonem nebo s pravidly, příp. s MPZ v IROP v ostatních aspektech než je uvedeno v předchozím bodu</w:t>
            </w:r>
          </w:p>
        </w:tc>
        <w:tc>
          <w:tcPr>
            <w:tcW w:w="1548" w:type="pct"/>
            <w:vMerge w:val="restart"/>
            <w:tcBorders>
              <w:top w:val="single" w:sz="12" w:space="0" w:color="auto"/>
            </w:tcBorders>
            <w:tcMar>
              <w:top w:w="113" w:type="dxa"/>
              <w:bottom w:w="113" w:type="dxa"/>
            </w:tcMar>
          </w:tcPr>
          <w:p w14:paraId="03C31918" w14:textId="77777777" w:rsidR="006E599E" w:rsidRPr="006E599E" w:rsidRDefault="006E599E" w:rsidP="000F3721">
            <w:pPr>
              <w:widowControl w:val="0"/>
              <w:rPr>
                <w:rFonts w:cs="Arial"/>
                <w:lang w:val="cs-CZ"/>
              </w:rPr>
            </w:pPr>
            <w:r w:rsidRPr="006E599E">
              <w:rPr>
                <w:rFonts w:cs="Arial"/>
                <w:lang w:val="cs-CZ"/>
              </w:rPr>
              <w:t>Zadavatel stanovil diskriminační nebo jiná protiprávní kritéria pro vyloučení, požadavky na kvalifikaci dodavatelů, kritéria hodnocení nabídek, podmínky pro plnění veřejné zakázky nebo technické specifikace nutné pro účast ve výběrovém/zadávacím řízení (např. požadavky bezprostředně nesouvisející s předmětem veřejné zakázky, nebo hodnotící kritéria nevyjadřující vztah užitné hodnoty a ceny).</w:t>
            </w:r>
          </w:p>
        </w:tc>
        <w:tc>
          <w:tcPr>
            <w:tcW w:w="1547" w:type="pct"/>
            <w:tcBorders>
              <w:top w:val="single" w:sz="12" w:space="0" w:color="auto"/>
            </w:tcBorders>
            <w:tcMar>
              <w:top w:w="113" w:type="dxa"/>
              <w:bottom w:w="113" w:type="dxa"/>
            </w:tcMar>
          </w:tcPr>
          <w:p w14:paraId="6EA668E9" w14:textId="77777777" w:rsidR="006E599E" w:rsidRPr="006E599E" w:rsidRDefault="006E599E" w:rsidP="000F3721">
            <w:pPr>
              <w:widowControl w:val="0"/>
              <w:rPr>
                <w:rFonts w:cs="Arial"/>
                <w:lang w:val="cs-CZ"/>
              </w:rPr>
            </w:pPr>
            <w:r w:rsidRPr="006E599E">
              <w:rPr>
                <w:rFonts w:cs="Arial"/>
                <w:lang w:val="cs-CZ"/>
              </w:rPr>
              <w:t>25 %, pokud stanovené podmínky zjevně neodpovídají předmětu veřejné zakázky nebo v případech, kdy toto omezení umožnilo účast pouze jednoho dodavatele a současně účast tohoto jednoho dodavatele není odůvodnitelná specifickým technickým charakterem předmětu veřejné zakázky</w:t>
            </w:r>
          </w:p>
        </w:tc>
      </w:tr>
      <w:tr w:rsidR="006E599E" w:rsidRPr="006E599E" w14:paraId="7AF193EF" w14:textId="77777777" w:rsidTr="000F3721">
        <w:trPr>
          <w:trHeight w:val="2211"/>
        </w:trPr>
        <w:tc>
          <w:tcPr>
            <w:tcW w:w="357" w:type="pct"/>
            <w:vMerge/>
            <w:tcMar>
              <w:top w:w="113" w:type="dxa"/>
              <w:bottom w:w="113" w:type="dxa"/>
            </w:tcMar>
          </w:tcPr>
          <w:p w14:paraId="6A94701F"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5B9E53E4"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64053615" w14:textId="77777777" w:rsidR="006E599E" w:rsidRPr="006E599E" w:rsidRDefault="006E599E" w:rsidP="000F3721">
            <w:pPr>
              <w:widowControl w:val="0"/>
              <w:rPr>
                <w:rFonts w:cs="Arial"/>
                <w:lang w:val="cs-CZ"/>
              </w:rPr>
            </w:pPr>
          </w:p>
        </w:tc>
        <w:tc>
          <w:tcPr>
            <w:tcW w:w="1547" w:type="pct"/>
            <w:tcBorders>
              <w:bottom w:val="single" w:sz="12" w:space="0" w:color="auto"/>
            </w:tcBorders>
            <w:tcMar>
              <w:top w:w="113" w:type="dxa"/>
              <w:bottom w:w="113" w:type="dxa"/>
            </w:tcMar>
          </w:tcPr>
          <w:p w14:paraId="36F89ED1" w14:textId="77777777" w:rsidR="006E599E" w:rsidRPr="006E599E" w:rsidRDefault="006E599E" w:rsidP="000F3721">
            <w:pPr>
              <w:widowControl w:val="0"/>
              <w:rPr>
                <w:rFonts w:cs="Arial"/>
                <w:lang w:val="cs-CZ"/>
              </w:rPr>
            </w:pPr>
            <w:r w:rsidRPr="006E599E">
              <w:rPr>
                <w:rFonts w:cs="Arial"/>
                <w:lang w:val="cs-CZ"/>
              </w:rPr>
              <w:t xml:space="preserve">10 %, pokud tyto požadavky souvisí s předmětem veřejné zakázky, ale nejsou mu přiměřené, nebo v případech, kdy kvalifikační kritéria byla užita jako hodnotící kritéria, nebo v případech stanovení technických podmínek prostřednictvím přímého nebo nepřímého odkazu na určité dodavatele, výrobky, patenty na vynálezy, užitné vzory, průmyslové vzory, ochranné známky nebo označení původu s výjimkou případů, kdy použití této specifikace se týká pouze doplňkové části </w:t>
            </w:r>
            <w:r w:rsidRPr="006E599E">
              <w:rPr>
                <w:rFonts w:cs="Arial"/>
                <w:lang w:val="cs-CZ"/>
              </w:rPr>
              <w:lastRenderedPageBreak/>
              <w:t xml:space="preserve">veřejné zakázky a potenciální dopad na EK rozpočet je pouze formální </w:t>
            </w:r>
          </w:p>
        </w:tc>
      </w:tr>
      <w:tr w:rsidR="006E599E" w:rsidRPr="006E599E" w14:paraId="2425BBF3" w14:textId="77777777" w:rsidTr="000F3721">
        <w:trPr>
          <w:trHeight w:val="1296"/>
        </w:trPr>
        <w:tc>
          <w:tcPr>
            <w:tcW w:w="357" w:type="pct"/>
            <w:vMerge/>
            <w:tcBorders>
              <w:bottom w:val="single" w:sz="12" w:space="0" w:color="auto"/>
            </w:tcBorders>
            <w:tcMar>
              <w:top w:w="113" w:type="dxa"/>
              <w:bottom w:w="113" w:type="dxa"/>
            </w:tcMar>
          </w:tcPr>
          <w:p w14:paraId="20C53A20"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12" w:space="0" w:color="auto"/>
            </w:tcBorders>
            <w:tcMar>
              <w:top w:w="113" w:type="dxa"/>
              <w:bottom w:w="113" w:type="dxa"/>
            </w:tcMar>
          </w:tcPr>
          <w:p w14:paraId="4953B2AB" w14:textId="77777777" w:rsidR="006E599E" w:rsidRPr="006E599E" w:rsidRDefault="006E599E" w:rsidP="000F3721">
            <w:pPr>
              <w:widowControl w:val="0"/>
              <w:rPr>
                <w:rFonts w:cs="Arial"/>
                <w:lang w:val="cs-CZ"/>
              </w:rPr>
            </w:pPr>
          </w:p>
        </w:tc>
        <w:tc>
          <w:tcPr>
            <w:tcW w:w="1548" w:type="pct"/>
            <w:vMerge/>
            <w:tcBorders>
              <w:bottom w:val="single" w:sz="12" w:space="0" w:color="auto"/>
            </w:tcBorders>
            <w:tcMar>
              <w:top w:w="113" w:type="dxa"/>
              <w:bottom w:w="113" w:type="dxa"/>
            </w:tcMar>
          </w:tcPr>
          <w:p w14:paraId="2AFA2A2E" w14:textId="77777777" w:rsidR="006E599E" w:rsidRPr="006E599E" w:rsidRDefault="006E599E" w:rsidP="000F3721">
            <w:pPr>
              <w:widowControl w:val="0"/>
              <w:rPr>
                <w:rFonts w:cs="Arial"/>
                <w:lang w:val="cs-CZ"/>
              </w:rPr>
            </w:pPr>
          </w:p>
        </w:tc>
        <w:tc>
          <w:tcPr>
            <w:tcW w:w="1547" w:type="pct"/>
            <w:tcBorders>
              <w:bottom w:val="single" w:sz="12" w:space="0" w:color="auto"/>
            </w:tcBorders>
            <w:tcMar>
              <w:top w:w="113" w:type="dxa"/>
              <w:bottom w:w="113" w:type="dxa"/>
            </w:tcMar>
          </w:tcPr>
          <w:p w14:paraId="5A30FB4E" w14:textId="77777777" w:rsidR="006E599E" w:rsidRPr="006E599E" w:rsidDel="005A1692" w:rsidRDefault="006E599E" w:rsidP="000F3721">
            <w:pPr>
              <w:widowControl w:val="0"/>
              <w:rPr>
                <w:rFonts w:cs="Arial"/>
                <w:lang w:val="cs-CZ"/>
              </w:rPr>
            </w:pPr>
            <w:r w:rsidRPr="006E599E">
              <w:rPr>
                <w:rFonts w:cs="Arial"/>
                <w:lang w:val="cs-CZ"/>
              </w:rPr>
              <w:t>5 %, pokud i přes užití omezujících podmínek byla zajištěna minimální míra hospodářské soutěže</w:t>
            </w:r>
          </w:p>
        </w:tc>
      </w:tr>
      <w:tr w:rsidR="006E599E" w:rsidRPr="006E599E" w14:paraId="48A31B34" w14:textId="77777777" w:rsidTr="000F3721">
        <w:trPr>
          <w:trHeight w:val="20"/>
        </w:trPr>
        <w:tc>
          <w:tcPr>
            <w:tcW w:w="357" w:type="pct"/>
            <w:tcBorders>
              <w:top w:val="single" w:sz="12" w:space="0" w:color="auto"/>
            </w:tcBorders>
            <w:tcMar>
              <w:top w:w="113" w:type="dxa"/>
              <w:bottom w:w="113" w:type="dxa"/>
            </w:tcMar>
          </w:tcPr>
          <w:p w14:paraId="56A8203C"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Borders>
              <w:top w:val="single" w:sz="12" w:space="0" w:color="auto"/>
            </w:tcBorders>
            <w:tcMar>
              <w:top w:w="113" w:type="dxa"/>
              <w:bottom w:w="113" w:type="dxa"/>
            </w:tcMar>
          </w:tcPr>
          <w:p w14:paraId="0AE9782A" w14:textId="77777777" w:rsidR="006E599E" w:rsidRPr="006E599E" w:rsidRDefault="006E599E" w:rsidP="000F3721">
            <w:pPr>
              <w:widowControl w:val="0"/>
              <w:rPr>
                <w:rFonts w:cs="Arial"/>
                <w:lang w:val="cs-CZ"/>
              </w:rPr>
            </w:pPr>
            <w:r w:rsidRPr="006E599E">
              <w:rPr>
                <w:rFonts w:cs="Arial"/>
                <w:lang w:val="cs-CZ"/>
              </w:rPr>
              <w:t>Nedostatečné či nepřesné vymezení předmětu veřejné zakázky</w:t>
            </w:r>
          </w:p>
        </w:tc>
        <w:tc>
          <w:tcPr>
            <w:tcW w:w="1548" w:type="pct"/>
            <w:tcBorders>
              <w:top w:val="single" w:sz="12" w:space="0" w:color="auto"/>
            </w:tcBorders>
            <w:tcMar>
              <w:top w:w="113" w:type="dxa"/>
              <w:bottom w:w="113" w:type="dxa"/>
            </w:tcMar>
          </w:tcPr>
          <w:p w14:paraId="39B398FB" w14:textId="77777777" w:rsidR="006E599E" w:rsidRPr="006E599E" w:rsidRDefault="006E599E" w:rsidP="000F3721">
            <w:pPr>
              <w:widowControl w:val="0"/>
              <w:rPr>
                <w:rFonts w:cs="Arial"/>
                <w:lang w:val="cs-CZ"/>
              </w:rPr>
            </w:pPr>
            <w:r w:rsidRPr="006E599E">
              <w:rPr>
                <w:rFonts w:cs="Arial"/>
                <w:lang w:val="cs-CZ"/>
              </w:rPr>
              <w:t>Zadavatel nevymezil předmět veřejné zakázky v podrobnostech nezbytných pro zpracování nabídky, což mohlo odradit potenciální dodavatele od podání nabídky, předběžné nabídky či žádosti o účast</w:t>
            </w:r>
          </w:p>
        </w:tc>
        <w:tc>
          <w:tcPr>
            <w:tcW w:w="1547" w:type="pct"/>
            <w:tcBorders>
              <w:top w:val="single" w:sz="12" w:space="0" w:color="auto"/>
            </w:tcBorders>
            <w:tcMar>
              <w:top w:w="113" w:type="dxa"/>
              <w:bottom w:w="113" w:type="dxa"/>
            </w:tcMar>
          </w:tcPr>
          <w:p w14:paraId="3A00B817" w14:textId="77777777" w:rsidR="006E599E" w:rsidRPr="006E599E" w:rsidRDefault="006E599E" w:rsidP="000F3721">
            <w:pPr>
              <w:widowControl w:val="0"/>
              <w:rPr>
                <w:rFonts w:cs="Arial"/>
                <w:lang w:val="cs-CZ"/>
              </w:rPr>
            </w:pPr>
            <w:r w:rsidRPr="006E599E">
              <w:rPr>
                <w:rFonts w:cs="Arial"/>
                <w:lang w:val="cs-CZ"/>
              </w:rPr>
              <w:t>10 %</w:t>
            </w:r>
          </w:p>
        </w:tc>
      </w:tr>
      <w:tr w:rsidR="006E599E" w:rsidRPr="006E599E" w14:paraId="4705D285" w14:textId="77777777" w:rsidTr="000F3721">
        <w:trPr>
          <w:trHeight w:val="20"/>
        </w:trPr>
        <w:tc>
          <w:tcPr>
            <w:tcW w:w="357" w:type="pct"/>
            <w:tcMar>
              <w:top w:w="113" w:type="dxa"/>
              <w:bottom w:w="113" w:type="dxa"/>
            </w:tcMar>
          </w:tcPr>
          <w:p w14:paraId="3457735B"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Mar>
              <w:top w:w="113" w:type="dxa"/>
              <w:bottom w:w="113" w:type="dxa"/>
            </w:tcMar>
          </w:tcPr>
          <w:p w14:paraId="19F13F41" w14:textId="77777777" w:rsidR="006E599E" w:rsidRPr="006E599E" w:rsidRDefault="006E599E" w:rsidP="000F3721">
            <w:pPr>
              <w:widowControl w:val="0"/>
              <w:rPr>
                <w:rFonts w:cs="Arial"/>
                <w:lang w:val="cs-CZ"/>
              </w:rPr>
            </w:pPr>
            <w:r w:rsidRPr="006E599E">
              <w:rPr>
                <w:rFonts w:cs="Arial"/>
                <w:lang w:val="cs-CZ"/>
              </w:rPr>
              <w:t>Neoprávněné omezení poddodávek</w:t>
            </w:r>
          </w:p>
        </w:tc>
        <w:tc>
          <w:tcPr>
            <w:tcW w:w="1548" w:type="pct"/>
            <w:tcMar>
              <w:top w:w="113" w:type="dxa"/>
              <w:bottom w:w="113" w:type="dxa"/>
            </w:tcMar>
          </w:tcPr>
          <w:p w14:paraId="5714683E" w14:textId="77777777" w:rsidR="006E599E" w:rsidRPr="006E599E" w:rsidRDefault="006E599E" w:rsidP="000F3721">
            <w:pPr>
              <w:widowControl w:val="0"/>
              <w:rPr>
                <w:rFonts w:cs="Arial"/>
                <w:lang w:val="cs-CZ"/>
              </w:rPr>
            </w:pPr>
            <w:r w:rsidRPr="006E599E">
              <w:rPr>
                <w:rFonts w:cs="Arial"/>
                <w:lang w:val="cs-CZ"/>
              </w:rPr>
              <w:t>Zadavatel omezil možnost využití poddodavatelů při realizaci veřejné zakázky např. procentuálně, a to bez relevantního odůvodnění tohoto omezení s ohledem na klíčové části veřejné zakázky.</w:t>
            </w:r>
          </w:p>
        </w:tc>
        <w:tc>
          <w:tcPr>
            <w:tcW w:w="1547" w:type="pct"/>
            <w:tcMar>
              <w:top w:w="113" w:type="dxa"/>
              <w:bottom w:w="113" w:type="dxa"/>
            </w:tcMar>
          </w:tcPr>
          <w:p w14:paraId="44F0053D" w14:textId="77777777" w:rsidR="006E599E" w:rsidRPr="006E599E" w:rsidRDefault="006E599E" w:rsidP="000F3721">
            <w:pPr>
              <w:widowControl w:val="0"/>
              <w:rPr>
                <w:rFonts w:cs="Arial"/>
                <w:lang w:val="cs-CZ"/>
              </w:rPr>
            </w:pPr>
            <w:r w:rsidRPr="006E599E">
              <w:rPr>
                <w:rFonts w:cs="Arial"/>
                <w:lang w:val="cs-CZ"/>
              </w:rPr>
              <w:t xml:space="preserve">5 % </w:t>
            </w:r>
          </w:p>
        </w:tc>
      </w:tr>
      <w:tr w:rsidR="006E599E" w:rsidRPr="006E599E" w14:paraId="7769463E" w14:textId="77777777" w:rsidTr="000F3721">
        <w:trPr>
          <w:trHeight w:val="5899"/>
        </w:trPr>
        <w:tc>
          <w:tcPr>
            <w:tcW w:w="357" w:type="pct"/>
            <w:tcBorders>
              <w:top w:val="single" w:sz="12" w:space="0" w:color="auto"/>
            </w:tcBorders>
            <w:tcMar>
              <w:top w:w="113" w:type="dxa"/>
              <w:bottom w:w="113" w:type="dxa"/>
            </w:tcMar>
          </w:tcPr>
          <w:p w14:paraId="456A1E98"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Borders>
              <w:top w:val="single" w:sz="12" w:space="0" w:color="auto"/>
            </w:tcBorders>
            <w:tcMar>
              <w:top w:w="113" w:type="dxa"/>
              <w:bottom w:w="113" w:type="dxa"/>
            </w:tcMar>
          </w:tcPr>
          <w:p w14:paraId="132484BD" w14:textId="77777777" w:rsidR="006E599E" w:rsidRPr="006E599E" w:rsidRDefault="006E599E" w:rsidP="000F3721">
            <w:pPr>
              <w:widowControl w:val="0"/>
              <w:rPr>
                <w:rFonts w:cs="Arial"/>
                <w:lang w:val="cs-CZ"/>
              </w:rPr>
            </w:pPr>
            <w:r w:rsidRPr="006E599E">
              <w:rPr>
                <w:rFonts w:cs="Arial"/>
                <w:lang w:val="cs-CZ"/>
              </w:rPr>
              <w:t>Nedodržení či nesprávná aplikace kvalifikačních kritérií nebo technických či jiných zadávacích podmínek při posouzení a hodnocení nabídek či žádostí o účast</w:t>
            </w:r>
          </w:p>
        </w:tc>
        <w:tc>
          <w:tcPr>
            <w:tcW w:w="1548" w:type="pct"/>
            <w:tcBorders>
              <w:top w:val="single" w:sz="12" w:space="0" w:color="auto"/>
            </w:tcBorders>
            <w:tcMar>
              <w:top w:w="113" w:type="dxa"/>
              <w:bottom w:w="113" w:type="dxa"/>
            </w:tcMar>
          </w:tcPr>
          <w:p w14:paraId="7B050020" w14:textId="71539777" w:rsidR="006E599E" w:rsidRPr="006E599E" w:rsidRDefault="006E599E" w:rsidP="000F3721">
            <w:pPr>
              <w:widowControl w:val="0"/>
              <w:rPr>
                <w:rFonts w:cs="Arial"/>
                <w:lang w:val="cs-CZ"/>
              </w:rPr>
            </w:pPr>
            <w:r w:rsidRPr="006E599E">
              <w:rPr>
                <w:rFonts w:cs="Arial"/>
                <w:lang w:val="cs-CZ"/>
              </w:rPr>
              <w:t>Zadavatel při posouzení a hodnocení nabídek nedodržel stanovené zadávací podmínky, zejména technické podmínky, požadavky na kvalifikaci, obchodní podmínky nebo jiné podmínky účasti ve výběrovém/zadávacím řízení nebo podmínky průběhu výběrového/zadávacího řízení a ve svém důsledku tak změnil zadávací podmínky v průběhu posouzení nabídek, což mělo za následek přijetí či odmítnutí nabídek či žádostí o účast, které přij</w:t>
            </w:r>
            <w:r w:rsidR="00EA2784">
              <w:rPr>
                <w:rFonts w:cs="Arial"/>
                <w:lang w:val="cs-CZ"/>
              </w:rPr>
              <w:t>a</w:t>
            </w:r>
            <w:r w:rsidRPr="006E599E">
              <w:rPr>
                <w:rFonts w:cs="Arial"/>
                <w:lang w:val="cs-CZ"/>
              </w:rPr>
              <w:t>ty/</w:t>
            </w:r>
            <w:bookmarkStart w:id="0" w:name="_GoBack"/>
            <w:bookmarkEnd w:id="0"/>
            <w:r w:rsidR="00EA2784" w:rsidRPr="006E599E">
              <w:rPr>
                <w:rFonts w:cs="Arial"/>
                <w:lang w:val="cs-CZ"/>
              </w:rPr>
              <w:t>odmítnuty</w:t>
            </w:r>
            <w:r w:rsidRPr="006E599E">
              <w:rPr>
                <w:rFonts w:cs="Arial"/>
                <w:lang w:val="cs-CZ"/>
              </w:rPr>
              <w:t xml:space="preserve"> být neměly.</w:t>
            </w:r>
          </w:p>
        </w:tc>
        <w:tc>
          <w:tcPr>
            <w:tcW w:w="1547" w:type="pct"/>
            <w:tcBorders>
              <w:top w:val="single" w:sz="12" w:space="0" w:color="auto"/>
            </w:tcBorders>
            <w:tcMar>
              <w:top w:w="113" w:type="dxa"/>
              <w:bottom w:w="113" w:type="dxa"/>
            </w:tcMar>
          </w:tcPr>
          <w:p w14:paraId="09E2D80B" w14:textId="77777777" w:rsidR="006E599E" w:rsidRPr="006E599E" w:rsidRDefault="006E599E" w:rsidP="000F3721">
            <w:pPr>
              <w:widowControl w:val="0"/>
              <w:rPr>
                <w:rFonts w:cs="Arial"/>
                <w:lang w:val="cs-CZ"/>
              </w:rPr>
            </w:pPr>
            <w:r w:rsidRPr="006E599E">
              <w:rPr>
                <w:rFonts w:cs="Arial"/>
                <w:lang w:val="cs-CZ"/>
              </w:rPr>
              <w:t>25 %</w:t>
            </w:r>
          </w:p>
          <w:p w14:paraId="5E86E0C1" w14:textId="77777777" w:rsidR="006E599E" w:rsidRPr="006E599E" w:rsidRDefault="006E599E" w:rsidP="000F3721">
            <w:pPr>
              <w:widowControl w:val="0"/>
              <w:rPr>
                <w:rFonts w:cs="Arial"/>
                <w:lang w:val="cs-CZ"/>
              </w:rPr>
            </w:pPr>
          </w:p>
        </w:tc>
      </w:tr>
      <w:tr w:rsidR="006E599E" w:rsidRPr="006E599E" w14:paraId="2A425704" w14:textId="77777777" w:rsidTr="000F3721">
        <w:trPr>
          <w:trHeight w:val="20"/>
        </w:trPr>
        <w:tc>
          <w:tcPr>
            <w:tcW w:w="357" w:type="pct"/>
            <w:vMerge w:val="restart"/>
            <w:tcBorders>
              <w:top w:val="single" w:sz="12" w:space="0" w:color="auto"/>
            </w:tcBorders>
            <w:tcMar>
              <w:top w:w="113" w:type="dxa"/>
              <w:bottom w:w="113" w:type="dxa"/>
            </w:tcMar>
          </w:tcPr>
          <w:p w14:paraId="1CB8BB93"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7600C466" w14:textId="77777777" w:rsidR="006E599E" w:rsidRPr="006E599E" w:rsidRDefault="006E599E" w:rsidP="000F3721">
            <w:pPr>
              <w:widowControl w:val="0"/>
              <w:rPr>
                <w:rFonts w:cs="Arial"/>
                <w:lang w:val="cs-CZ"/>
              </w:rPr>
            </w:pPr>
            <w:r w:rsidRPr="006E599E">
              <w:rPr>
                <w:rFonts w:cs="Arial"/>
                <w:lang w:val="cs-CZ"/>
              </w:rPr>
              <w:t xml:space="preserve">Hodnocení nabídek v rozporu se zadávacími podmínkami </w:t>
            </w:r>
          </w:p>
          <w:p w14:paraId="167B80A2" w14:textId="77777777" w:rsidR="006E599E" w:rsidRPr="006E599E" w:rsidRDefault="006E599E" w:rsidP="000F3721">
            <w:pPr>
              <w:widowControl w:val="0"/>
              <w:rPr>
                <w:rFonts w:cs="Arial"/>
                <w:lang w:val="cs-CZ"/>
              </w:rPr>
            </w:pPr>
            <w:r w:rsidRPr="006E599E">
              <w:rPr>
                <w:rFonts w:cs="Arial"/>
                <w:lang w:val="cs-CZ"/>
              </w:rPr>
              <w:t>nebo hodnocení nabídek dle dodatečně stanovených kritérií, která nebyla uveřejněna</w:t>
            </w:r>
          </w:p>
        </w:tc>
        <w:tc>
          <w:tcPr>
            <w:tcW w:w="1548" w:type="pct"/>
            <w:vMerge w:val="restart"/>
            <w:tcBorders>
              <w:top w:val="single" w:sz="12" w:space="0" w:color="auto"/>
            </w:tcBorders>
            <w:tcMar>
              <w:top w:w="113" w:type="dxa"/>
              <w:bottom w:w="113" w:type="dxa"/>
            </w:tcMar>
          </w:tcPr>
          <w:p w14:paraId="1B0278D5" w14:textId="77777777" w:rsidR="006E599E" w:rsidRPr="006E599E" w:rsidRDefault="006E599E" w:rsidP="000F3721">
            <w:pPr>
              <w:widowControl w:val="0"/>
              <w:rPr>
                <w:rFonts w:cs="Arial"/>
                <w:lang w:val="cs-CZ"/>
              </w:rPr>
            </w:pPr>
            <w:r w:rsidRPr="006E599E">
              <w:rPr>
                <w:rFonts w:cs="Arial"/>
                <w:lang w:val="cs-CZ"/>
              </w:rPr>
              <w:t>Kritéria, která zadavatel stanovil pro hodnocení nabídek, nebyla dodržena či bylo užito dalších hodnotících kritérií, které nebyly uveřejněny.</w:t>
            </w:r>
          </w:p>
        </w:tc>
        <w:tc>
          <w:tcPr>
            <w:tcW w:w="1547" w:type="pct"/>
            <w:tcBorders>
              <w:top w:val="single" w:sz="12" w:space="0" w:color="auto"/>
            </w:tcBorders>
            <w:tcMar>
              <w:top w:w="113" w:type="dxa"/>
              <w:bottom w:w="113" w:type="dxa"/>
            </w:tcMar>
          </w:tcPr>
          <w:p w14:paraId="48E23CC6" w14:textId="77777777" w:rsidR="006E599E" w:rsidRPr="006E599E" w:rsidRDefault="006E599E" w:rsidP="000F3721">
            <w:pPr>
              <w:widowControl w:val="0"/>
              <w:rPr>
                <w:rFonts w:cs="Arial"/>
                <w:lang w:val="cs-CZ"/>
              </w:rPr>
            </w:pPr>
            <w:r w:rsidRPr="006E599E">
              <w:rPr>
                <w:rFonts w:cs="Arial"/>
                <w:lang w:val="cs-CZ"/>
              </w:rPr>
              <w:t xml:space="preserve">10 % </w:t>
            </w:r>
          </w:p>
        </w:tc>
      </w:tr>
      <w:tr w:rsidR="006E599E" w:rsidRPr="006E599E" w14:paraId="15B05F94" w14:textId="77777777" w:rsidTr="000F3721">
        <w:trPr>
          <w:trHeight w:val="337"/>
        </w:trPr>
        <w:tc>
          <w:tcPr>
            <w:tcW w:w="357" w:type="pct"/>
            <w:vMerge/>
            <w:tcBorders>
              <w:bottom w:val="single" w:sz="12" w:space="0" w:color="auto"/>
            </w:tcBorders>
            <w:tcMar>
              <w:top w:w="113" w:type="dxa"/>
              <w:bottom w:w="113" w:type="dxa"/>
            </w:tcMar>
          </w:tcPr>
          <w:p w14:paraId="4E10FB2F"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12" w:space="0" w:color="auto"/>
            </w:tcBorders>
            <w:tcMar>
              <w:top w:w="113" w:type="dxa"/>
              <w:bottom w:w="113" w:type="dxa"/>
            </w:tcMar>
          </w:tcPr>
          <w:p w14:paraId="7C8125E5" w14:textId="77777777" w:rsidR="006E599E" w:rsidRPr="006E599E" w:rsidRDefault="006E599E" w:rsidP="000F3721">
            <w:pPr>
              <w:widowControl w:val="0"/>
              <w:rPr>
                <w:rFonts w:cs="Arial"/>
                <w:lang w:val="cs-CZ"/>
              </w:rPr>
            </w:pPr>
          </w:p>
        </w:tc>
        <w:tc>
          <w:tcPr>
            <w:tcW w:w="1548" w:type="pct"/>
            <w:vMerge/>
            <w:tcBorders>
              <w:bottom w:val="single" w:sz="12" w:space="0" w:color="auto"/>
            </w:tcBorders>
            <w:tcMar>
              <w:top w:w="113" w:type="dxa"/>
              <w:bottom w:w="113" w:type="dxa"/>
            </w:tcMar>
          </w:tcPr>
          <w:p w14:paraId="0197AAA5" w14:textId="77777777" w:rsidR="006E599E" w:rsidRPr="006E599E" w:rsidRDefault="006E599E" w:rsidP="000F3721">
            <w:pPr>
              <w:widowControl w:val="0"/>
              <w:rPr>
                <w:rFonts w:cs="Arial"/>
                <w:lang w:val="cs-CZ"/>
              </w:rPr>
            </w:pPr>
          </w:p>
        </w:tc>
        <w:tc>
          <w:tcPr>
            <w:tcW w:w="1547" w:type="pct"/>
            <w:tcBorders>
              <w:bottom w:val="single" w:sz="12" w:space="0" w:color="auto"/>
            </w:tcBorders>
            <w:tcMar>
              <w:top w:w="113" w:type="dxa"/>
              <w:bottom w:w="113" w:type="dxa"/>
            </w:tcMar>
          </w:tcPr>
          <w:p w14:paraId="327A3783" w14:textId="77777777" w:rsidR="006E599E" w:rsidRPr="006E599E" w:rsidRDefault="006E599E" w:rsidP="000F3721">
            <w:pPr>
              <w:widowControl w:val="0"/>
              <w:rPr>
                <w:rFonts w:cs="Arial"/>
                <w:lang w:val="cs-CZ"/>
              </w:rPr>
            </w:pPr>
            <w:r w:rsidRPr="006E599E">
              <w:rPr>
                <w:rFonts w:cs="Arial"/>
                <w:lang w:val="cs-CZ"/>
              </w:rPr>
              <w:t>25 %, pokud došlo k diskriminaci účastníků na základě národních, regionálních či lokálních preferencí.</w:t>
            </w:r>
          </w:p>
        </w:tc>
      </w:tr>
      <w:tr w:rsidR="006E599E" w:rsidRPr="006E599E" w14:paraId="2D133D74" w14:textId="77777777" w:rsidTr="000F3721">
        <w:trPr>
          <w:trHeight w:val="632"/>
        </w:trPr>
        <w:tc>
          <w:tcPr>
            <w:tcW w:w="357" w:type="pct"/>
            <w:vMerge w:val="restart"/>
            <w:tcBorders>
              <w:top w:val="single" w:sz="12" w:space="0" w:color="auto"/>
            </w:tcBorders>
            <w:tcMar>
              <w:top w:w="113" w:type="dxa"/>
              <w:bottom w:w="113" w:type="dxa"/>
            </w:tcMar>
          </w:tcPr>
          <w:p w14:paraId="2A4F7E95"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46B7D2BD" w14:textId="77777777" w:rsidR="006E599E" w:rsidRPr="006E599E" w:rsidDel="00667663" w:rsidRDefault="006E599E" w:rsidP="000F3721">
            <w:pPr>
              <w:widowControl w:val="0"/>
              <w:rPr>
                <w:rFonts w:cs="Arial"/>
                <w:lang w:val="cs-CZ"/>
              </w:rPr>
            </w:pPr>
            <w:r w:rsidRPr="006E599E">
              <w:rPr>
                <w:rFonts w:cs="Arial"/>
                <w:lang w:val="cs-CZ"/>
              </w:rPr>
              <w:t>Nedostatečná auditní stopa související se zadáním veřejné zakázky</w:t>
            </w:r>
          </w:p>
        </w:tc>
        <w:tc>
          <w:tcPr>
            <w:tcW w:w="1548" w:type="pct"/>
            <w:tcBorders>
              <w:top w:val="single" w:sz="12" w:space="0" w:color="auto"/>
              <w:bottom w:val="single" w:sz="12" w:space="0" w:color="auto"/>
            </w:tcBorders>
            <w:tcMar>
              <w:top w:w="113" w:type="dxa"/>
              <w:bottom w:w="113" w:type="dxa"/>
            </w:tcMar>
          </w:tcPr>
          <w:p w14:paraId="151C6C20" w14:textId="77777777" w:rsidR="006E599E" w:rsidRPr="006E599E" w:rsidDel="00667663" w:rsidRDefault="006E599E" w:rsidP="000F3721">
            <w:pPr>
              <w:widowControl w:val="0"/>
              <w:rPr>
                <w:rFonts w:cs="Arial"/>
                <w:lang w:val="cs-CZ"/>
              </w:rPr>
            </w:pPr>
            <w:r w:rsidRPr="006E599E">
              <w:rPr>
                <w:rFonts w:cs="Arial"/>
                <w:lang w:val="cs-CZ"/>
              </w:rPr>
              <w:t>Doložené podklady jasně nevysvětlují, jakým způsobem byly hodnoceny nabídky a jak byla vybrána nejvýhodnější nabídka, což má za následek nedostatečnou transparentnost.</w:t>
            </w:r>
          </w:p>
        </w:tc>
        <w:tc>
          <w:tcPr>
            <w:tcW w:w="1547" w:type="pct"/>
            <w:tcBorders>
              <w:top w:val="single" w:sz="12" w:space="0" w:color="auto"/>
            </w:tcBorders>
            <w:tcMar>
              <w:top w:w="113" w:type="dxa"/>
              <w:bottom w:w="113" w:type="dxa"/>
            </w:tcMar>
          </w:tcPr>
          <w:p w14:paraId="7E6CC01E" w14:textId="77777777" w:rsidR="006E599E" w:rsidRPr="006E599E" w:rsidRDefault="006E599E" w:rsidP="000F3721">
            <w:pPr>
              <w:widowControl w:val="0"/>
              <w:rPr>
                <w:rFonts w:cs="Arial"/>
                <w:lang w:val="cs-CZ"/>
              </w:rPr>
            </w:pPr>
            <w:r w:rsidRPr="006E599E">
              <w:rPr>
                <w:rFonts w:cs="Arial"/>
                <w:lang w:val="cs-CZ"/>
              </w:rPr>
              <w:t>25 %</w:t>
            </w:r>
          </w:p>
        </w:tc>
      </w:tr>
      <w:tr w:rsidR="006E599E" w:rsidRPr="006E599E" w14:paraId="06078F82" w14:textId="77777777" w:rsidTr="000F3721">
        <w:trPr>
          <w:trHeight w:val="1100"/>
        </w:trPr>
        <w:tc>
          <w:tcPr>
            <w:tcW w:w="357" w:type="pct"/>
            <w:vMerge/>
            <w:tcMar>
              <w:top w:w="113" w:type="dxa"/>
              <w:bottom w:w="113" w:type="dxa"/>
            </w:tcMar>
          </w:tcPr>
          <w:p w14:paraId="56295D09"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0BE31091" w14:textId="77777777" w:rsidR="006E599E" w:rsidRPr="006E599E" w:rsidRDefault="006E599E" w:rsidP="000F3721">
            <w:pPr>
              <w:widowControl w:val="0"/>
              <w:rPr>
                <w:rFonts w:cs="Arial"/>
                <w:lang w:val="cs-CZ"/>
              </w:rPr>
            </w:pPr>
          </w:p>
        </w:tc>
        <w:tc>
          <w:tcPr>
            <w:tcW w:w="1548" w:type="pct"/>
            <w:tcBorders>
              <w:top w:val="single" w:sz="12" w:space="0" w:color="auto"/>
              <w:bottom w:val="single" w:sz="12" w:space="0" w:color="auto"/>
            </w:tcBorders>
            <w:tcMar>
              <w:top w:w="113" w:type="dxa"/>
              <w:bottom w:w="113" w:type="dxa"/>
            </w:tcMar>
          </w:tcPr>
          <w:p w14:paraId="20FF4C8A" w14:textId="77777777" w:rsidR="006E599E" w:rsidRPr="006E599E" w:rsidRDefault="006E599E" w:rsidP="000F3721">
            <w:pPr>
              <w:widowControl w:val="0"/>
              <w:rPr>
                <w:rFonts w:cs="Arial"/>
                <w:lang w:val="cs-CZ"/>
              </w:rPr>
            </w:pPr>
            <w:r w:rsidRPr="006E599E">
              <w:rPr>
                <w:rFonts w:cs="Arial"/>
                <w:lang w:val="cs-CZ"/>
              </w:rPr>
              <w:t xml:space="preserve">Odmítnutí zpřístupnění či poskytnutí relevantní dokumentace kontrolním subjektům (ŘO, ZS, Auditní orgán MF, apod.). </w:t>
            </w:r>
          </w:p>
        </w:tc>
        <w:tc>
          <w:tcPr>
            <w:tcW w:w="1547" w:type="pct"/>
            <w:tcMar>
              <w:top w:w="113" w:type="dxa"/>
              <w:bottom w:w="113" w:type="dxa"/>
            </w:tcMar>
          </w:tcPr>
          <w:p w14:paraId="7D281701" w14:textId="77777777" w:rsidR="006E599E" w:rsidRPr="006E599E" w:rsidRDefault="006E599E" w:rsidP="000F3721">
            <w:pPr>
              <w:widowControl w:val="0"/>
              <w:rPr>
                <w:rFonts w:cs="Arial"/>
                <w:lang w:val="cs-CZ"/>
              </w:rPr>
            </w:pPr>
            <w:r w:rsidRPr="006E599E">
              <w:rPr>
                <w:rFonts w:cs="Arial"/>
                <w:lang w:val="cs-CZ"/>
              </w:rPr>
              <w:t>100 %</w:t>
            </w:r>
          </w:p>
        </w:tc>
      </w:tr>
      <w:tr w:rsidR="006E599E" w:rsidRPr="006E599E" w14:paraId="6DA35F1D" w14:textId="77777777" w:rsidTr="000F3721">
        <w:trPr>
          <w:trHeight w:val="2595"/>
        </w:trPr>
        <w:tc>
          <w:tcPr>
            <w:tcW w:w="357" w:type="pct"/>
            <w:tcBorders>
              <w:top w:val="single" w:sz="12" w:space="0" w:color="auto"/>
            </w:tcBorders>
            <w:tcMar>
              <w:top w:w="113" w:type="dxa"/>
              <w:bottom w:w="113" w:type="dxa"/>
            </w:tcMar>
          </w:tcPr>
          <w:p w14:paraId="6B19115E"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Borders>
              <w:top w:val="single" w:sz="12" w:space="0" w:color="auto"/>
            </w:tcBorders>
            <w:tcMar>
              <w:top w:w="113" w:type="dxa"/>
              <w:bottom w:w="113" w:type="dxa"/>
            </w:tcMar>
          </w:tcPr>
          <w:p w14:paraId="3BBC2442" w14:textId="77777777" w:rsidR="006E599E" w:rsidRPr="006E599E" w:rsidDel="00667663" w:rsidRDefault="006E599E" w:rsidP="000F3721">
            <w:pPr>
              <w:widowControl w:val="0"/>
              <w:rPr>
                <w:rFonts w:cs="Arial"/>
                <w:lang w:val="cs-CZ"/>
              </w:rPr>
            </w:pPr>
            <w:r w:rsidRPr="006E599E">
              <w:rPr>
                <w:rFonts w:cs="Arial"/>
                <w:lang w:val="cs-CZ"/>
              </w:rPr>
              <w:t>Jednání s účastníky během řízení včetně změny vítězné nabídky v průběhu hodnocení</w:t>
            </w:r>
          </w:p>
        </w:tc>
        <w:tc>
          <w:tcPr>
            <w:tcW w:w="1548" w:type="pct"/>
            <w:tcBorders>
              <w:top w:val="single" w:sz="12" w:space="0" w:color="auto"/>
              <w:bottom w:val="single" w:sz="12" w:space="0" w:color="auto"/>
            </w:tcBorders>
            <w:tcMar>
              <w:top w:w="113" w:type="dxa"/>
              <w:bottom w:w="113" w:type="dxa"/>
            </w:tcMar>
          </w:tcPr>
          <w:p w14:paraId="3BC7BB0A" w14:textId="77777777" w:rsidR="006E599E" w:rsidRPr="006E599E" w:rsidRDefault="006E599E" w:rsidP="000F3721">
            <w:pPr>
              <w:widowControl w:val="0"/>
              <w:rPr>
                <w:rFonts w:cs="Arial"/>
                <w:lang w:val="cs-CZ"/>
              </w:rPr>
            </w:pPr>
            <w:r w:rsidRPr="006E599E">
              <w:rPr>
                <w:rFonts w:cs="Arial"/>
                <w:lang w:val="cs-CZ"/>
              </w:rPr>
              <w:t xml:space="preserve">Zadavatel umožnil účastníkovi úpravu nabídky v průběhu hodnocení nabídek, čímž došlo k výběru tohoto účastníka, </w:t>
            </w:r>
          </w:p>
          <w:p w14:paraId="785F37E9" w14:textId="77777777" w:rsidR="006E599E" w:rsidRPr="006E599E" w:rsidDel="00667663" w:rsidRDefault="006E599E" w:rsidP="000F3721">
            <w:pPr>
              <w:widowControl w:val="0"/>
              <w:rPr>
                <w:rFonts w:cs="Arial"/>
                <w:lang w:val="cs-CZ"/>
              </w:rPr>
            </w:pPr>
            <w:r w:rsidRPr="006E599E">
              <w:rPr>
                <w:rFonts w:cs="Arial"/>
                <w:lang w:val="cs-CZ"/>
              </w:rPr>
              <w:t>nebo zadavatel v rozporu se zákonem nebo pravidly IROP, příp. s MPZ v IROP jednal v průběhu hodnocení nabídek s účastníky řízení, což vedlo k podstatné změně zadávacích podmínek, příp. samotné nabídky.</w:t>
            </w:r>
          </w:p>
        </w:tc>
        <w:tc>
          <w:tcPr>
            <w:tcW w:w="1547" w:type="pct"/>
            <w:tcBorders>
              <w:top w:val="single" w:sz="12" w:space="0" w:color="auto"/>
            </w:tcBorders>
            <w:tcMar>
              <w:top w:w="113" w:type="dxa"/>
              <w:bottom w:w="113" w:type="dxa"/>
            </w:tcMar>
          </w:tcPr>
          <w:p w14:paraId="77F0D835" w14:textId="77777777" w:rsidR="006E599E" w:rsidRPr="006E599E" w:rsidRDefault="006E599E" w:rsidP="000F3721">
            <w:pPr>
              <w:widowControl w:val="0"/>
              <w:rPr>
                <w:rFonts w:cs="Arial"/>
                <w:lang w:val="cs-CZ"/>
              </w:rPr>
            </w:pPr>
            <w:r w:rsidRPr="006E599E">
              <w:rPr>
                <w:rFonts w:cs="Arial"/>
                <w:lang w:val="cs-CZ"/>
              </w:rPr>
              <w:t>25 %</w:t>
            </w:r>
          </w:p>
        </w:tc>
      </w:tr>
      <w:tr w:rsidR="006E599E" w:rsidRPr="006E599E" w14:paraId="446998CE" w14:textId="77777777" w:rsidTr="000F3721">
        <w:trPr>
          <w:trHeight w:val="2595"/>
        </w:trPr>
        <w:tc>
          <w:tcPr>
            <w:tcW w:w="357" w:type="pct"/>
            <w:tcBorders>
              <w:top w:val="single" w:sz="12" w:space="0" w:color="auto"/>
            </w:tcBorders>
            <w:tcMar>
              <w:top w:w="113" w:type="dxa"/>
              <w:bottom w:w="113" w:type="dxa"/>
            </w:tcMar>
          </w:tcPr>
          <w:p w14:paraId="2F84D119"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Borders>
              <w:top w:val="single" w:sz="12" w:space="0" w:color="auto"/>
            </w:tcBorders>
            <w:tcMar>
              <w:top w:w="113" w:type="dxa"/>
              <w:bottom w:w="113" w:type="dxa"/>
            </w:tcMar>
          </w:tcPr>
          <w:p w14:paraId="155685C6" w14:textId="77777777" w:rsidR="006E599E" w:rsidRPr="006E599E" w:rsidDel="00667663" w:rsidRDefault="006E599E" w:rsidP="000F3721">
            <w:pPr>
              <w:widowControl w:val="0"/>
              <w:rPr>
                <w:rFonts w:cs="Arial"/>
                <w:lang w:val="cs-CZ"/>
              </w:rPr>
            </w:pPr>
            <w:r w:rsidRPr="006E599E">
              <w:rPr>
                <w:rFonts w:cs="Arial"/>
                <w:lang w:val="cs-CZ"/>
              </w:rPr>
              <w:t>Neoprávněné předchozí zapojení dodavatelů do přípravy výběrového/zadávacího řízení či obdobná forma spolupráce se zadavatelem</w:t>
            </w:r>
          </w:p>
        </w:tc>
        <w:tc>
          <w:tcPr>
            <w:tcW w:w="1548" w:type="pct"/>
            <w:tcBorders>
              <w:top w:val="single" w:sz="12" w:space="0" w:color="auto"/>
              <w:bottom w:val="single" w:sz="12" w:space="0" w:color="auto"/>
            </w:tcBorders>
            <w:tcMar>
              <w:top w:w="113" w:type="dxa"/>
              <w:bottom w:w="113" w:type="dxa"/>
            </w:tcMar>
          </w:tcPr>
          <w:p w14:paraId="3356C0AA" w14:textId="77777777" w:rsidR="006E599E" w:rsidRPr="006E599E" w:rsidDel="00667663" w:rsidRDefault="006E599E" w:rsidP="000F3721">
            <w:pPr>
              <w:widowControl w:val="0"/>
              <w:rPr>
                <w:rFonts w:cs="Arial"/>
                <w:lang w:val="cs-CZ"/>
              </w:rPr>
            </w:pPr>
            <w:r w:rsidRPr="006E599E">
              <w:rPr>
                <w:rFonts w:cs="Arial"/>
                <w:lang w:val="cs-CZ"/>
              </w:rPr>
              <w:t>V případech, kdy takovéto zapojení dodavatele do přípravy výběrového/zadávacího řízení má za následek porušení zásady nediskriminace, transparentnosti a rovného zacházení či vede k narušení hospodářské soutěže.</w:t>
            </w:r>
          </w:p>
        </w:tc>
        <w:tc>
          <w:tcPr>
            <w:tcW w:w="1547" w:type="pct"/>
            <w:tcBorders>
              <w:top w:val="single" w:sz="12" w:space="0" w:color="auto"/>
            </w:tcBorders>
            <w:tcMar>
              <w:top w:w="113" w:type="dxa"/>
              <w:bottom w:w="113" w:type="dxa"/>
            </w:tcMar>
          </w:tcPr>
          <w:p w14:paraId="222A1B64" w14:textId="77777777" w:rsidR="006E599E" w:rsidRPr="006E599E" w:rsidRDefault="006E599E" w:rsidP="000F3721">
            <w:pPr>
              <w:widowControl w:val="0"/>
              <w:rPr>
                <w:rFonts w:cs="Arial"/>
                <w:lang w:val="cs-CZ"/>
              </w:rPr>
            </w:pPr>
            <w:r w:rsidRPr="006E599E">
              <w:rPr>
                <w:rFonts w:cs="Arial"/>
                <w:lang w:val="cs-CZ"/>
              </w:rPr>
              <w:t>25 %</w:t>
            </w:r>
          </w:p>
        </w:tc>
      </w:tr>
      <w:tr w:rsidR="006E599E" w:rsidRPr="006E599E" w14:paraId="4CC65240" w14:textId="77777777" w:rsidTr="000F3721">
        <w:trPr>
          <w:trHeight w:val="2475"/>
        </w:trPr>
        <w:tc>
          <w:tcPr>
            <w:tcW w:w="357" w:type="pct"/>
            <w:tcBorders>
              <w:top w:val="single" w:sz="12" w:space="0" w:color="auto"/>
            </w:tcBorders>
            <w:tcMar>
              <w:top w:w="113" w:type="dxa"/>
              <w:bottom w:w="113" w:type="dxa"/>
            </w:tcMar>
          </w:tcPr>
          <w:p w14:paraId="2217E9A2"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Borders>
              <w:top w:val="single" w:sz="12" w:space="0" w:color="auto"/>
            </w:tcBorders>
            <w:tcMar>
              <w:top w:w="113" w:type="dxa"/>
              <w:bottom w:w="113" w:type="dxa"/>
            </w:tcMar>
          </w:tcPr>
          <w:p w14:paraId="0A6ABAAE" w14:textId="77777777" w:rsidR="006E599E" w:rsidRPr="006E599E" w:rsidDel="00667663" w:rsidRDefault="006E599E" w:rsidP="000F3721">
            <w:pPr>
              <w:widowControl w:val="0"/>
              <w:rPr>
                <w:rFonts w:cs="Arial"/>
                <w:lang w:val="cs-CZ"/>
              </w:rPr>
            </w:pPr>
            <w:r w:rsidRPr="006E599E">
              <w:rPr>
                <w:rFonts w:cs="Arial"/>
                <w:lang w:val="cs-CZ"/>
              </w:rPr>
              <w:t>Změna počátečních zadávacích podmínek v rámci jednacího řízení s uveřejněním vedoucí k podstatné změně zadávacích podmínek</w:t>
            </w:r>
          </w:p>
        </w:tc>
        <w:tc>
          <w:tcPr>
            <w:tcW w:w="1548" w:type="pct"/>
            <w:tcBorders>
              <w:top w:val="single" w:sz="12" w:space="0" w:color="auto"/>
              <w:bottom w:val="single" w:sz="12" w:space="0" w:color="auto"/>
            </w:tcBorders>
            <w:tcMar>
              <w:top w:w="113" w:type="dxa"/>
              <w:bottom w:w="113" w:type="dxa"/>
            </w:tcMar>
          </w:tcPr>
          <w:p w14:paraId="3B885BFC" w14:textId="77777777" w:rsidR="006E599E" w:rsidRPr="006E599E" w:rsidDel="00667663" w:rsidRDefault="006E599E" w:rsidP="000F3721">
            <w:pPr>
              <w:widowControl w:val="0"/>
              <w:rPr>
                <w:rFonts w:cs="Arial"/>
                <w:lang w:val="cs-CZ"/>
              </w:rPr>
            </w:pPr>
            <w:r w:rsidRPr="006E599E">
              <w:rPr>
                <w:rFonts w:cs="Arial"/>
                <w:lang w:val="cs-CZ"/>
              </w:rPr>
              <w:t>V průběhu jednacího řízení s uveřejněním došlo k podstatným změnám původních zadávacích podmínek, které by měly za následek povinnost nového uveřejnění řízení.</w:t>
            </w:r>
          </w:p>
        </w:tc>
        <w:tc>
          <w:tcPr>
            <w:tcW w:w="1547" w:type="pct"/>
            <w:tcBorders>
              <w:top w:val="single" w:sz="12" w:space="0" w:color="auto"/>
            </w:tcBorders>
            <w:tcMar>
              <w:top w:w="113" w:type="dxa"/>
              <w:bottom w:w="113" w:type="dxa"/>
            </w:tcMar>
          </w:tcPr>
          <w:p w14:paraId="793DA3EA" w14:textId="77777777" w:rsidR="006E599E" w:rsidRPr="006E599E" w:rsidRDefault="006E599E" w:rsidP="000F3721">
            <w:pPr>
              <w:widowControl w:val="0"/>
              <w:rPr>
                <w:rFonts w:cs="Arial"/>
                <w:lang w:val="cs-CZ"/>
              </w:rPr>
            </w:pPr>
            <w:r w:rsidRPr="006E599E">
              <w:rPr>
                <w:rFonts w:cs="Arial"/>
                <w:lang w:val="cs-CZ"/>
              </w:rPr>
              <w:t>25 %</w:t>
            </w:r>
          </w:p>
        </w:tc>
      </w:tr>
      <w:tr w:rsidR="006E599E" w:rsidRPr="006E599E" w14:paraId="07328CDE" w14:textId="77777777" w:rsidTr="000F3721">
        <w:trPr>
          <w:trHeight w:val="5135"/>
        </w:trPr>
        <w:tc>
          <w:tcPr>
            <w:tcW w:w="357" w:type="pct"/>
            <w:tcBorders>
              <w:top w:val="single" w:sz="12" w:space="0" w:color="auto"/>
            </w:tcBorders>
            <w:tcMar>
              <w:top w:w="113" w:type="dxa"/>
              <w:bottom w:w="113" w:type="dxa"/>
            </w:tcMar>
          </w:tcPr>
          <w:p w14:paraId="6F4E4008"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Borders>
              <w:top w:val="single" w:sz="12" w:space="0" w:color="auto"/>
            </w:tcBorders>
            <w:tcMar>
              <w:top w:w="113" w:type="dxa"/>
              <w:bottom w:w="113" w:type="dxa"/>
            </w:tcMar>
          </w:tcPr>
          <w:p w14:paraId="27FB6A7E" w14:textId="77777777" w:rsidR="006E599E" w:rsidRPr="006E599E" w:rsidRDefault="006E599E" w:rsidP="000F3721">
            <w:pPr>
              <w:widowControl w:val="0"/>
              <w:rPr>
                <w:rFonts w:cs="Arial"/>
                <w:lang w:val="cs-CZ"/>
              </w:rPr>
            </w:pPr>
            <w:r w:rsidRPr="006E599E">
              <w:rPr>
                <w:rFonts w:cs="Arial"/>
                <w:lang w:val="cs-CZ"/>
              </w:rPr>
              <w:t>Neoprávněné vyloučení nabídky z důvodu mimořádně nízké nabídkové ceny</w:t>
            </w:r>
          </w:p>
        </w:tc>
        <w:tc>
          <w:tcPr>
            <w:tcW w:w="1548" w:type="pct"/>
            <w:tcBorders>
              <w:top w:val="single" w:sz="12" w:space="0" w:color="auto"/>
            </w:tcBorders>
            <w:tcMar>
              <w:top w:w="113" w:type="dxa"/>
              <w:bottom w:w="113" w:type="dxa"/>
            </w:tcMar>
          </w:tcPr>
          <w:p w14:paraId="733139B7" w14:textId="77777777" w:rsidR="006E599E" w:rsidRPr="006E599E" w:rsidRDefault="006E599E" w:rsidP="000F3721">
            <w:pPr>
              <w:widowControl w:val="0"/>
              <w:rPr>
                <w:rFonts w:cs="Arial"/>
                <w:lang w:val="cs-CZ"/>
              </w:rPr>
            </w:pPr>
            <w:r w:rsidRPr="006E599E">
              <w:rPr>
                <w:rFonts w:cs="Arial"/>
                <w:lang w:val="cs-CZ"/>
              </w:rPr>
              <w:t xml:space="preserve">Zadavatel vyloučil nabídku z důvodu mimořádně nízké nabídkové ceny, aniž by požádal účastníka výběrového/zadávacího řízení o odpovídající zdůvodnění </w:t>
            </w:r>
          </w:p>
          <w:p w14:paraId="4280086F" w14:textId="77777777" w:rsidR="006E599E" w:rsidRPr="006E599E" w:rsidRDefault="006E599E" w:rsidP="000F3721">
            <w:pPr>
              <w:widowControl w:val="0"/>
              <w:rPr>
                <w:rFonts w:cs="Arial"/>
                <w:lang w:val="cs-CZ"/>
              </w:rPr>
            </w:pPr>
            <w:r w:rsidRPr="006E599E">
              <w:rPr>
                <w:rFonts w:cs="Arial"/>
                <w:lang w:val="cs-CZ"/>
              </w:rPr>
              <w:t>nebo v případě, kdy zadavatel dodavatele ke zdůvodnění mimořádně nízké nabídkové ceny vyzval, nicméně není schopen prokázat, že odpovědi účastníků posoudil odpovídajícím způsobem.</w:t>
            </w:r>
          </w:p>
        </w:tc>
        <w:tc>
          <w:tcPr>
            <w:tcW w:w="1547" w:type="pct"/>
            <w:tcBorders>
              <w:top w:val="single" w:sz="12" w:space="0" w:color="auto"/>
            </w:tcBorders>
            <w:tcMar>
              <w:top w:w="113" w:type="dxa"/>
              <w:bottom w:w="113" w:type="dxa"/>
            </w:tcMar>
          </w:tcPr>
          <w:p w14:paraId="44D053FB" w14:textId="77777777" w:rsidR="006E599E" w:rsidRPr="006E599E" w:rsidRDefault="006E599E" w:rsidP="000F3721">
            <w:pPr>
              <w:widowControl w:val="0"/>
              <w:rPr>
                <w:rFonts w:cs="Arial"/>
                <w:lang w:val="cs-CZ"/>
              </w:rPr>
            </w:pPr>
            <w:r w:rsidRPr="006E599E">
              <w:rPr>
                <w:rFonts w:cs="Arial"/>
                <w:lang w:val="cs-CZ"/>
              </w:rPr>
              <w:t>25 %</w:t>
            </w:r>
          </w:p>
        </w:tc>
      </w:tr>
      <w:tr w:rsidR="006E599E" w:rsidRPr="006E599E" w14:paraId="47B77376" w14:textId="77777777" w:rsidTr="000F3721">
        <w:tc>
          <w:tcPr>
            <w:tcW w:w="357" w:type="pct"/>
            <w:tcBorders>
              <w:top w:val="single" w:sz="12" w:space="0" w:color="auto"/>
              <w:bottom w:val="single" w:sz="12" w:space="0" w:color="auto"/>
            </w:tcBorders>
            <w:tcMar>
              <w:top w:w="113" w:type="dxa"/>
              <w:bottom w:w="113" w:type="dxa"/>
            </w:tcMar>
          </w:tcPr>
          <w:p w14:paraId="3952DB78"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Borders>
              <w:top w:val="single" w:sz="12" w:space="0" w:color="auto"/>
              <w:bottom w:val="single" w:sz="12" w:space="0" w:color="auto"/>
            </w:tcBorders>
            <w:tcMar>
              <w:top w:w="113" w:type="dxa"/>
              <w:bottom w:w="113" w:type="dxa"/>
            </w:tcMar>
          </w:tcPr>
          <w:p w14:paraId="3ABA54A0" w14:textId="77777777" w:rsidR="006E599E" w:rsidRPr="006E599E" w:rsidRDefault="006E599E" w:rsidP="000F3721">
            <w:pPr>
              <w:widowControl w:val="0"/>
              <w:rPr>
                <w:rFonts w:cs="Arial"/>
                <w:lang w:val="cs-CZ"/>
              </w:rPr>
            </w:pPr>
            <w:r w:rsidRPr="006E599E">
              <w:rPr>
                <w:rFonts w:cs="Arial"/>
                <w:lang w:val="cs-CZ"/>
              </w:rPr>
              <w:t>Střet zájmů s dopadem na výsledek zadávacího/výběrového řízení</w:t>
            </w:r>
          </w:p>
          <w:p w14:paraId="194D4349" w14:textId="77777777" w:rsidR="006E599E" w:rsidRPr="006E599E" w:rsidRDefault="006E599E" w:rsidP="000F3721">
            <w:pPr>
              <w:widowControl w:val="0"/>
              <w:rPr>
                <w:rFonts w:cs="Arial"/>
                <w:lang w:val="cs-CZ"/>
              </w:rPr>
            </w:pPr>
          </w:p>
        </w:tc>
        <w:tc>
          <w:tcPr>
            <w:tcW w:w="1548" w:type="pct"/>
            <w:tcBorders>
              <w:top w:val="single" w:sz="12" w:space="0" w:color="auto"/>
              <w:bottom w:val="single" w:sz="12" w:space="0" w:color="auto"/>
            </w:tcBorders>
            <w:tcMar>
              <w:top w:w="113" w:type="dxa"/>
              <w:bottom w:w="113" w:type="dxa"/>
            </w:tcMar>
          </w:tcPr>
          <w:p w14:paraId="441B1419" w14:textId="77777777" w:rsidR="006E599E" w:rsidRPr="006E599E" w:rsidRDefault="006E599E" w:rsidP="000F3721">
            <w:pPr>
              <w:widowControl w:val="0"/>
              <w:rPr>
                <w:rFonts w:cs="Arial"/>
                <w:lang w:val="cs-CZ"/>
              </w:rPr>
            </w:pPr>
            <w:r w:rsidRPr="006E599E">
              <w:rPr>
                <w:rFonts w:cs="Arial"/>
                <w:lang w:val="cs-CZ"/>
              </w:rPr>
              <w:t>V případě, kdy při zadání veřejné zakázky dojde ke střetu zájmů, přičemž dotčený účastník zvítězí v zadávacím/výběrovém řízení.</w:t>
            </w:r>
            <w:r w:rsidRPr="006E599E">
              <w:rPr>
                <w:rStyle w:val="Znakapoznpodarou"/>
                <w:rFonts w:cs="Arial"/>
                <w:lang w:val="cs-CZ"/>
              </w:rPr>
              <w:footnoteReference w:id="4"/>
            </w:r>
          </w:p>
        </w:tc>
        <w:tc>
          <w:tcPr>
            <w:tcW w:w="1547" w:type="pct"/>
            <w:tcBorders>
              <w:top w:val="single" w:sz="12" w:space="0" w:color="auto"/>
              <w:bottom w:val="single" w:sz="12" w:space="0" w:color="auto"/>
            </w:tcBorders>
            <w:tcMar>
              <w:top w:w="113" w:type="dxa"/>
              <w:bottom w:w="113" w:type="dxa"/>
            </w:tcMar>
          </w:tcPr>
          <w:p w14:paraId="5DDECEFC" w14:textId="77777777" w:rsidR="006E599E" w:rsidRPr="006E599E" w:rsidRDefault="006E599E" w:rsidP="000F3721">
            <w:pPr>
              <w:widowControl w:val="0"/>
              <w:rPr>
                <w:rFonts w:cs="Arial"/>
                <w:lang w:val="cs-CZ"/>
              </w:rPr>
            </w:pPr>
            <w:r w:rsidRPr="006E599E">
              <w:rPr>
                <w:rFonts w:cs="Arial"/>
                <w:lang w:val="cs-CZ"/>
              </w:rPr>
              <w:t>100 %</w:t>
            </w:r>
          </w:p>
        </w:tc>
      </w:tr>
      <w:tr w:rsidR="006E599E" w:rsidRPr="006E599E" w14:paraId="539EBE90" w14:textId="77777777" w:rsidTr="000F3721">
        <w:trPr>
          <w:trHeight w:val="115"/>
        </w:trPr>
        <w:tc>
          <w:tcPr>
            <w:tcW w:w="357" w:type="pct"/>
            <w:vMerge w:val="restart"/>
            <w:tcBorders>
              <w:top w:val="single" w:sz="12" w:space="0" w:color="auto"/>
            </w:tcBorders>
            <w:tcMar>
              <w:top w:w="113" w:type="dxa"/>
              <w:bottom w:w="113" w:type="dxa"/>
            </w:tcMar>
          </w:tcPr>
          <w:p w14:paraId="63D54E81"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0931A680" w14:textId="77777777" w:rsidR="006E599E" w:rsidRPr="006E599E" w:rsidRDefault="006E599E" w:rsidP="000F3721">
            <w:pPr>
              <w:widowControl w:val="0"/>
              <w:rPr>
                <w:rFonts w:cs="Arial"/>
                <w:lang w:val="cs-CZ"/>
              </w:rPr>
            </w:pPr>
            <w:r w:rsidRPr="006E599E">
              <w:rPr>
                <w:rFonts w:cs="Arial"/>
                <w:lang w:val="cs-CZ"/>
              </w:rPr>
              <w:t>Bid-rigging (zakázaná spolupráce dodavatelů ve výběrovém/zadávacím řízení)</w:t>
            </w:r>
          </w:p>
        </w:tc>
        <w:tc>
          <w:tcPr>
            <w:tcW w:w="1548" w:type="pct"/>
            <w:vMerge w:val="restart"/>
            <w:tcBorders>
              <w:top w:val="single" w:sz="12" w:space="0" w:color="auto"/>
            </w:tcBorders>
            <w:tcMar>
              <w:top w:w="113" w:type="dxa"/>
              <w:bottom w:w="113" w:type="dxa"/>
            </w:tcMar>
          </w:tcPr>
          <w:p w14:paraId="50CD24BC" w14:textId="77777777" w:rsidR="006E599E" w:rsidRPr="006E599E" w:rsidRDefault="006E599E" w:rsidP="000F3721">
            <w:pPr>
              <w:widowControl w:val="0"/>
              <w:rPr>
                <w:rFonts w:cs="Arial"/>
                <w:lang w:val="cs-CZ"/>
              </w:rPr>
            </w:pPr>
            <w:r w:rsidRPr="006E599E">
              <w:rPr>
                <w:rFonts w:cs="Arial"/>
                <w:lang w:val="cs-CZ"/>
              </w:rPr>
              <w:t xml:space="preserve">V případě, že soud, Úřad pro ochranu hospodářské soutěže či jiný kompetentní úřad shledá, že při zadávání </w:t>
            </w:r>
            <w:r w:rsidRPr="006E599E">
              <w:rPr>
                <w:rFonts w:cs="Arial"/>
                <w:lang w:val="cs-CZ"/>
              </w:rPr>
              <w:lastRenderedPageBreak/>
              <w:t>výběrového/zadávacího řízení došlo ke kartelové dohodě či jiné formě zakázané spolupráce mezi dodavateli.</w:t>
            </w:r>
          </w:p>
        </w:tc>
        <w:tc>
          <w:tcPr>
            <w:tcW w:w="1547" w:type="pct"/>
            <w:tcBorders>
              <w:top w:val="single" w:sz="12" w:space="0" w:color="auto"/>
              <w:bottom w:val="single" w:sz="12" w:space="0" w:color="auto"/>
            </w:tcBorders>
            <w:tcMar>
              <w:top w:w="113" w:type="dxa"/>
              <w:bottom w:w="113" w:type="dxa"/>
            </w:tcMar>
          </w:tcPr>
          <w:p w14:paraId="69072EE4" w14:textId="77777777" w:rsidR="006E599E" w:rsidRPr="006E599E" w:rsidRDefault="006E599E" w:rsidP="000F3721">
            <w:pPr>
              <w:widowControl w:val="0"/>
              <w:rPr>
                <w:rFonts w:cs="Arial"/>
                <w:lang w:val="cs-CZ"/>
              </w:rPr>
            </w:pPr>
            <w:r w:rsidRPr="006E599E">
              <w:rPr>
                <w:rFonts w:cs="Arial"/>
                <w:lang w:val="cs-CZ"/>
              </w:rPr>
              <w:lastRenderedPageBreak/>
              <w:t xml:space="preserve">10 %, pokud účastníci, kteří se na bid-riggingu podíleli, postupovali bez pomoci osoby v rámci řídícího či kontrolního </w:t>
            </w:r>
            <w:r w:rsidRPr="006E599E">
              <w:rPr>
                <w:rFonts w:cs="Arial"/>
                <w:lang w:val="cs-CZ"/>
              </w:rPr>
              <w:lastRenderedPageBreak/>
              <w:t>systému nebo zadavatele a jeden z nich se stal vybraným dodavatelem</w:t>
            </w:r>
          </w:p>
        </w:tc>
      </w:tr>
      <w:tr w:rsidR="006E599E" w:rsidRPr="006E599E" w14:paraId="5863F072" w14:textId="77777777" w:rsidTr="000F3721">
        <w:trPr>
          <w:trHeight w:val="115"/>
        </w:trPr>
        <w:tc>
          <w:tcPr>
            <w:tcW w:w="357" w:type="pct"/>
            <w:vMerge/>
            <w:tcMar>
              <w:top w:w="113" w:type="dxa"/>
              <w:bottom w:w="113" w:type="dxa"/>
            </w:tcMar>
          </w:tcPr>
          <w:p w14:paraId="0C017D12"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3027DE74"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048DC37D" w14:textId="77777777" w:rsidR="006E599E" w:rsidRPr="006E599E" w:rsidRDefault="006E599E" w:rsidP="000F3721">
            <w:pPr>
              <w:widowControl w:val="0"/>
              <w:rPr>
                <w:rFonts w:cs="Arial"/>
                <w:lang w:val="cs-CZ"/>
              </w:rPr>
            </w:pPr>
          </w:p>
        </w:tc>
        <w:tc>
          <w:tcPr>
            <w:tcW w:w="1547" w:type="pct"/>
            <w:tcBorders>
              <w:top w:val="single" w:sz="12" w:space="0" w:color="auto"/>
              <w:bottom w:val="single" w:sz="12" w:space="0" w:color="auto"/>
            </w:tcBorders>
            <w:tcMar>
              <w:top w:w="113" w:type="dxa"/>
              <w:bottom w:w="113" w:type="dxa"/>
            </w:tcMar>
          </w:tcPr>
          <w:p w14:paraId="4D91407E" w14:textId="7450DA56" w:rsidR="006E599E" w:rsidRPr="006E599E" w:rsidRDefault="006E599E" w:rsidP="000F3721">
            <w:pPr>
              <w:widowControl w:val="0"/>
              <w:rPr>
                <w:rFonts w:cs="Arial"/>
                <w:lang w:val="cs-CZ"/>
              </w:rPr>
            </w:pPr>
            <w:r w:rsidRPr="006E599E">
              <w:rPr>
                <w:rFonts w:cs="Arial"/>
                <w:lang w:val="cs-CZ"/>
              </w:rPr>
              <w:t xml:space="preserve">25 %, </w:t>
            </w:r>
            <w:r w:rsidR="00006797" w:rsidRPr="00006797">
              <w:rPr>
                <w:rFonts w:cs="Arial"/>
                <w:lang w:val="cs-CZ"/>
              </w:rPr>
              <w:t>pokud se zadávacího řízení neúčastnili jiní dodavatelé než ti, kteří se podíleli na bid-riggingu</w:t>
            </w:r>
          </w:p>
        </w:tc>
      </w:tr>
      <w:tr w:rsidR="006E599E" w:rsidRPr="006E599E" w14:paraId="5CE44071" w14:textId="77777777" w:rsidTr="000F3721">
        <w:trPr>
          <w:trHeight w:val="115"/>
        </w:trPr>
        <w:tc>
          <w:tcPr>
            <w:tcW w:w="357" w:type="pct"/>
            <w:vMerge/>
            <w:tcBorders>
              <w:bottom w:val="single" w:sz="12" w:space="0" w:color="auto"/>
            </w:tcBorders>
            <w:tcMar>
              <w:top w:w="113" w:type="dxa"/>
              <w:bottom w:w="113" w:type="dxa"/>
            </w:tcMar>
          </w:tcPr>
          <w:p w14:paraId="0D0C3AFB"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12" w:space="0" w:color="auto"/>
            </w:tcBorders>
            <w:tcMar>
              <w:top w:w="113" w:type="dxa"/>
              <w:bottom w:w="113" w:type="dxa"/>
            </w:tcMar>
          </w:tcPr>
          <w:p w14:paraId="293F6270" w14:textId="77777777" w:rsidR="006E599E" w:rsidRPr="006E599E" w:rsidRDefault="006E599E" w:rsidP="000F3721">
            <w:pPr>
              <w:widowControl w:val="0"/>
              <w:rPr>
                <w:rFonts w:cs="Arial"/>
                <w:lang w:val="cs-CZ"/>
              </w:rPr>
            </w:pPr>
          </w:p>
        </w:tc>
        <w:tc>
          <w:tcPr>
            <w:tcW w:w="1548" w:type="pct"/>
            <w:vMerge/>
            <w:tcBorders>
              <w:bottom w:val="single" w:sz="12" w:space="0" w:color="auto"/>
            </w:tcBorders>
            <w:tcMar>
              <w:top w:w="113" w:type="dxa"/>
              <w:bottom w:w="113" w:type="dxa"/>
            </w:tcMar>
          </w:tcPr>
          <w:p w14:paraId="7FB01F73" w14:textId="77777777" w:rsidR="006E599E" w:rsidRPr="006E599E" w:rsidRDefault="006E599E" w:rsidP="000F3721">
            <w:pPr>
              <w:widowControl w:val="0"/>
              <w:rPr>
                <w:rFonts w:cs="Arial"/>
                <w:lang w:val="cs-CZ"/>
              </w:rPr>
            </w:pPr>
          </w:p>
        </w:tc>
        <w:tc>
          <w:tcPr>
            <w:tcW w:w="1547" w:type="pct"/>
            <w:tcBorders>
              <w:top w:val="single" w:sz="12" w:space="0" w:color="auto"/>
              <w:bottom w:val="single" w:sz="12" w:space="0" w:color="auto"/>
            </w:tcBorders>
            <w:tcMar>
              <w:top w:w="113" w:type="dxa"/>
              <w:bottom w:w="113" w:type="dxa"/>
            </w:tcMar>
          </w:tcPr>
          <w:p w14:paraId="22B38AE5" w14:textId="77777777" w:rsidR="006E599E" w:rsidRPr="006E599E" w:rsidRDefault="006E599E" w:rsidP="000F3721">
            <w:pPr>
              <w:widowControl w:val="0"/>
              <w:rPr>
                <w:rFonts w:cs="Arial"/>
                <w:lang w:val="cs-CZ"/>
              </w:rPr>
            </w:pPr>
            <w:r w:rsidRPr="006E599E">
              <w:rPr>
                <w:rFonts w:cs="Arial"/>
                <w:lang w:val="cs-CZ"/>
              </w:rPr>
              <w:t>100 %, pokud se na bid-riggingu podílela osoba v rámci řídícího či kontrolního systému nebo zadavatel ve spolupráci s dodavateli podílejícími se na bid-riggingu a současně jeden z nich se stal vybraným dodavatelem</w:t>
            </w:r>
          </w:p>
        </w:tc>
      </w:tr>
      <w:tr w:rsidR="006E599E" w:rsidRPr="006E599E" w14:paraId="6675F1F4" w14:textId="77777777" w:rsidTr="000F3721">
        <w:trPr>
          <w:trHeight w:val="2311"/>
        </w:trPr>
        <w:tc>
          <w:tcPr>
            <w:tcW w:w="357" w:type="pct"/>
            <w:vMerge w:val="restart"/>
            <w:tcBorders>
              <w:top w:val="single" w:sz="12" w:space="0" w:color="auto"/>
            </w:tcBorders>
            <w:tcMar>
              <w:top w:w="113" w:type="dxa"/>
              <w:bottom w:w="113" w:type="dxa"/>
            </w:tcMar>
          </w:tcPr>
          <w:p w14:paraId="3B89134E"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14B67287" w14:textId="77777777" w:rsidR="006E599E" w:rsidRPr="006E599E" w:rsidRDefault="006E599E" w:rsidP="000F3721">
            <w:pPr>
              <w:widowControl w:val="0"/>
              <w:rPr>
                <w:rFonts w:cs="Arial"/>
                <w:lang w:val="cs-CZ"/>
              </w:rPr>
            </w:pPr>
            <w:r w:rsidRPr="006E599E">
              <w:rPr>
                <w:rFonts w:cs="Arial"/>
                <w:lang w:val="cs-CZ"/>
              </w:rPr>
              <w:t xml:space="preserve">Podstatná změna smlouvy </w:t>
            </w:r>
          </w:p>
        </w:tc>
        <w:tc>
          <w:tcPr>
            <w:tcW w:w="1548" w:type="pct"/>
            <w:vMerge w:val="restart"/>
            <w:tcBorders>
              <w:top w:val="single" w:sz="12" w:space="0" w:color="auto"/>
            </w:tcBorders>
            <w:tcMar>
              <w:top w:w="113" w:type="dxa"/>
              <w:bottom w:w="113" w:type="dxa"/>
            </w:tcMar>
          </w:tcPr>
          <w:p w14:paraId="36545AB1" w14:textId="77777777" w:rsidR="006E599E" w:rsidRPr="006E599E" w:rsidRDefault="006E599E" w:rsidP="000F3721">
            <w:pPr>
              <w:widowControl w:val="0"/>
              <w:rPr>
                <w:rFonts w:cs="Arial"/>
                <w:lang w:val="cs-CZ"/>
              </w:rPr>
            </w:pPr>
            <w:r w:rsidRPr="006E599E">
              <w:rPr>
                <w:rFonts w:cs="Arial"/>
                <w:lang w:val="cs-CZ"/>
              </w:rPr>
              <w:t>Zadavatel umožnil podstatnou změnu závazku ze smlouvy na plnění veřejné zakázky</w:t>
            </w:r>
            <w:r w:rsidRPr="006E599E" w:rsidDel="00CC6500">
              <w:rPr>
                <w:rFonts w:cs="Arial"/>
                <w:lang w:val="cs-CZ"/>
              </w:rPr>
              <w:t xml:space="preserve"> </w:t>
            </w:r>
            <w:r w:rsidRPr="006E599E">
              <w:rPr>
                <w:rFonts w:cs="Arial"/>
                <w:lang w:val="cs-CZ"/>
              </w:rPr>
              <w:t>nebo práv a povinností vyplývajících ze smlouvy na plnění veřejné zakázky</w:t>
            </w:r>
            <w:r w:rsidRPr="006E599E" w:rsidDel="00CC6500">
              <w:rPr>
                <w:rFonts w:cs="Arial"/>
                <w:lang w:val="cs-CZ"/>
              </w:rPr>
              <w:t xml:space="preserve"> </w:t>
            </w:r>
            <w:r w:rsidRPr="006E599E">
              <w:rPr>
                <w:rFonts w:cs="Arial"/>
                <w:lang w:val="cs-CZ"/>
              </w:rPr>
              <w:t xml:space="preserve">v rozporu se zákonem nebo s pravidly IROP, příp. s MPZ. </w:t>
            </w:r>
          </w:p>
        </w:tc>
        <w:tc>
          <w:tcPr>
            <w:tcW w:w="1547" w:type="pct"/>
            <w:tcBorders>
              <w:top w:val="single" w:sz="12" w:space="0" w:color="auto"/>
              <w:bottom w:val="single" w:sz="12" w:space="0" w:color="auto"/>
            </w:tcBorders>
            <w:tcMar>
              <w:top w:w="113" w:type="dxa"/>
              <w:bottom w:w="113" w:type="dxa"/>
            </w:tcMar>
          </w:tcPr>
          <w:p w14:paraId="5D28143D" w14:textId="77777777" w:rsidR="006E599E" w:rsidRPr="006E599E" w:rsidRDefault="006E599E" w:rsidP="000F3721">
            <w:pPr>
              <w:widowControl w:val="0"/>
              <w:rPr>
                <w:rFonts w:cs="Arial"/>
                <w:lang w:val="cs-CZ"/>
              </w:rPr>
            </w:pPr>
            <w:r w:rsidRPr="006E599E">
              <w:rPr>
                <w:rFonts w:cs="Arial"/>
                <w:lang w:val="cs-CZ"/>
              </w:rPr>
              <w:t>25 % z ceny původní veřejné zakázky</w:t>
            </w:r>
          </w:p>
          <w:p w14:paraId="659D3D20" w14:textId="77777777" w:rsidR="006E599E" w:rsidRPr="006E599E" w:rsidRDefault="006E599E" w:rsidP="000F3721">
            <w:pPr>
              <w:widowControl w:val="0"/>
              <w:rPr>
                <w:rFonts w:cs="Arial"/>
                <w:lang w:val="cs-CZ"/>
              </w:rPr>
            </w:pPr>
          </w:p>
          <w:p w14:paraId="5C3EF414" w14:textId="77777777" w:rsidR="006E599E" w:rsidRPr="006E599E" w:rsidRDefault="006E599E" w:rsidP="000F3721">
            <w:pPr>
              <w:widowControl w:val="0"/>
              <w:rPr>
                <w:rFonts w:cs="Arial"/>
                <w:lang w:val="cs-CZ"/>
              </w:rPr>
            </w:pPr>
            <w:r w:rsidRPr="006E599E">
              <w:rPr>
                <w:rFonts w:cs="Arial"/>
                <w:lang w:val="cs-CZ"/>
              </w:rPr>
              <w:t>a dále</w:t>
            </w:r>
          </w:p>
          <w:p w14:paraId="76267BFA" w14:textId="77777777" w:rsidR="006E599E" w:rsidRPr="006E599E" w:rsidRDefault="006E599E" w:rsidP="000F3721">
            <w:pPr>
              <w:widowControl w:val="0"/>
              <w:rPr>
                <w:rFonts w:cs="Arial"/>
                <w:lang w:val="cs-CZ"/>
              </w:rPr>
            </w:pPr>
          </w:p>
          <w:p w14:paraId="3D6F286C" w14:textId="77777777" w:rsidR="006E599E" w:rsidRPr="006E599E" w:rsidRDefault="006E599E" w:rsidP="000F3721">
            <w:pPr>
              <w:widowControl w:val="0"/>
              <w:rPr>
                <w:rFonts w:cs="Arial"/>
                <w:lang w:val="cs-CZ"/>
              </w:rPr>
            </w:pPr>
            <w:r w:rsidRPr="006E599E">
              <w:rPr>
                <w:rFonts w:cs="Arial"/>
                <w:lang w:val="cs-CZ"/>
              </w:rPr>
              <w:t>25 % z hodnoty dodatečných stavebních prací, dodávek nebo služeb (tzv. vícepráce)</w:t>
            </w:r>
          </w:p>
          <w:p w14:paraId="6C6E81C9" w14:textId="77777777" w:rsidR="006E599E" w:rsidRPr="006E599E" w:rsidRDefault="006E599E" w:rsidP="000F3721">
            <w:pPr>
              <w:widowControl w:val="0"/>
              <w:rPr>
                <w:rFonts w:cs="Arial"/>
                <w:lang w:val="cs-CZ"/>
              </w:rPr>
            </w:pPr>
          </w:p>
        </w:tc>
      </w:tr>
      <w:tr w:rsidR="006E599E" w:rsidRPr="006E599E" w14:paraId="75C8B2F8" w14:textId="77777777" w:rsidTr="000F3721">
        <w:trPr>
          <w:trHeight w:val="2310"/>
        </w:trPr>
        <w:tc>
          <w:tcPr>
            <w:tcW w:w="357" w:type="pct"/>
            <w:vMerge/>
            <w:tcBorders>
              <w:bottom w:val="single" w:sz="12" w:space="0" w:color="auto"/>
            </w:tcBorders>
            <w:tcMar>
              <w:top w:w="113" w:type="dxa"/>
              <w:bottom w:w="113" w:type="dxa"/>
            </w:tcMar>
          </w:tcPr>
          <w:p w14:paraId="55D01A3F"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12" w:space="0" w:color="auto"/>
            </w:tcBorders>
            <w:tcMar>
              <w:top w:w="113" w:type="dxa"/>
              <w:bottom w:w="113" w:type="dxa"/>
            </w:tcMar>
          </w:tcPr>
          <w:p w14:paraId="2B8BBF5A" w14:textId="77777777" w:rsidR="006E599E" w:rsidRPr="006E599E" w:rsidRDefault="006E599E" w:rsidP="000F3721">
            <w:pPr>
              <w:widowControl w:val="0"/>
              <w:rPr>
                <w:rFonts w:cs="Arial"/>
                <w:lang w:val="cs-CZ"/>
              </w:rPr>
            </w:pPr>
          </w:p>
        </w:tc>
        <w:tc>
          <w:tcPr>
            <w:tcW w:w="1548" w:type="pct"/>
            <w:vMerge/>
            <w:tcBorders>
              <w:bottom w:val="single" w:sz="12" w:space="0" w:color="auto"/>
            </w:tcBorders>
            <w:tcMar>
              <w:top w:w="113" w:type="dxa"/>
              <w:bottom w:w="113" w:type="dxa"/>
            </w:tcMar>
          </w:tcPr>
          <w:p w14:paraId="2B3898B8" w14:textId="77777777" w:rsidR="006E599E" w:rsidRPr="006E599E" w:rsidRDefault="006E599E" w:rsidP="000F3721">
            <w:pPr>
              <w:widowControl w:val="0"/>
              <w:rPr>
                <w:rFonts w:cs="Arial"/>
                <w:lang w:val="cs-CZ"/>
              </w:rPr>
            </w:pPr>
          </w:p>
        </w:tc>
        <w:tc>
          <w:tcPr>
            <w:tcW w:w="1547" w:type="pct"/>
            <w:tcBorders>
              <w:top w:val="single" w:sz="12" w:space="0" w:color="auto"/>
              <w:bottom w:val="single" w:sz="12" w:space="0" w:color="auto"/>
            </w:tcBorders>
            <w:tcMar>
              <w:top w:w="113" w:type="dxa"/>
              <w:bottom w:w="113" w:type="dxa"/>
            </w:tcMar>
          </w:tcPr>
          <w:p w14:paraId="35478716" w14:textId="77777777" w:rsidR="006E599E" w:rsidRPr="006E599E" w:rsidRDefault="006E599E" w:rsidP="000F3721">
            <w:pPr>
              <w:widowControl w:val="0"/>
              <w:rPr>
                <w:rFonts w:cs="Arial"/>
                <w:lang w:val="cs-CZ"/>
              </w:rPr>
            </w:pPr>
            <w:r w:rsidRPr="006E599E">
              <w:rPr>
                <w:rFonts w:cs="Arial"/>
                <w:lang w:val="cs-CZ"/>
              </w:rPr>
              <w:t xml:space="preserve">25 % z ceny původní veřejné zakázky </w:t>
            </w:r>
          </w:p>
          <w:p w14:paraId="14163255" w14:textId="77777777" w:rsidR="006E599E" w:rsidRPr="006E599E" w:rsidRDefault="006E599E" w:rsidP="000F3721">
            <w:pPr>
              <w:widowControl w:val="0"/>
              <w:rPr>
                <w:rFonts w:cs="Arial"/>
                <w:lang w:val="cs-CZ"/>
              </w:rPr>
            </w:pPr>
          </w:p>
          <w:p w14:paraId="3295AA77" w14:textId="77777777" w:rsidR="006E599E" w:rsidRPr="006E599E" w:rsidRDefault="006E599E" w:rsidP="000F3721">
            <w:pPr>
              <w:widowControl w:val="0"/>
              <w:rPr>
                <w:rFonts w:cs="Arial"/>
                <w:lang w:val="cs-CZ"/>
              </w:rPr>
            </w:pPr>
            <w:r w:rsidRPr="006E599E">
              <w:rPr>
                <w:rFonts w:cs="Arial"/>
                <w:lang w:val="cs-CZ"/>
              </w:rPr>
              <w:t>a dále</w:t>
            </w:r>
          </w:p>
          <w:p w14:paraId="32B96AED" w14:textId="77777777" w:rsidR="006E599E" w:rsidRPr="006E599E" w:rsidRDefault="006E599E" w:rsidP="000F3721">
            <w:pPr>
              <w:widowControl w:val="0"/>
              <w:rPr>
                <w:rFonts w:cs="Arial"/>
                <w:lang w:val="cs-CZ"/>
              </w:rPr>
            </w:pPr>
          </w:p>
          <w:p w14:paraId="0E47DBD2" w14:textId="77777777" w:rsidR="006E599E" w:rsidRPr="006E599E" w:rsidRDefault="006E599E" w:rsidP="000F3721">
            <w:pPr>
              <w:widowControl w:val="0"/>
              <w:rPr>
                <w:rFonts w:cs="Arial"/>
                <w:lang w:val="cs-CZ"/>
              </w:rPr>
            </w:pPr>
            <w:r w:rsidRPr="006E599E">
              <w:rPr>
                <w:rFonts w:cs="Arial"/>
                <w:lang w:val="cs-CZ"/>
              </w:rPr>
              <w:t xml:space="preserve">100 % částky, o kterou byla případně zvýšena </w:t>
            </w:r>
            <w:r w:rsidRPr="006E599E">
              <w:rPr>
                <w:rFonts w:cs="Arial"/>
                <w:lang w:val="cs-CZ"/>
              </w:rPr>
              <w:lastRenderedPageBreak/>
              <w:t>cena veřejné zakázky v případě, že takové zvýšení převyšuje 50 % hodnoty původní veřejné zakázky</w:t>
            </w:r>
          </w:p>
        </w:tc>
      </w:tr>
      <w:tr w:rsidR="006E599E" w:rsidRPr="006E599E" w14:paraId="239E3E98" w14:textId="77777777" w:rsidTr="000F3721">
        <w:trPr>
          <w:trHeight w:val="20"/>
        </w:trPr>
        <w:tc>
          <w:tcPr>
            <w:tcW w:w="357" w:type="pct"/>
            <w:vMerge w:val="restart"/>
            <w:tcBorders>
              <w:top w:val="single" w:sz="12" w:space="0" w:color="auto"/>
            </w:tcBorders>
            <w:tcMar>
              <w:top w:w="113" w:type="dxa"/>
              <w:bottom w:w="113" w:type="dxa"/>
            </w:tcMar>
          </w:tcPr>
          <w:p w14:paraId="2F86D054"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61F2E049" w14:textId="77777777" w:rsidR="006E599E" w:rsidRPr="006E599E" w:rsidRDefault="006E599E" w:rsidP="000F3721">
            <w:pPr>
              <w:widowControl w:val="0"/>
              <w:rPr>
                <w:rFonts w:cs="Arial"/>
                <w:lang w:val="cs-CZ"/>
              </w:rPr>
            </w:pPr>
            <w:r w:rsidRPr="006E599E">
              <w:rPr>
                <w:rFonts w:cs="Arial"/>
                <w:lang w:val="cs-CZ"/>
              </w:rPr>
              <w:t>Jiné porušení</w:t>
            </w:r>
          </w:p>
        </w:tc>
        <w:tc>
          <w:tcPr>
            <w:tcW w:w="1548" w:type="pct"/>
            <w:vMerge w:val="restart"/>
            <w:tcBorders>
              <w:top w:val="single" w:sz="12" w:space="0" w:color="auto"/>
            </w:tcBorders>
            <w:tcMar>
              <w:top w:w="113" w:type="dxa"/>
              <w:bottom w:w="113" w:type="dxa"/>
            </w:tcMar>
          </w:tcPr>
          <w:p w14:paraId="3D932C15" w14:textId="77777777" w:rsidR="006E599E" w:rsidRPr="006E599E" w:rsidRDefault="006E599E" w:rsidP="000F3721">
            <w:pPr>
              <w:widowControl w:val="0"/>
              <w:rPr>
                <w:rFonts w:cs="Arial"/>
                <w:lang w:val="cs-CZ"/>
              </w:rPr>
            </w:pPr>
            <w:r w:rsidRPr="006E599E">
              <w:rPr>
                <w:rFonts w:cs="Arial"/>
                <w:lang w:val="cs-CZ"/>
              </w:rPr>
              <w:t>Zadavatel se dopustil jiného než výše uvedeného porušení, které mělo nebo mohlo mít vliv na výběr dodavatele, nebo které znemožnilo ověření souladu jeho postupu s </w:t>
            </w:r>
            <w:r w:rsidRPr="006E599E">
              <w:rPr>
                <w:rFonts w:cs="Arial"/>
                <w:snapToGrid w:val="0"/>
                <w:lang w:val="cs-CZ"/>
              </w:rPr>
              <w:t>pravidly IROP, včetně nedodržení základních zásad zadávacího řízení.</w:t>
            </w:r>
          </w:p>
        </w:tc>
        <w:tc>
          <w:tcPr>
            <w:tcW w:w="1547" w:type="pct"/>
            <w:tcBorders>
              <w:top w:val="single" w:sz="12" w:space="0" w:color="auto"/>
            </w:tcBorders>
            <w:tcMar>
              <w:top w:w="113" w:type="dxa"/>
              <w:bottom w:w="113" w:type="dxa"/>
            </w:tcMar>
          </w:tcPr>
          <w:p w14:paraId="520EFA1E" w14:textId="77777777" w:rsidR="006E599E" w:rsidRPr="006E599E" w:rsidRDefault="006E599E" w:rsidP="000F3721">
            <w:pPr>
              <w:widowControl w:val="0"/>
              <w:rPr>
                <w:rFonts w:cs="Arial"/>
                <w:lang w:val="cs-CZ"/>
              </w:rPr>
            </w:pPr>
            <w:r w:rsidRPr="006E599E">
              <w:rPr>
                <w:rFonts w:cs="Arial"/>
                <w:lang w:val="cs-CZ"/>
              </w:rPr>
              <w:t>25 %</w:t>
            </w:r>
          </w:p>
        </w:tc>
      </w:tr>
      <w:tr w:rsidR="006E599E" w:rsidRPr="006E599E" w14:paraId="797D942E" w14:textId="77777777" w:rsidTr="000F3721">
        <w:trPr>
          <w:trHeight w:val="757"/>
        </w:trPr>
        <w:tc>
          <w:tcPr>
            <w:tcW w:w="357" w:type="pct"/>
            <w:vMerge/>
            <w:tcBorders>
              <w:bottom w:val="single" w:sz="12" w:space="0" w:color="auto"/>
            </w:tcBorders>
            <w:tcMar>
              <w:top w:w="113" w:type="dxa"/>
              <w:bottom w:w="113" w:type="dxa"/>
            </w:tcMar>
          </w:tcPr>
          <w:p w14:paraId="08D42410" w14:textId="77777777" w:rsidR="006E599E" w:rsidRPr="006E599E" w:rsidRDefault="006E599E" w:rsidP="006E599E">
            <w:pPr>
              <w:widowControl w:val="0"/>
              <w:numPr>
                <w:ilvl w:val="0"/>
                <w:numId w:val="15"/>
              </w:numPr>
              <w:spacing w:before="0" w:after="0" w:line="240" w:lineRule="auto"/>
              <w:contextualSpacing/>
              <w:jc w:val="center"/>
              <w:rPr>
                <w:rFonts w:asciiTheme="majorHAnsi" w:hAnsiTheme="majorHAnsi" w:cs="Segoe UI"/>
                <w:lang w:val="cs-CZ"/>
              </w:rPr>
            </w:pPr>
          </w:p>
        </w:tc>
        <w:tc>
          <w:tcPr>
            <w:tcW w:w="1548" w:type="pct"/>
            <w:vMerge/>
            <w:tcBorders>
              <w:bottom w:val="single" w:sz="12" w:space="0" w:color="auto"/>
            </w:tcBorders>
            <w:tcMar>
              <w:top w:w="113" w:type="dxa"/>
              <w:bottom w:w="113" w:type="dxa"/>
            </w:tcMar>
          </w:tcPr>
          <w:p w14:paraId="4D78414B" w14:textId="77777777" w:rsidR="006E599E" w:rsidRPr="006E599E" w:rsidRDefault="006E599E" w:rsidP="000F3721">
            <w:pPr>
              <w:widowControl w:val="0"/>
              <w:rPr>
                <w:rFonts w:asciiTheme="majorHAnsi" w:hAnsiTheme="majorHAnsi" w:cs="Segoe UI"/>
                <w:lang w:val="cs-CZ"/>
              </w:rPr>
            </w:pPr>
          </w:p>
        </w:tc>
        <w:tc>
          <w:tcPr>
            <w:tcW w:w="1548" w:type="pct"/>
            <w:vMerge/>
            <w:tcBorders>
              <w:bottom w:val="single" w:sz="12" w:space="0" w:color="auto"/>
            </w:tcBorders>
            <w:tcMar>
              <w:top w:w="113" w:type="dxa"/>
              <w:bottom w:w="113" w:type="dxa"/>
            </w:tcMar>
          </w:tcPr>
          <w:p w14:paraId="196DBF07" w14:textId="77777777" w:rsidR="006E599E" w:rsidRPr="006E599E" w:rsidRDefault="006E599E" w:rsidP="000F3721">
            <w:pPr>
              <w:widowControl w:val="0"/>
              <w:rPr>
                <w:rFonts w:asciiTheme="majorHAnsi" w:hAnsiTheme="majorHAnsi" w:cs="Segoe UI"/>
                <w:lang w:val="cs-CZ"/>
              </w:rPr>
            </w:pPr>
          </w:p>
        </w:tc>
        <w:tc>
          <w:tcPr>
            <w:tcW w:w="1547" w:type="pct"/>
            <w:tcBorders>
              <w:bottom w:val="single" w:sz="12" w:space="0" w:color="auto"/>
            </w:tcBorders>
            <w:tcMar>
              <w:top w:w="113" w:type="dxa"/>
              <w:bottom w:w="113" w:type="dxa"/>
            </w:tcMar>
          </w:tcPr>
          <w:p w14:paraId="22462EC9" w14:textId="77777777" w:rsidR="006E599E" w:rsidRPr="006E599E" w:rsidRDefault="006E599E" w:rsidP="000F3721">
            <w:pPr>
              <w:widowControl w:val="0"/>
              <w:rPr>
                <w:rFonts w:asciiTheme="majorHAnsi" w:hAnsiTheme="majorHAnsi" w:cs="Segoe UI"/>
                <w:lang w:val="cs-CZ"/>
              </w:rPr>
            </w:pPr>
            <w:r w:rsidRPr="00EA2784">
              <w:rPr>
                <w:rFonts w:cs="Arial"/>
                <w:lang w:val="cs-CZ"/>
              </w:rPr>
              <w:t>2 % nebo 5 % nebo 10 % dle závažnosti porušení</w:t>
            </w:r>
          </w:p>
        </w:tc>
      </w:tr>
    </w:tbl>
    <w:p w14:paraId="61AAADA2" w14:textId="77777777" w:rsidR="006E599E" w:rsidRPr="006E599E" w:rsidRDefault="006E599E" w:rsidP="006E599E">
      <w:pPr>
        <w:pStyle w:val="Prosttext"/>
        <w:spacing w:after="120"/>
        <w:jc w:val="both"/>
        <w:rPr>
          <w:rFonts w:asciiTheme="majorHAnsi" w:hAnsiTheme="majorHAnsi"/>
        </w:rPr>
      </w:pPr>
    </w:p>
    <w:p w14:paraId="5A89892A" w14:textId="7DF601D9" w:rsidR="00C03BE1" w:rsidRPr="006E599E" w:rsidRDefault="00C03BE1" w:rsidP="00496E8A">
      <w:pPr>
        <w:rPr>
          <w:rFonts w:cs="Arial"/>
          <w:lang w:val="cs-CZ"/>
        </w:rPr>
      </w:pPr>
    </w:p>
    <w:p w14:paraId="61B1E495" w14:textId="009B00A0" w:rsidR="00496E8A" w:rsidRPr="006E599E" w:rsidRDefault="00496E8A" w:rsidP="00496E8A">
      <w:pPr>
        <w:rPr>
          <w:rFonts w:cs="Arial"/>
          <w:lang w:val="cs-CZ"/>
        </w:rPr>
      </w:pPr>
    </w:p>
    <w:p w14:paraId="55739B18" w14:textId="77777777" w:rsidR="00496E8A" w:rsidRPr="006E599E" w:rsidRDefault="00496E8A" w:rsidP="00496E8A">
      <w:pPr>
        <w:rPr>
          <w:rFonts w:cs="Arial"/>
          <w:lang w:val="cs-CZ"/>
        </w:rPr>
      </w:pPr>
    </w:p>
    <w:sectPr w:rsidR="00496E8A" w:rsidRPr="006E599E" w:rsidSect="006A07B0">
      <w:pgSz w:w="11906" w:h="16838"/>
      <w:pgMar w:top="1417" w:right="1417" w:bottom="1417" w:left="1417" w:header="709"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DDAF31" w14:textId="77777777" w:rsidR="00C761D2" w:rsidRDefault="00C761D2">
      <w:r>
        <w:separator/>
      </w:r>
    </w:p>
  </w:endnote>
  <w:endnote w:type="continuationSeparator" w:id="0">
    <w:p w14:paraId="2702F394" w14:textId="77777777" w:rsidR="00C761D2" w:rsidRDefault="00C76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427626"/>
      <w:docPartObj>
        <w:docPartGallery w:val="Page Numbers (Bottom of Page)"/>
        <w:docPartUnique/>
      </w:docPartObj>
    </w:sdtPr>
    <w:sdtEndPr/>
    <w:sdtContent>
      <w:p w14:paraId="525BDAEA" w14:textId="775FCD1D" w:rsidR="00ED5AEA" w:rsidRDefault="00615A8A">
        <w:pPr>
          <w:pStyle w:val="Zpat"/>
          <w:jc w:val="right"/>
        </w:pPr>
        <w:r>
          <w:fldChar w:fldCharType="begin"/>
        </w:r>
        <w:r>
          <w:instrText>PAGE   \* MERGEFORMAT</w:instrText>
        </w:r>
        <w:r>
          <w:fldChar w:fldCharType="separate"/>
        </w:r>
        <w:r w:rsidR="00DE0716">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9CBD14" w14:textId="77777777" w:rsidR="00C761D2" w:rsidRDefault="00C761D2">
      <w:r>
        <w:separator/>
      </w:r>
    </w:p>
  </w:footnote>
  <w:footnote w:type="continuationSeparator" w:id="0">
    <w:p w14:paraId="1A0E9E81" w14:textId="77777777" w:rsidR="00C761D2" w:rsidRDefault="00C761D2">
      <w:r>
        <w:continuationSeparator/>
      </w:r>
    </w:p>
  </w:footnote>
  <w:footnote w:id="1">
    <w:p w14:paraId="126B498D" w14:textId="7AA893EF" w:rsidR="008C6070" w:rsidRPr="00EA2784" w:rsidRDefault="008C6070">
      <w:pPr>
        <w:pStyle w:val="Textpoznpodarou"/>
        <w:rPr>
          <w:lang w:val="cs-CZ"/>
        </w:rPr>
      </w:pPr>
      <w:r>
        <w:rPr>
          <w:rStyle w:val="Znakapoznpodarou"/>
        </w:rPr>
        <w:footnoteRef/>
      </w:r>
      <w:r>
        <w:t xml:space="preserve"> </w:t>
      </w:r>
      <w:r>
        <w:rPr>
          <w:sz w:val="20"/>
          <w:szCs w:val="20"/>
          <w:lang w:val="cs-CZ" w:bidi="cs-CZ"/>
        </w:rPr>
        <w:t>Aktuální znění této přílohy se nevztahuje na nesrovnalosti ovlivňující výdaje podle pravidel pro používání zjednodušeného vykazování nákladů.</w:t>
      </w:r>
    </w:p>
  </w:footnote>
  <w:footnote w:id="2">
    <w:p w14:paraId="21595B49" w14:textId="74F6F901" w:rsidR="00526EFD" w:rsidRPr="00EA2784" w:rsidRDefault="00526EFD">
      <w:pPr>
        <w:pStyle w:val="Textpoznpodarou"/>
        <w:rPr>
          <w:lang w:val="cs-CZ"/>
        </w:rPr>
      </w:pPr>
      <w:r>
        <w:rPr>
          <w:rStyle w:val="Znakapoznpodarou"/>
        </w:rPr>
        <w:footnoteRef/>
      </w:r>
      <w:r>
        <w:t xml:space="preserve"> </w:t>
      </w:r>
      <w:r w:rsidRPr="00E90880">
        <w:rPr>
          <w:rFonts w:eastAsia="Times New Roman" w:cs="Arial"/>
          <w:bCs/>
          <w:iCs/>
          <w:szCs w:val="22"/>
          <w:lang w:val="cs-CZ" w:eastAsia="cs-CZ"/>
        </w:rPr>
        <w:t xml:space="preserve">Přesné vyčíslení finančního dopadu </w:t>
      </w:r>
      <w:r>
        <w:rPr>
          <w:rFonts w:eastAsia="Times New Roman" w:cs="Arial"/>
          <w:bCs/>
          <w:iCs/>
          <w:szCs w:val="22"/>
          <w:lang w:val="cs-CZ" w:eastAsia="cs-CZ"/>
        </w:rPr>
        <w:t>za porušení</w:t>
      </w:r>
      <w:r w:rsidRPr="00E90880">
        <w:rPr>
          <w:rFonts w:eastAsia="Times New Roman" w:cs="Arial"/>
          <w:bCs/>
          <w:iCs/>
          <w:szCs w:val="22"/>
          <w:lang w:val="cs-CZ" w:eastAsia="cs-CZ"/>
        </w:rPr>
        <w:t xml:space="preserve"> provádíme tehdy, pokud je možné na základě přezkumu jednotlivých případů vypočítat přesnou částku výdajů, které byly </w:t>
      </w:r>
      <w:r>
        <w:rPr>
          <w:rFonts w:eastAsia="Times New Roman" w:cs="Arial"/>
          <w:bCs/>
          <w:iCs/>
          <w:szCs w:val="22"/>
          <w:lang w:val="cs-CZ" w:eastAsia="cs-CZ"/>
        </w:rPr>
        <w:t>vykázány neoprávněně</w:t>
      </w:r>
      <w:r w:rsidRPr="00E90880">
        <w:rPr>
          <w:rFonts w:eastAsia="Times New Roman" w:cs="Arial"/>
          <w:bCs/>
          <w:iCs/>
          <w:szCs w:val="22"/>
          <w:lang w:val="cs-CZ" w:eastAsia="cs-CZ"/>
        </w:rPr>
        <w:t xml:space="preserve">; v takových případech musí být finanční oprava vypočtena přesně. Má se však za to, že v případě </w:t>
      </w:r>
      <w:r>
        <w:rPr>
          <w:rFonts w:eastAsia="Times New Roman" w:cs="Arial"/>
          <w:bCs/>
          <w:iCs/>
          <w:szCs w:val="22"/>
          <w:lang w:val="cs-CZ" w:eastAsia="cs-CZ"/>
        </w:rPr>
        <w:t>porušení</w:t>
      </w:r>
      <w:r w:rsidRPr="00E90880">
        <w:rPr>
          <w:rFonts w:eastAsia="Times New Roman" w:cs="Arial"/>
          <w:bCs/>
          <w:iCs/>
          <w:szCs w:val="22"/>
          <w:lang w:val="cs-CZ" w:eastAsia="cs-CZ"/>
        </w:rPr>
        <w:t xml:space="preserve"> v zadávání veřejných zakázek není možné finanční dopad přesně vyčíslit vzhledem k povaze takové</w:t>
      </w:r>
      <w:r>
        <w:rPr>
          <w:rFonts w:eastAsia="Times New Roman" w:cs="Arial"/>
          <w:bCs/>
          <w:iCs/>
          <w:szCs w:val="22"/>
          <w:lang w:val="cs-CZ" w:eastAsia="cs-CZ"/>
        </w:rPr>
        <w:t>ho porušení</w:t>
      </w:r>
      <w:r w:rsidRPr="00E90880">
        <w:rPr>
          <w:rFonts w:eastAsia="Times New Roman" w:cs="Arial"/>
          <w:bCs/>
          <w:iCs/>
          <w:szCs w:val="22"/>
          <w:lang w:val="cs-CZ" w:eastAsia="cs-CZ"/>
        </w:rPr>
        <w:t xml:space="preserve">. V těchto případech se proto na dotčené výdaje použije paušální oprava s přihlédnutím k povaze a závažnosti </w:t>
      </w:r>
      <w:r>
        <w:rPr>
          <w:rFonts w:eastAsia="Times New Roman" w:cs="Arial"/>
          <w:bCs/>
          <w:iCs/>
          <w:szCs w:val="22"/>
          <w:lang w:val="cs-CZ" w:eastAsia="cs-CZ"/>
        </w:rPr>
        <w:t>porušení</w:t>
      </w:r>
      <w:r w:rsidRPr="00E90880">
        <w:rPr>
          <w:rFonts w:eastAsia="Times New Roman" w:cs="Arial"/>
          <w:bCs/>
          <w:iCs/>
          <w:szCs w:val="22"/>
          <w:lang w:val="cs-CZ" w:eastAsia="cs-CZ"/>
        </w:rPr>
        <w:t xml:space="preserve"> v souladu s</w:t>
      </w:r>
      <w:r>
        <w:rPr>
          <w:rFonts w:eastAsia="Times New Roman" w:cs="Arial"/>
          <w:bCs/>
          <w:iCs/>
          <w:szCs w:val="22"/>
          <w:lang w:val="cs-CZ" w:eastAsia="cs-CZ"/>
        </w:rPr>
        <w:t> níže uvedenými kritérii.</w:t>
      </w:r>
    </w:p>
  </w:footnote>
  <w:footnote w:id="3">
    <w:p w14:paraId="6BD402AE" w14:textId="77777777" w:rsidR="006E599E" w:rsidRPr="006E599E" w:rsidRDefault="006E599E" w:rsidP="006E599E">
      <w:pPr>
        <w:pStyle w:val="Textpoznpodarou"/>
        <w:rPr>
          <w:rFonts w:cs="Arial"/>
        </w:rPr>
      </w:pPr>
      <w:r w:rsidRPr="006E599E">
        <w:rPr>
          <w:rStyle w:val="Znakapoznpodarou"/>
          <w:rFonts w:cs="Arial"/>
        </w:rPr>
        <w:footnoteRef/>
      </w:r>
      <w:r w:rsidRPr="006E599E">
        <w:rPr>
          <w:rFonts w:cs="Arial"/>
        </w:rPr>
        <w:t xml:space="preserve"> </w:t>
      </w:r>
      <w:r w:rsidRPr="006E599E">
        <w:rPr>
          <w:rFonts w:cs="Arial"/>
          <w:lang w:val="cs-CZ"/>
        </w:rPr>
        <w:t>Kromě případů, kdy nesrovnalost spadá pod jiný typ porušení.</w:t>
      </w:r>
      <w:r w:rsidRPr="006E599E">
        <w:rPr>
          <w:rFonts w:cs="Arial"/>
        </w:rPr>
        <w:t xml:space="preserve"> </w:t>
      </w:r>
    </w:p>
  </w:footnote>
  <w:footnote w:id="4">
    <w:p w14:paraId="3F77BD74" w14:textId="77777777" w:rsidR="006E599E" w:rsidRPr="006E599E" w:rsidRDefault="006E599E" w:rsidP="006E599E">
      <w:pPr>
        <w:pStyle w:val="Textpoznpodarou"/>
        <w:rPr>
          <w:rFonts w:cs="Arial"/>
        </w:rPr>
      </w:pPr>
      <w:r w:rsidRPr="006E599E">
        <w:rPr>
          <w:rStyle w:val="Znakapoznpodarou"/>
          <w:rFonts w:cs="Arial"/>
        </w:rPr>
        <w:footnoteRef/>
      </w:r>
      <w:r w:rsidRPr="006E599E">
        <w:rPr>
          <w:rFonts w:cs="Arial"/>
        </w:rPr>
        <w:t xml:space="preserve"> </w:t>
      </w:r>
      <w:r w:rsidRPr="006E599E">
        <w:rPr>
          <w:rFonts w:cs="Arial"/>
          <w:lang w:val="cs-CZ"/>
        </w:rPr>
        <w:t>Střet zájmů může nastat již ve fázi přípravy projektu, pokud měla příprava projektu vliv na zadávací dokumentaci/zadávací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1F9A8C" w14:textId="00A15890" w:rsidR="004C3244" w:rsidRDefault="004C3244">
    <w:pPr>
      <w:pStyle w:val="Zhlav"/>
    </w:pPr>
    <w:r>
      <w:rPr>
        <w:noProof/>
      </w:rPr>
      <w:drawing>
        <wp:inline distT="0" distB="0" distL="0" distR="0" wp14:anchorId="48CF3B84" wp14:editId="565B317E">
          <wp:extent cx="5760720" cy="694690"/>
          <wp:effectExtent l="0" t="0" r="0" b="0"/>
          <wp:docPr id="1" name="Obrázek 1"/>
          <wp:cNvGraphicFramePr/>
          <a:graphic xmlns:a="http://schemas.openxmlformats.org/drawingml/2006/main">
            <a:graphicData uri="http://schemas.openxmlformats.org/drawingml/2006/picture">
              <pic:pic xmlns:pic="http://schemas.openxmlformats.org/drawingml/2006/picture">
                <pic:nvPicPr>
                  <pic:cNvPr id="8" name="Obrázek 8"/>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50902"/>
    <w:multiLevelType w:val="hybridMultilevel"/>
    <w:tmpl w:val="DC5E7D94"/>
    <w:lvl w:ilvl="0" w:tplc="E53CB4C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D92BD4"/>
    <w:multiLevelType w:val="hybridMultilevel"/>
    <w:tmpl w:val="5510C3C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 w15:restartNumberingAfterBreak="0">
    <w:nsid w:val="1D7E311F"/>
    <w:multiLevelType w:val="multilevel"/>
    <w:tmpl w:val="71EA867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1FEA1EB2"/>
    <w:multiLevelType w:val="hybridMultilevel"/>
    <w:tmpl w:val="B4629E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736ACE"/>
    <w:multiLevelType w:val="hybridMultilevel"/>
    <w:tmpl w:val="E3DE3C20"/>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5" w15:restartNumberingAfterBreak="0">
    <w:nsid w:val="26AB308D"/>
    <w:multiLevelType w:val="hybridMultilevel"/>
    <w:tmpl w:val="A976B60A"/>
    <w:lvl w:ilvl="0" w:tplc="4A82AFEC">
      <w:start w:val="1"/>
      <w:numFmt w:val="bullet"/>
      <w:lvlText w:val=""/>
      <w:lvlJc w:val="left"/>
      <w:pPr>
        <w:ind w:left="720" w:hanging="360"/>
      </w:pPr>
      <w:rPr>
        <w:rFonts w:ascii="Symbol" w:hAnsi="Symbol" w:hint="default"/>
      </w:rPr>
    </w:lvl>
    <w:lvl w:ilvl="1" w:tplc="6CDCA512">
      <w:start w:val="1"/>
      <w:numFmt w:val="bullet"/>
      <w:lvlText w:val="o"/>
      <w:lvlJc w:val="left"/>
      <w:pPr>
        <w:ind w:left="1440" w:hanging="360"/>
      </w:pPr>
      <w:rPr>
        <w:rFonts w:ascii="Courier New" w:hAnsi="Courier New" w:hint="default"/>
      </w:rPr>
    </w:lvl>
    <w:lvl w:ilvl="2" w:tplc="34D09B24">
      <w:start w:val="1"/>
      <w:numFmt w:val="bullet"/>
      <w:lvlText w:val=""/>
      <w:lvlJc w:val="left"/>
      <w:pPr>
        <w:ind w:left="2160" w:hanging="360"/>
      </w:pPr>
      <w:rPr>
        <w:rFonts w:ascii="Wingdings" w:hAnsi="Wingdings" w:hint="default"/>
      </w:rPr>
    </w:lvl>
    <w:lvl w:ilvl="3" w:tplc="3C9EFDA2">
      <w:start w:val="1"/>
      <w:numFmt w:val="bullet"/>
      <w:lvlText w:val=""/>
      <w:lvlJc w:val="left"/>
      <w:pPr>
        <w:ind w:left="2880" w:hanging="360"/>
      </w:pPr>
      <w:rPr>
        <w:rFonts w:ascii="Symbol" w:hAnsi="Symbol" w:hint="default"/>
      </w:rPr>
    </w:lvl>
    <w:lvl w:ilvl="4" w:tplc="E4BA4640">
      <w:start w:val="1"/>
      <w:numFmt w:val="bullet"/>
      <w:lvlText w:val="o"/>
      <w:lvlJc w:val="left"/>
      <w:pPr>
        <w:ind w:left="3600" w:hanging="360"/>
      </w:pPr>
      <w:rPr>
        <w:rFonts w:ascii="Courier New" w:hAnsi="Courier New" w:hint="default"/>
      </w:rPr>
    </w:lvl>
    <w:lvl w:ilvl="5" w:tplc="8C3ECF9C">
      <w:start w:val="1"/>
      <w:numFmt w:val="bullet"/>
      <w:lvlText w:val=""/>
      <w:lvlJc w:val="left"/>
      <w:pPr>
        <w:ind w:left="4320" w:hanging="360"/>
      </w:pPr>
      <w:rPr>
        <w:rFonts w:ascii="Wingdings" w:hAnsi="Wingdings" w:hint="default"/>
      </w:rPr>
    </w:lvl>
    <w:lvl w:ilvl="6" w:tplc="2F16E28C">
      <w:start w:val="1"/>
      <w:numFmt w:val="bullet"/>
      <w:lvlText w:val=""/>
      <w:lvlJc w:val="left"/>
      <w:pPr>
        <w:ind w:left="5040" w:hanging="360"/>
      </w:pPr>
      <w:rPr>
        <w:rFonts w:ascii="Symbol" w:hAnsi="Symbol" w:hint="default"/>
      </w:rPr>
    </w:lvl>
    <w:lvl w:ilvl="7" w:tplc="A4327EF4">
      <w:start w:val="1"/>
      <w:numFmt w:val="bullet"/>
      <w:lvlText w:val="o"/>
      <w:lvlJc w:val="left"/>
      <w:pPr>
        <w:ind w:left="5760" w:hanging="360"/>
      </w:pPr>
      <w:rPr>
        <w:rFonts w:ascii="Courier New" w:hAnsi="Courier New" w:hint="default"/>
      </w:rPr>
    </w:lvl>
    <w:lvl w:ilvl="8" w:tplc="CB367F0C">
      <w:start w:val="1"/>
      <w:numFmt w:val="bullet"/>
      <w:lvlText w:val=""/>
      <w:lvlJc w:val="left"/>
      <w:pPr>
        <w:ind w:left="6480" w:hanging="360"/>
      </w:pPr>
      <w:rPr>
        <w:rFonts w:ascii="Wingdings" w:hAnsi="Wingdings" w:hint="default"/>
      </w:rPr>
    </w:lvl>
  </w:abstractNum>
  <w:abstractNum w:abstractNumId="6" w15:restartNumberingAfterBreak="0">
    <w:nsid w:val="2D2B780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EA16841"/>
    <w:multiLevelType w:val="hybridMultilevel"/>
    <w:tmpl w:val="808C2232"/>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FA5673D"/>
    <w:multiLevelType w:val="hybridMultilevel"/>
    <w:tmpl w:val="C1DA839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9" w15:restartNumberingAfterBreak="0">
    <w:nsid w:val="424352EB"/>
    <w:multiLevelType w:val="hybridMultilevel"/>
    <w:tmpl w:val="973C52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462F2DEB"/>
    <w:multiLevelType w:val="hybridMultilevel"/>
    <w:tmpl w:val="8DAA4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3164BA6"/>
    <w:multiLevelType w:val="hybridMultilevel"/>
    <w:tmpl w:val="129AF0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3301C12"/>
    <w:multiLevelType w:val="hybridMultilevel"/>
    <w:tmpl w:val="4B6025BA"/>
    <w:lvl w:ilvl="0" w:tplc="AB50ACEE">
      <w:start w:val="1"/>
      <w:numFmt w:val="bullet"/>
      <w:lvlText w:val=""/>
      <w:lvlJc w:val="left"/>
      <w:pPr>
        <w:ind w:left="720" w:hanging="360"/>
      </w:pPr>
      <w:rPr>
        <w:rFonts w:ascii="Symbol" w:hAnsi="Symbol" w:hint="default"/>
      </w:rPr>
    </w:lvl>
    <w:lvl w:ilvl="1" w:tplc="983EFE2E">
      <w:start w:val="1"/>
      <w:numFmt w:val="bullet"/>
      <w:lvlText w:val="o"/>
      <w:lvlJc w:val="left"/>
      <w:pPr>
        <w:ind w:left="1440" w:hanging="360"/>
      </w:pPr>
      <w:rPr>
        <w:rFonts w:ascii="Courier New" w:hAnsi="Courier New" w:hint="default"/>
      </w:rPr>
    </w:lvl>
    <w:lvl w:ilvl="2" w:tplc="B0F8B1E0">
      <w:start w:val="1"/>
      <w:numFmt w:val="bullet"/>
      <w:lvlText w:val=""/>
      <w:lvlJc w:val="left"/>
      <w:pPr>
        <w:ind w:left="2160" w:hanging="360"/>
      </w:pPr>
      <w:rPr>
        <w:rFonts w:ascii="Wingdings" w:hAnsi="Wingdings" w:hint="default"/>
      </w:rPr>
    </w:lvl>
    <w:lvl w:ilvl="3" w:tplc="7A708678">
      <w:start w:val="1"/>
      <w:numFmt w:val="bullet"/>
      <w:lvlText w:val=""/>
      <w:lvlJc w:val="left"/>
      <w:pPr>
        <w:ind w:left="2880" w:hanging="360"/>
      </w:pPr>
      <w:rPr>
        <w:rFonts w:ascii="Symbol" w:hAnsi="Symbol" w:hint="default"/>
      </w:rPr>
    </w:lvl>
    <w:lvl w:ilvl="4" w:tplc="0B12139E">
      <w:start w:val="1"/>
      <w:numFmt w:val="bullet"/>
      <w:lvlText w:val="o"/>
      <w:lvlJc w:val="left"/>
      <w:pPr>
        <w:ind w:left="3600" w:hanging="360"/>
      </w:pPr>
      <w:rPr>
        <w:rFonts w:ascii="Courier New" w:hAnsi="Courier New" w:hint="default"/>
      </w:rPr>
    </w:lvl>
    <w:lvl w:ilvl="5" w:tplc="05C49852">
      <w:start w:val="1"/>
      <w:numFmt w:val="bullet"/>
      <w:lvlText w:val=""/>
      <w:lvlJc w:val="left"/>
      <w:pPr>
        <w:ind w:left="4320" w:hanging="360"/>
      </w:pPr>
      <w:rPr>
        <w:rFonts w:ascii="Wingdings" w:hAnsi="Wingdings" w:hint="default"/>
      </w:rPr>
    </w:lvl>
    <w:lvl w:ilvl="6" w:tplc="EE86256A">
      <w:start w:val="1"/>
      <w:numFmt w:val="bullet"/>
      <w:lvlText w:val=""/>
      <w:lvlJc w:val="left"/>
      <w:pPr>
        <w:ind w:left="5040" w:hanging="360"/>
      </w:pPr>
      <w:rPr>
        <w:rFonts w:ascii="Symbol" w:hAnsi="Symbol" w:hint="default"/>
      </w:rPr>
    </w:lvl>
    <w:lvl w:ilvl="7" w:tplc="D0D89E90">
      <w:start w:val="1"/>
      <w:numFmt w:val="bullet"/>
      <w:lvlText w:val="o"/>
      <w:lvlJc w:val="left"/>
      <w:pPr>
        <w:ind w:left="5760" w:hanging="360"/>
      </w:pPr>
      <w:rPr>
        <w:rFonts w:ascii="Courier New" w:hAnsi="Courier New" w:hint="default"/>
      </w:rPr>
    </w:lvl>
    <w:lvl w:ilvl="8" w:tplc="8FCAA24C">
      <w:start w:val="1"/>
      <w:numFmt w:val="bullet"/>
      <w:lvlText w:val=""/>
      <w:lvlJc w:val="left"/>
      <w:pPr>
        <w:ind w:left="6480" w:hanging="360"/>
      </w:pPr>
      <w:rPr>
        <w:rFonts w:ascii="Wingdings" w:hAnsi="Wingdings" w:hint="default"/>
      </w:rPr>
    </w:lvl>
  </w:abstractNum>
  <w:abstractNum w:abstractNumId="13"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2633A9A"/>
    <w:multiLevelType w:val="hybridMultilevel"/>
    <w:tmpl w:val="CDD8907C"/>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81955CB"/>
    <w:multiLevelType w:val="multilevel"/>
    <w:tmpl w:val="1B9C7454"/>
    <w:lvl w:ilvl="0">
      <w:start w:val="1"/>
      <w:numFmt w:val="decimal"/>
      <w:lvlText w:val="%1"/>
      <w:lvlJc w:val="left"/>
      <w:pPr>
        <w:ind w:left="567" w:hanging="283"/>
      </w:pPr>
      <w:rPr>
        <w:rFonts w:hint="default"/>
      </w:rPr>
    </w:lvl>
    <w:lvl w:ilvl="1">
      <w:start w:val="1"/>
      <w:numFmt w:val="decimal"/>
      <w:lvlText w:val="%1.%2"/>
      <w:lvlJc w:val="left"/>
      <w:pPr>
        <w:ind w:left="340" w:hanging="283"/>
      </w:pPr>
      <w:rPr>
        <w:rFonts w:hint="default"/>
        <w:sz w:val="28"/>
        <w:szCs w:val="28"/>
      </w:rPr>
    </w:lvl>
    <w:lvl w:ilvl="2">
      <w:start w:val="1"/>
      <w:numFmt w:val="decimal"/>
      <w:lvlText w:val="%1.%2.%3"/>
      <w:lvlJc w:val="left"/>
      <w:pPr>
        <w:ind w:left="113" w:hanging="283"/>
      </w:pPr>
      <w:rPr>
        <w:rFonts w:hint="default"/>
      </w:rPr>
    </w:lvl>
    <w:lvl w:ilvl="3">
      <w:start w:val="1"/>
      <w:numFmt w:val="decimal"/>
      <w:lvlText w:val="%1.%2.%3.%4"/>
      <w:lvlJc w:val="left"/>
      <w:pPr>
        <w:ind w:left="-114" w:hanging="283"/>
      </w:pPr>
      <w:rPr>
        <w:rFonts w:hint="default"/>
      </w:rPr>
    </w:lvl>
    <w:lvl w:ilvl="4">
      <w:start w:val="1"/>
      <w:numFmt w:val="lowerLetter"/>
      <w:lvlText w:val="(%5)"/>
      <w:lvlJc w:val="left"/>
      <w:pPr>
        <w:ind w:left="-341" w:hanging="283"/>
      </w:pPr>
      <w:rPr>
        <w:rFonts w:hint="default"/>
      </w:rPr>
    </w:lvl>
    <w:lvl w:ilvl="5">
      <w:start w:val="1"/>
      <w:numFmt w:val="lowerRoman"/>
      <w:lvlText w:val="(%6)"/>
      <w:lvlJc w:val="left"/>
      <w:pPr>
        <w:ind w:left="-568" w:hanging="283"/>
      </w:pPr>
      <w:rPr>
        <w:rFonts w:hint="default"/>
      </w:rPr>
    </w:lvl>
    <w:lvl w:ilvl="6">
      <w:start w:val="1"/>
      <w:numFmt w:val="decimal"/>
      <w:lvlText w:val="%7."/>
      <w:lvlJc w:val="left"/>
      <w:pPr>
        <w:ind w:left="-795" w:hanging="283"/>
      </w:pPr>
      <w:rPr>
        <w:rFonts w:hint="default"/>
      </w:rPr>
    </w:lvl>
    <w:lvl w:ilvl="7">
      <w:start w:val="1"/>
      <w:numFmt w:val="lowerLetter"/>
      <w:lvlText w:val="%8."/>
      <w:lvlJc w:val="left"/>
      <w:pPr>
        <w:ind w:left="-1022" w:hanging="283"/>
      </w:pPr>
      <w:rPr>
        <w:rFonts w:hint="default"/>
      </w:rPr>
    </w:lvl>
    <w:lvl w:ilvl="8">
      <w:start w:val="1"/>
      <w:numFmt w:val="lowerRoman"/>
      <w:lvlText w:val="%9."/>
      <w:lvlJc w:val="left"/>
      <w:pPr>
        <w:ind w:left="-1249" w:hanging="283"/>
      </w:pPr>
      <w:rPr>
        <w:rFonts w:hint="default"/>
      </w:rPr>
    </w:lvl>
  </w:abstractNum>
  <w:abstractNum w:abstractNumId="16" w15:restartNumberingAfterBreak="0">
    <w:nsid w:val="753C62FE"/>
    <w:multiLevelType w:val="hybridMultilevel"/>
    <w:tmpl w:val="AB6CDE42"/>
    <w:lvl w:ilvl="0" w:tplc="1C728BF0">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2"/>
  </w:num>
  <w:num w:numId="3">
    <w:abstractNumId w:val="9"/>
  </w:num>
  <w:num w:numId="4">
    <w:abstractNumId w:val="8"/>
  </w:num>
  <w:num w:numId="5">
    <w:abstractNumId w:val="4"/>
  </w:num>
  <w:num w:numId="6">
    <w:abstractNumId w:val="1"/>
  </w:num>
  <w:num w:numId="7">
    <w:abstractNumId w:val="11"/>
  </w:num>
  <w:num w:numId="8">
    <w:abstractNumId w:val="5"/>
  </w:num>
  <w:num w:numId="9">
    <w:abstractNumId w:val="16"/>
  </w:num>
  <w:num w:numId="10">
    <w:abstractNumId w:val="0"/>
  </w:num>
  <w:num w:numId="11">
    <w:abstractNumId w:val="14"/>
  </w:num>
  <w:num w:numId="12">
    <w:abstractNumId w:val="7"/>
  </w:num>
  <w:num w:numId="13">
    <w:abstractNumId w:val="12"/>
  </w:num>
  <w:num w:numId="14">
    <w:abstractNumId w:val="3"/>
  </w:num>
  <w:num w:numId="15">
    <w:abstractNumId w:val="13"/>
  </w:num>
  <w:num w:numId="16">
    <w:abstractNumId w:val="6"/>
  </w:num>
  <w:num w:numId="17">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VerticalSpacing w:val="156"/>
  <w:noPunctuationKerning/>
  <w:characterSpacingControl w:val="doNotCompress"/>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06797"/>
    <w:rsid w:val="000174CE"/>
    <w:rsid w:val="00046676"/>
    <w:rsid w:val="000656C1"/>
    <w:rsid w:val="00066C41"/>
    <w:rsid w:val="00086C35"/>
    <w:rsid w:val="000A0DC4"/>
    <w:rsid w:val="000A52EE"/>
    <w:rsid w:val="000B4F3D"/>
    <w:rsid w:val="000B646B"/>
    <w:rsid w:val="000B6E14"/>
    <w:rsid w:val="000D1F6D"/>
    <w:rsid w:val="000E07AF"/>
    <w:rsid w:val="001037F4"/>
    <w:rsid w:val="00106A15"/>
    <w:rsid w:val="00127627"/>
    <w:rsid w:val="001348FA"/>
    <w:rsid w:val="00134A88"/>
    <w:rsid w:val="00137F80"/>
    <w:rsid w:val="00172A27"/>
    <w:rsid w:val="00195CF8"/>
    <w:rsid w:val="001B13A0"/>
    <w:rsid w:val="001B358D"/>
    <w:rsid w:val="001C7C1E"/>
    <w:rsid w:val="001D12B3"/>
    <w:rsid w:val="001E1278"/>
    <w:rsid w:val="001E4F56"/>
    <w:rsid w:val="00211642"/>
    <w:rsid w:val="00215E6E"/>
    <w:rsid w:val="00220C48"/>
    <w:rsid w:val="002211BD"/>
    <w:rsid w:val="002454E3"/>
    <w:rsid w:val="00253E93"/>
    <w:rsid w:val="00260516"/>
    <w:rsid w:val="00264743"/>
    <w:rsid w:val="00270072"/>
    <w:rsid w:val="00295EB2"/>
    <w:rsid w:val="002A3EDF"/>
    <w:rsid w:val="002C4824"/>
    <w:rsid w:val="00302528"/>
    <w:rsid w:val="0030344E"/>
    <w:rsid w:val="003331D3"/>
    <w:rsid w:val="003359D8"/>
    <w:rsid w:val="003462F9"/>
    <w:rsid w:val="00356A13"/>
    <w:rsid w:val="003639DF"/>
    <w:rsid w:val="003950DF"/>
    <w:rsid w:val="003C1AAD"/>
    <w:rsid w:val="003D3451"/>
    <w:rsid w:val="003F42A1"/>
    <w:rsid w:val="0040092F"/>
    <w:rsid w:val="0040422F"/>
    <w:rsid w:val="00446097"/>
    <w:rsid w:val="004505C3"/>
    <w:rsid w:val="0045363B"/>
    <w:rsid w:val="00477E53"/>
    <w:rsid w:val="00493BB8"/>
    <w:rsid w:val="00496E8A"/>
    <w:rsid w:val="004A2881"/>
    <w:rsid w:val="004A7C4E"/>
    <w:rsid w:val="004C3244"/>
    <w:rsid w:val="004D67F9"/>
    <w:rsid w:val="004D7D8F"/>
    <w:rsid w:val="004F152F"/>
    <w:rsid w:val="00507179"/>
    <w:rsid w:val="0052258D"/>
    <w:rsid w:val="00526EFD"/>
    <w:rsid w:val="00535FF3"/>
    <w:rsid w:val="005449F7"/>
    <w:rsid w:val="00545FE2"/>
    <w:rsid w:val="005525A3"/>
    <w:rsid w:val="0055265C"/>
    <w:rsid w:val="0055445C"/>
    <w:rsid w:val="00586B4A"/>
    <w:rsid w:val="00590F63"/>
    <w:rsid w:val="005939CA"/>
    <w:rsid w:val="005C1DE1"/>
    <w:rsid w:val="005D3190"/>
    <w:rsid w:val="00615A8A"/>
    <w:rsid w:val="00634BD8"/>
    <w:rsid w:val="006576B8"/>
    <w:rsid w:val="00663704"/>
    <w:rsid w:val="0068669F"/>
    <w:rsid w:val="00691333"/>
    <w:rsid w:val="006A07B0"/>
    <w:rsid w:val="006B25B0"/>
    <w:rsid w:val="006B5F32"/>
    <w:rsid w:val="006E599E"/>
    <w:rsid w:val="007123D7"/>
    <w:rsid w:val="0071449C"/>
    <w:rsid w:val="00742208"/>
    <w:rsid w:val="00747466"/>
    <w:rsid w:val="00755525"/>
    <w:rsid w:val="00782DB7"/>
    <w:rsid w:val="007856B5"/>
    <w:rsid w:val="007A7CA0"/>
    <w:rsid w:val="007B3869"/>
    <w:rsid w:val="007B3F0A"/>
    <w:rsid w:val="007C5C51"/>
    <w:rsid w:val="007D51DF"/>
    <w:rsid w:val="00800DF2"/>
    <w:rsid w:val="00801EFF"/>
    <w:rsid w:val="00840259"/>
    <w:rsid w:val="008864F4"/>
    <w:rsid w:val="008A12FE"/>
    <w:rsid w:val="008B2E77"/>
    <w:rsid w:val="008C6070"/>
    <w:rsid w:val="008D7BA6"/>
    <w:rsid w:val="008E16DB"/>
    <w:rsid w:val="00902234"/>
    <w:rsid w:val="00907EF0"/>
    <w:rsid w:val="009138D8"/>
    <w:rsid w:val="00952898"/>
    <w:rsid w:val="00974847"/>
    <w:rsid w:val="00976866"/>
    <w:rsid w:val="00983AED"/>
    <w:rsid w:val="00996998"/>
    <w:rsid w:val="009A48D4"/>
    <w:rsid w:val="009B53AB"/>
    <w:rsid w:val="009B62F4"/>
    <w:rsid w:val="009E4E54"/>
    <w:rsid w:val="009E602C"/>
    <w:rsid w:val="009E6E22"/>
    <w:rsid w:val="009E72C5"/>
    <w:rsid w:val="009F310B"/>
    <w:rsid w:val="00A27C39"/>
    <w:rsid w:val="00A31D54"/>
    <w:rsid w:val="00A346DF"/>
    <w:rsid w:val="00A35307"/>
    <w:rsid w:val="00A366A0"/>
    <w:rsid w:val="00A442B3"/>
    <w:rsid w:val="00A45573"/>
    <w:rsid w:val="00A4640C"/>
    <w:rsid w:val="00A50621"/>
    <w:rsid w:val="00A62814"/>
    <w:rsid w:val="00A62E1F"/>
    <w:rsid w:val="00A730DB"/>
    <w:rsid w:val="00A8231C"/>
    <w:rsid w:val="00A831F3"/>
    <w:rsid w:val="00A91B09"/>
    <w:rsid w:val="00A93727"/>
    <w:rsid w:val="00AF5783"/>
    <w:rsid w:val="00B0478F"/>
    <w:rsid w:val="00B217E1"/>
    <w:rsid w:val="00B4169A"/>
    <w:rsid w:val="00B54C21"/>
    <w:rsid w:val="00B602EC"/>
    <w:rsid w:val="00B66475"/>
    <w:rsid w:val="00B748DE"/>
    <w:rsid w:val="00B75A41"/>
    <w:rsid w:val="00B80CF9"/>
    <w:rsid w:val="00BD515E"/>
    <w:rsid w:val="00BE1ECE"/>
    <w:rsid w:val="00BE5ECA"/>
    <w:rsid w:val="00BF5D85"/>
    <w:rsid w:val="00C03BE1"/>
    <w:rsid w:val="00C20062"/>
    <w:rsid w:val="00C264AA"/>
    <w:rsid w:val="00C662C8"/>
    <w:rsid w:val="00C761D2"/>
    <w:rsid w:val="00C96A37"/>
    <w:rsid w:val="00CA3912"/>
    <w:rsid w:val="00CB2516"/>
    <w:rsid w:val="00CB5CEA"/>
    <w:rsid w:val="00CC5561"/>
    <w:rsid w:val="00CC645A"/>
    <w:rsid w:val="00D10040"/>
    <w:rsid w:val="00D20D33"/>
    <w:rsid w:val="00D27604"/>
    <w:rsid w:val="00D37096"/>
    <w:rsid w:val="00D46091"/>
    <w:rsid w:val="00D7219B"/>
    <w:rsid w:val="00DA2C46"/>
    <w:rsid w:val="00DA6593"/>
    <w:rsid w:val="00DA7D3D"/>
    <w:rsid w:val="00DB0F8D"/>
    <w:rsid w:val="00DD3318"/>
    <w:rsid w:val="00DE0716"/>
    <w:rsid w:val="00E5243F"/>
    <w:rsid w:val="00E54CD6"/>
    <w:rsid w:val="00E561FA"/>
    <w:rsid w:val="00E75FF1"/>
    <w:rsid w:val="00E90880"/>
    <w:rsid w:val="00EA2784"/>
    <w:rsid w:val="00EA3327"/>
    <w:rsid w:val="00EB0EEC"/>
    <w:rsid w:val="00EB2759"/>
    <w:rsid w:val="00EC3DC2"/>
    <w:rsid w:val="00EF1E8F"/>
    <w:rsid w:val="00F07BA9"/>
    <w:rsid w:val="00F2059A"/>
    <w:rsid w:val="00F31ED0"/>
    <w:rsid w:val="00F327E9"/>
    <w:rsid w:val="00F4302C"/>
    <w:rsid w:val="00F6012E"/>
    <w:rsid w:val="00F6771F"/>
    <w:rsid w:val="00F81693"/>
    <w:rsid w:val="00F8659E"/>
    <w:rsid w:val="00F90288"/>
    <w:rsid w:val="00FA0B23"/>
    <w:rsid w:val="00FE0F7F"/>
    <w:rsid w:val="013437C6"/>
    <w:rsid w:val="038D1EBB"/>
    <w:rsid w:val="05FB2A4B"/>
    <w:rsid w:val="077C168C"/>
    <w:rsid w:val="09970040"/>
    <w:rsid w:val="09BB4383"/>
    <w:rsid w:val="0A6D694B"/>
    <w:rsid w:val="0BE97A46"/>
    <w:rsid w:val="0E193657"/>
    <w:rsid w:val="1025681B"/>
    <w:rsid w:val="11CB04A6"/>
    <w:rsid w:val="13BF7724"/>
    <w:rsid w:val="142D74F2"/>
    <w:rsid w:val="14ED4A25"/>
    <w:rsid w:val="168C773D"/>
    <w:rsid w:val="17CA444C"/>
    <w:rsid w:val="18484248"/>
    <w:rsid w:val="1854194C"/>
    <w:rsid w:val="196C1E45"/>
    <w:rsid w:val="19813ACC"/>
    <w:rsid w:val="1B436537"/>
    <w:rsid w:val="1B454EE0"/>
    <w:rsid w:val="1D916510"/>
    <w:rsid w:val="1DC942E0"/>
    <w:rsid w:val="1F1D3307"/>
    <w:rsid w:val="20A35110"/>
    <w:rsid w:val="2118168A"/>
    <w:rsid w:val="23C734D0"/>
    <w:rsid w:val="288E1837"/>
    <w:rsid w:val="299003BC"/>
    <w:rsid w:val="2B542654"/>
    <w:rsid w:val="2D304369"/>
    <w:rsid w:val="2FB23146"/>
    <w:rsid w:val="34901C60"/>
    <w:rsid w:val="35847500"/>
    <w:rsid w:val="36002C22"/>
    <w:rsid w:val="37BF454E"/>
    <w:rsid w:val="39860E2F"/>
    <w:rsid w:val="39C6015C"/>
    <w:rsid w:val="3D235B18"/>
    <w:rsid w:val="3E554242"/>
    <w:rsid w:val="3EBE0A31"/>
    <w:rsid w:val="3EFA168A"/>
    <w:rsid w:val="420A6E18"/>
    <w:rsid w:val="422506EB"/>
    <w:rsid w:val="42D56BEC"/>
    <w:rsid w:val="48AD6922"/>
    <w:rsid w:val="48C32F96"/>
    <w:rsid w:val="4B893134"/>
    <w:rsid w:val="4CE73BA0"/>
    <w:rsid w:val="4DB807F8"/>
    <w:rsid w:val="505E632C"/>
    <w:rsid w:val="50ED31EF"/>
    <w:rsid w:val="53632184"/>
    <w:rsid w:val="53E154F2"/>
    <w:rsid w:val="545F0E5E"/>
    <w:rsid w:val="54B96FA7"/>
    <w:rsid w:val="5672345D"/>
    <w:rsid w:val="56ED4FEB"/>
    <w:rsid w:val="576E5709"/>
    <w:rsid w:val="57E15764"/>
    <w:rsid w:val="5A7D70B5"/>
    <w:rsid w:val="5C3B7CA0"/>
    <w:rsid w:val="5C6D645C"/>
    <w:rsid w:val="5F2933F4"/>
    <w:rsid w:val="60431AA6"/>
    <w:rsid w:val="60577716"/>
    <w:rsid w:val="60B40B04"/>
    <w:rsid w:val="615D6AB9"/>
    <w:rsid w:val="625365C7"/>
    <w:rsid w:val="63BA04FD"/>
    <w:rsid w:val="64494B93"/>
    <w:rsid w:val="647128F2"/>
    <w:rsid w:val="649F0E2D"/>
    <w:rsid w:val="66B472FB"/>
    <w:rsid w:val="685C77D0"/>
    <w:rsid w:val="6AA15BBA"/>
    <w:rsid w:val="6AAE0423"/>
    <w:rsid w:val="6CDE54AA"/>
    <w:rsid w:val="6CF456AF"/>
    <w:rsid w:val="6D477018"/>
    <w:rsid w:val="6DEF1653"/>
    <w:rsid w:val="6E553053"/>
    <w:rsid w:val="722A50EF"/>
    <w:rsid w:val="737D6FB5"/>
    <w:rsid w:val="750452E5"/>
    <w:rsid w:val="757160F9"/>
    <w:rsid w:val="77A14075"/>
    <w:rsid w:val="78BF2CE3"/>
    <w:rsid w:val="79712BF2"/>
    <w:rsid w:val="7B8C1DF6"/>
    <w:rsid w:val="7C1833A9"/>
    <w:rsid w:val="7EA567E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65E473"/>
  <w15:docId w15:val="{626EC47F-9405-4D2A-A3CF-0868049A2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37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qFormat="1"/>
    <w:lsdException w:name="header" w:qFormat="1"/>
    <w:lsdException w:name="footer" w:uiPriority="99" w:qFormat="1"/>
    <w:lsdException w:name="caption" w:semiHidden="1" w:unhideWhenUsed="1" w:qFormat="1"/>
    <w:lsdException w:name="footnote reference" w:uiPriority="99"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uiPriority="99"/>
    <w:lsdException w:name="HTML Definition" w:semiHidden="1" w:unhideWhenUsed="1"/>
    <w:lsdException w:name="HTML Variable" w:semiHidden="1" w:unhideWhenUsed="1"/>
    <w:lsdException w:name="Normal Table" w:uiPriority="99"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qFormat="1"/>
    <w:lsdException w:name="Table Grid" w:uiPriority="59" w:qFormat="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ln">
    <w:name w:val="Normal"/>
    <w:qFormat/>
    <w:rsid w:val="002454E3"/>
    <w:pPr>
      <w:spacing w:before="120" w:after="120" w:line="271" w:lineRule="auto"/>
      <w:jc w:val="both"/>
    </w:pPr>
    <w:rPr>
      <w:rFonts w:ascii="Arial" w:eastAsiaTheme="minorEastAsia" w:hAnsi="Arial" w:cstheme="minorBidi"/>
      <w:sz w:val="22"/>
      <w:lang w:val="en-US" w:eastAsia="zh-CN"/>
    </w:rPr>
  </w:style>
  <w:style w:type="paragraph" w:styleId="Nadpis1">
    <w:name w:val="heading 1"/>
    <w:basedOn w:val="Normln"/>
    <w:next w:val="Normln"/>
    <w:qFormat/>
    <w:rsid w:val="002454E3"/>
    <w:pPr>
      <w:keepNext/>
      <w:keepLines/>
      <w:spacing w:before="240"/>
      <w:outlineLvl w:val="0"/>
    </w:pPr>
    <w:rPr>
      <w:b/>
      <w:bCs/>
      <w:color w:val="2F5496" w:themeColor="accent5" w:themeShade="BF"/>
      <w:kern w:val="44"/>
      <w:sz w:val="36"/>
      <w:szCs w:val="44"/>
    </w:rPr>
  </w:style>
  <w:style w:type="paragraph" w:styleId="Nadpis2">
    <w:name w:val="heading 2"/>
    <w:basedOn w:val="Normln"/>
    <w:next w:val="Normln"/>
    <w:unhideWhenUsed/>
    <w:qFormat/>
    <w:rsid w:val="002454E3"/>
    <w:pPr>
      <w:keepNext/>
      <w:keepLines/>
      <w:spacing w:before="360" w:after="240"/>
      <w:outlineLvl w:val="1"/>
    </w:pPr>
    <w:rPr>
      <w:b/>
      <w:bCs/>
      <w:sz w:val="28"/>
      <w:szCs w:val="32"/>
    </w:rPr>
  </w:style>
  <w:style w:type="paragraph" w:styleId="Nadpis3">
    <w:name w:val="heading 3"/>
    <w:basedOn w:val="Normln"/>
    <w:next w:val="Normln"/>
    <w:unhideWhenUsed/>
    <w:qFormat/>
    <w:rsid w:val="002454E3"/>
    <w:pPr>
      <w:keepNext/>
      <w:keepLines/>
      <w:spacing w:before="360" w:after="240"/>
      <w:outlineLvl w:val="2"/>
    </w:pPr>
    <w:rPr>
      <w:b/>
      <w:bCs/>
      <w:sz w:val="24"/>
      <w:szCs w:val="32"/>
    </w:rPr>
  </w:style>
  <w:style w:type="paragraph" w:styleId="Nadpis4">
    <w:name w:val="heading 4"/>
    <w:basedOn w:val="Normln"/>
    <w:next w:val="Normln"/>
    <w:link w:val="Nadpis4Char"/>
    <w:unhideWhenUsed/>
    <w:qFormat/>
    <w:rsid w:val="008D7BA6"/>
    <w:pPr>
      <w:keepNext/>
      <w:keepLines/>
      <w:spacing w:before="240" w:after="240"/>
      <w:outlineLvl w:val="3"/>
    </w:pPr>
    <w:rPr>
      <w:rFonts w:eastAsiaTheme="majorEastAsia" w:cstheme="majorBidi"/>
      <w:b/>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qFormat/>
    <w:rPr>
      <w:rFonts w:ascii="Segoe UI" w:hAnsi="Segoe UI" w:cs="Segoe UI"/>
      <w:sz w:val="18"/>
      <w:szCs w:val="18"/>
    </w:rPr>
  </w:style>
  <w:style w:type="character" w:styleId="Odkaznakoment">
    <w:name w:val="annotation reference"/>
    <w:aliases w:val="Značka poznámky"/>
    <w:basedOn w:val="Standardnpsmoodstavce"/>
    <w:qFormat/>
    <w:rPr>
      <w:sz w:val="16"/>
      <w:szCs w:val="16"/>
    </w:rPr>
  </w:style>
  <w:style w:type="paragraph" w:styleId="Textkomente">
    <w:name w:val="annotation text"/>
    <w:aliases w:val="Text poznámky"/>
    <w:basedOn w:val="Normln"/>
    <w:link w:val="TextkomenteChar"/>
    <w:qFormat/>
  </w:style>
  <w:style w:type="paragraph" w:styleId="Pedmtkomente">
    <w:name w:val="annotation subject"/>
    <w:basedOn w:val="Textkomente"/>
    <w:next w:val="Textkomente"/>
    <w:link w:val="PedmtkomenteChar"/>
    <w:qFormat/>
    <w:rPr>
      <w:b/>
      <w:bCs/>
    </w:rPr>
  </w:style>
  <w:style w:type="paragraph" w:styleId="Zpat">
    <w:name w:val="footer"/>
    <w:basedOn w:val="Normln"/>
    <w:link w:val="ZpatChar"/>
    <w:uiPriority w:val="99"/>
    <w:qFormat/>
    <w:pPr>
      <w:tabs>
        <w:tab w:val="center" w:pos="4153"/>
        <w:tab w:val="right" w:pos="8306"/>
      </w:tabs>
      <w:snapToGrid w:val="0"/>
    </w:pPr>
    <w:rPr>
      <w:sz w:val="18"/>
      <w:szCs w:val="18"/>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qFormat/>
    <w:rPr>
      <w:vertAlign w:val="superscript"/>
    </w:rPr>
  </w:style>
  <w:style w:type="paragraph" w:styleId="Textpoznpodarou">
    <w:name w:val="footnote text"/>
    <w:aliases w:val="Schriftart: 9 pt,Schriftart: 10 pt,Schriftart: 8 pt,pozn. pod čarou,Footnote,Text poznámky pod čiarou 007,Fußnotentextf,Geneva 9,Font: Geneva 9,Boston 10,f,Text pozn. pod čarou Char2,Text pozn. pod čarou Char Char,Footnote text"/>
    <w:basedOn w:val="Normln"/>
    <w:link w:val="TextpoznpodarouChar"/>
    <w:uiPriority w:val="99"/>
    <w:qFormat/>
    <w:rsid w:val="00220C48"/>
    <w:pPr>
      <w:snapToGrid w:val="0"/>
      <w:spacing w:before="0" w:after="0"/>
    </w:pPr>
    <w:rPr>
      <w:sz w:val="18"/>
      <w:szCs w:val="18"/>
    </w:rPr>
  </w:style>
  <w:style w:type="paragraph" w:styleId="Zhlav">
    <w:name w:val="header"/>
    <w:basedOn w:val="Normln"/>
    <w:link w:val="ZhlavChar"/>
    <w:qFormat/>
    <w:pPr>
      <w:tabs>
        <w:tab w:val="center" w:pos="4153"/>
        <w:tab w:val="right" w:pos="8306"/>
      </w:tabs>
      <w:snapToGrid w:val="0"/>
    </w:pPr>
    <w:rPr>
      <w:sz w:val="18"/>
      <w:szCs w:val="18"/>
    </w:rPr>
  </w:style>
  <w:style w:type="character" w:styleId="Hypertextovodkaz">
    <w:name w:val="Hyperlink"/>
    <w:basedOn w:val="Standardnpsmoodstavce"/>
    <w:qFormat/>
    <w:rPr>
      <w:color w:val="0000FF"/>
      <w:u w:val="single"/>
    </w:rPr>
  </w:style>
  <w:style w:type="table" w:styleId="Mkatabulky">
    <w:name w:val="Table Grid"/>
    <w:basedOn w:val="Normlntabulka"/>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nhideWhenUsed/>
    <w:qFormat/>
    <w:pPr>
      <w:widowControl w:val="0"/>
      <w:autoSpaceDE w:val="0"/>
      <w:autoSpaceDN w:val="0"/>
      <w:adjustRightInd w:val="0"/>
    </w:pPr>
    <w:rPr>
      <w:rFonts w:ascii="Calibri" w:eastAsia="Calibri" w:hAnsi="Calibri" w:cstheme="minorBidi"/>
      <w:color w:val="000000"/>
      <w:sz w:val="24"/>
      <w:szCs w:val="24"/>
    </w:rPr>
  </w:style>
  <w:style w:type="character" w:customStyle="1" w:styleId="TextbublinyChar">
    <w:name w:val="Text bubliny Char"/>
    <w:basedOn w:val="Standardnpsmoodstavce"/>
    <w:link w:val="Textbubliny"/>
    <w:qFormat/>
    <w:rPr>
      <w:rFonts w:ascii="Segoe UI" w:hAnsi="Segoe UI" w:cs="Segoe UI"/>
      <w:sz w:val="18"/>
      <w:szCs w:val="18"/>
      <w:lang w:val="en-US" w:eastAsia="zh-CN"/>
    </w:rPr>
  </w:style>
  <w:style w:type="character" w:customStyle="1" w:styleId="TextkomenteChar">
    <w:name w:val="Text komentáře Char"/>
    <w:aliases w:val="Text poznámky Char"/>
    <w:basedOn w:val="Standardnpsmoodstavce"/>
    <w:link w:val="Textkomente"/>
    <w:qFormat/>
    <w:rPr>
      <w:lang w:val="en-US" w:eastAsia="zh-CN"/>
    </w:rPr>
  </w:style>
  <w:style w:type="character" w:customStyle="1" w:styleId="PedmtkomenteChar">
    <w:name w:val="Předmět komentáře Char"/>
    <w:basedOn w:val="TextkomenteChar"/>
    <w:link w:val="Pedmtkomente"/>
    <w:qFormat/>
    <w:rPr>
      <w:b/>
      <w:bCs/>
      <w:lang w:val="en-US" w:eastAsia="zh-CN"/>
    </w:rPr>
  </w:style>
  <w:style w:type="paragraph" w:styleId="Odstavecseseznamem">
    <w:name w:val="List Paragraph"/>
    <w:aliases w:val="Odstavec_muj,Nad,List Paragraph,Odstavec cíl se seznamem,Odstavec se seznamem5,Odrážky,Obrázek,_Odstavec se seznamem,Seznam - odrážky"/>
    <w:basedOn w:val="Normln"/>
    <w:link w:val="OdstavecseseznamemChar"/>
    <w:uiPriority w:val="34"/>
    <w:qFormat/>
    <w:pPr>
      <w:ind w:left="720"/>
      <w:contextualSpacing/>
    </w:pPr>
  </w:style>
  <w:style w:type="character" w:customStyle="1" w:styleId="ZpatChar">
    <w:name w:val="Zápatí Char"/>
    <w:basedOn w:val="Standardnpsmoodstavce"/>
    <w:link w:val="Zpat"/>
    <w:uiPriority w:val="99"/>
    <w:rsid w:val="00270072"/>
    <w:rPr>
      <w:rFonts w:asciiTheme="minorHAnsi" w:eastAsiaTheme="minorEastAsia" w:hAnsiTheme="minorHAnsi" w:cstheme="minorBidi"/>
      <w:sz w:val="18"/>
      <w:szCs w:val="18"/>
      <w:lang w:val="en-US" w:eastAsia="zh-CN"/>
    </w:rPr>
  </w:style>
  <w:style w:type="character" w:customStyle="1" w:styleId="Nevyeenzmnka1">
    <w:name w:val="Nevyřešená zmínka1"/>
    <w:basedOn w:val="Standardnpsmoodstavce"/>
    <w:uiPriority w:val="99"/>
    <w:semiHidden/>
    <w:unhideWhenUsed/>
    <w:rsid w:val="003C1AAD"/>
    <w:rPr>
      <w:color w:val="605E5C"/>
      <w:shd w:val="clear" w:color="auto" w:fill="E1DFDD"/>
    </w:rPr>
  </w:style>
  <w:style w:type="character" w:styleId="Sledovanodkaz">
    <w:name w:val="FollowedHyperlink"/>
    <w:basedOn w:val="Standardnpsmoodstavce"/>
    <w:rsid w:val="003C1AAD"/>
    <w:rPr>
      <w:color w:val="954F72" w:themeColor="followedHyperlink"/>
      <w:u w:val="single"/>
    </w:rPr>
  </w:style>
  <w:style w:type="character" w:customStyle="1" w:styleId="Nevyeenzmnka2">
    <w:name w:val="Nevyřešená zmínka2"/>
    <w:basedOn w:val="Standardnpsmoodstavce"/>
    <w:uiPriority w:val="99"/>
    <w:semiHidden/>
    <w:unhideWhenUsed/>
    <w:rsid w:val="00B0478F"/>
    <w:rPr>
      <w:color w:val="605E5C"/>
      <w:shd w:val="clear" w:color="auto" w:fill="E1DFDD"/>
    </w:rPr>
  </w:style>
  <w:style w:type="paragraph" w:customStyle="1" w:styleId="MPtext">
    <w:name w:val="MP_text"/>
    <w:basedOn w:val="Normln"/>
    <w:link w:val="MPtextChar"/>
    <w:qFormat/>
    <w:rsid w:val="001C7C1E"/>
    <w:pPr>
      <w:spacing w:before="60" w:line="264" w:lineRule="auto"/>
    </w:pPr>
    <w:rPr>
      <w:rFonts w:eastAsia="Times New Roman" w:cs="Times New Roman"/>
      <w:sz w:val="20"/>
      <w:lang w:val="cs-CZ" w:eastAsia="en-US" w:bidi="en-US"/>
    </w:rPr>
  </w:style>
  <w:style w:type="character" w:customStyle="1" w:styleId="MPtextChar">
    <w:name w:val="MP_text Char"/>
    <w:basedOn w:val="Standardnpsmoodstavce"/>
    <w:link w:val="MPtext"/>
    <w:rsid w:val="001C7C1E"/>
    <w:rPr>
      <w:rFonts w:ascii="Arial" w:eastAsia="Times New Roman" w:hAnsi="Arial"/>
      <w:lang w:eastAsia="en-US" w:bidi="en-US"/>
    </w:rPr>
  </w:style>
  <w:style w:type="character" w:customStyle="1" w:styleId="Nadpis4Char">
    <w:name w:val="Nadpis 4 Char"/>
    <w:basedOn w:val="Standardnpsmoodstavce"/>
    <w:link w:val="Nadpis4"/>
    <w:rsid w:val="008D7BA6"/>
    <w:rPr>
      <w:rFonts w:ascii="Arial" w:eastAsiaTheme="majorEastAsia" w:hAnsi="Arial" w:cstheme="majorBidi"/>
      <w:b/>
      <w:iCs/>
      <w:sz w:val="22"/>
      <w:lang w:val="en-US" w:eastAsia="zh-CN"/>
    </w:rPr>
  </w:style>
  <w:style w:type="character" w:customStyle="1" w:styleId="TextpoznpodarouChar">
    <w:name w:val="Text pozn. pod čarou Char"/>
    <w:aliases w:val="Schriftart: 9 pt Char,Schriftart: 10 pt Char,Schriftart: 8 pt Char,pozn. pod čarou Char,Footnote Char,Text poznámky pod čiarou 007 Char,Fußnotentextf Char,Geneva 9 Char,Font: Geneva 9 Char,Boston 10 Char,f Char"/>
    <w:link w:val="Textpoznpodarou"/>
    <w:uiPriority w:val="99"/>
    <w:rsid w:val="00E5243F"/>
    <w:rPr>
      <w:rFonts w:ascii="Arial" w:eastAsiaTheme="minorEastAsia" w:hAnsi="Arial" w:cstheme="minorBidi"/>
      <w:sz w:val="18"/>
      <w:szCs w:val="18"/>
      <w:lang w:val="en-US" w:eastAsia="zh-CN"/>
    </w:rPr>
  </w:style>
  <w:style w:type="character" w:customStyle="1" w:styleId="OdstavecseseznamemChar">
    <w:name w:val="Odstavec se seznamem Char"/>
    <w:aliases w:val="Odstavec_muj Char,Nad Char,List Paragraph Char,Odstavec cíl se seznamem Char,Odstavec se seznamem5 Char,Odrážky Char,Obrázek Char,_Odstavec se seznamem Char,Seznam - odrážky Char"/>
    <w:link w:val="Odstavecseseznamem"/>
    <w:uiPriority w:val="34"/>
    <w:qFormat/>
    <w:rsid w:val="00C03BE1"/>
    <w:rPr>
      <w:rFonts w:ascii="Arial" w:eastAsiaTheme="minorEastAsia" w:hAnsi="Arial" w:cstheme="minorBidi"/>
      <w:sz w:val="22"/>
      <w:lang w:val="en-US" w:eastAsia="zh-CN"/>
    </w:rPr>
  </w:style>
  <w:style w:type="character" w:customStyle="1" w:styleId="ZhlavChar">
    <w:name w:val="Záhlaví Char"/>
    <w:basedOn w:val="Standardnpsmoodstavce"/>
    <w:link w:val="Zhlav"/>
    <w:rsid w:val="00615A8A"/>
    <w:rPr>
      <w:rFonts w:ascii="Arial" w:eastAsiaTheme="minorEastAsia" w:hAnsi="Arial" w:cstheme="minorBidi"/>
      <w:sz w:val="18"/>
      <w:szCs w:val="18"/>
      <w:lang w:val="en-US" w:eastAsia="zh-CN"/>
    </w:rPr>
  </w:style>
  <w:style w:type="paragraph" w:customStyle="1" w:styleId="xmsonormal">
    <w:name w:val="x_msonormal"/>
    <w:basedOn w:val="Normln"/>
    <w:rsid w:val="00615A8A"/>
    <w:pPr>
      <w:spacing w:before="100" w:beforeAutospacing="1" w:after="100" w:afterAutospacing="1" w:line="240" w:lineRule="auto"/>
      <w:jc w:val="left"/>
    </w:pPr>
    <w:rPr>
      <w:rFonts w:ascii="Times New Roman" w:eastAsiaTheme="minorHAnsi" w:hAnsi="Times New Roman" w:cs="Times New Roman"/>
      <w:sz w:val="24"/>
      <w:szCs w:val="24"/>
      <w:lang w:val="cs-CZ" w:eastAsia="cs-CZ"/>
    </w:rPr>
  </w:style>
  <w:style w:type="paragraph" w:styleId="Normlnweb">
    <w:name w:val="Normal (Web)"/>
    <w:basedOn w:val="Normln"/>
    <w:uiPriority w:val="99"/>
    <w:unhideWhenUsed/>
    <w:rsid w:val="00615A8A"/>
    <w:pPr>
      <w:spacing w:before="100" w:beforeAutospacing="1" w:after="100" w:afterAutospacing="1" w:line="240" w:lineRule="auto"/>
      <w:jc w:val="left"/>
    </w:pPr>
    <w:rPr>
      <w:rFonts w:ascii="Calibri" w:eastAsiaTheme="minorHAnsi" w:hAnsi="Calibri" w:cs="Calibri"/>
      <w:szCs w:val="22"/>
      <w:lang w:val="cs-CZ" w:eastAsia="cs-CZ"/>
    </w:rPr>
  </w:style>
  <w:style w:type="paragraph" w:styleId="Zkladntext">
    <w:name w:val="Body Text"/>
    <w:basedOn w:val="Normln"/>
    <w:link w:val="ZkladntextChar"/>
    <w:rsid w:val="006E599E"/>
    <w:pPr>
      <w:spacing w:before="0" w:after="0" w:line="240" w:lineRule="auto"/>
      <w:jc w:val="left"/>
    </w:pPr>
    <w:rPr>
      <w:rFonts w:ascii="Times New Roman" w:eastAsia="Times New Roman" w:hAnsi="Times New Roman" w:cs="Times New Roman"/>
      <w:b/>
      <w:bCs/>
      <w:i/>
      <w:iCs/>
      <w:sz w:val="24"/>
      <w:szCs w:val="24"/>
      <w:lang w:val="cs-CZ" w:eastAsia="cs-CZ"/>
    </w:rPr>
  </w:style>
  <w:style w:type="character" w:customStyle="1" w:styleId="ZkladntextChar">
    <w:name w:val="Základní text Char"/>
    <w:basedOn w:val="Standardnpsmoodstavce"/>
    <w:link w:val="Zkladntext"/>
    <w:rsid w:val="006E599E"/>
    <w:rPr>
      <w:rFonts w:eastAsia="Times New Roman"/>
      <w:b/>
      <w:bCs/>
      <w:i/>
      <w:iCs/>
      <w:sz w:val="24"/>
      <w:szCs w:val="24"/>
    </w:rPr>
  </w:style>
  <w:style w:type="paragraph" w:styleId="Prosttext">
    <w:name w:val="Plain Text"/>
    <w:basedOn w:val="Normln"/>
    <w:link w:val="ProsttextChar"/>
    <w:uiPriority w:val="99"/>
    <w:unhideWhenUsed/>
    <w:rsid w:val="006E599E"/>
    <w:pPr>
      <w:spacing w:before="0" w:after="0" w:line="240" w:lineRule="auto"/>
      <w:jc w:val="left"/>
    </w:pPr>
    <w:rPr>
      <w:rFonts w:eastAsiaTheme="minorHAnsi"/>
      <w:sz w:val="20"/>
      <w:szCs w:val="21"/>
      <w:lang w:val="cs-CZ" w:eastAsia="en-US"/>
    </w:rPr>
  </w:style>
  <w:style w:type="character" w:customStyle="1" w:styleId="ProsttextChar">
    <w:name w:val="Prostý text Char"/>
    <w:basedOn w:val="Standardnpsmoodstavce"/>
    <w:link w:val="Prosttext"/>
    <w:uiPriority w:val="99"/>
    <w:rsid w:val="006E599E"/>
    <w:rPr>
      <w:rFonts w:ascii="Arial" w:eastAsiaTheme="minorHAnsi" w:hAnsi="Arial" w:cstheme="minorBidi"/>
      <w:szCs w:val="21"/>
      <w:lang w:eastAsia="en-US"/>
    </w:rPr>
  </w:style>
  <w:style w:type="table" w:customStyle="1" w:styleId="Mkatabulky1">
    <w:name w:val="Mřížka tabulky1"/>
    <w:basedOn w:val="Normlntabulka"/>
    <w:next w:val="Mkatabulky"/>
    <w:uiPriority w:val="39"/>
    <w:rsid w:val="006E599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E962D1-9ADD-44ED-9267-CB52D72A9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14</Pages>
  <Words>2643</Words>
  <Characters>15600</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18207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dc:creator>
  <cp:lastModifiedBy>Tomášek Radek</cp:lastModifiedBy>
  <cp:revision>13</cp:revision>
  <dcterms:created xsi:type="dcterms:W3CDTF">2022-01-21T18:30:00Z</dcterms:created>
  <dcterms:modified xsi:type="dcterms:W3CDTF">2022-03-31T13:51:00Z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ies>
</file>