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31119892"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Obrázek 2"/>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4">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75289FC7"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9609F3">
        <w:rPr>
          <w:rFonts w:ascii="Arial" w:hAnsi="Arial" w:cs="Arial"/>
          <w:b/>
          <w:bCs/>
          <w:color w:val="214F87"/>
          <w:sz w:val="56"/>
          <w:szCs w:val="56"/>
        </w:rPr>
        <w:t> </w:t>
      </w:r>
      <w:r w:rsidRPr="00DF2410">
        <w:rPr>
          <w:rFonts w:ascii="Arial" w:hAnsi="Arial" w:cs="Arial"/>
          <w:b/>
          <w:bCs/>
          <w:color w:val="214F87"/>
          <w:sz w:val="56"/>
          <w:szCs w:val="56"/>
        </w:rPr>
        <w:t>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5F62B4AD" w:rsidR="00F23FC9" w:rsidRPr="000F6082" w:rsidRDefault="00F23FC9" w:rsidP="00F23FC9">
      <w:pPr>
        <w:spacing w:before="240"/>
        <w:jc w:val="center"/>
        <w:rPr>
          <w:rFonts w:ascii="Arial" w:hAnsi="Arial" w:cs="Arial"/>
          <w:b/>
          <w:bCs/>
          <w:caps/>
          <w:color w:val="214F87"/>
          <w:sz w:val="44"/>
          <w:szCs w:val="44"/>
        </w:rPr>
      </w:pPr>
      <w:r w:rsidRPr="00E16E24">
        <w:rPr>
          <w:rFonts w:ascii="Arial" w:hAnsi="Arial" w:cs="Arial"/>
          <w:b/>
          <w:bCs/>
          <w:caps/>
          <w:color w:val="214F87"/>
          <w:sz w:val="44"/>
          <w:szCs w:val="44"/>
        </w:rPr>
        <w:t xml:space="preserve">PŘÍLOHA </w:t>
      </w:r>
      <w:r w:rsidR="000F6082" w:rsidRPr="00E16E24">
        <w:rPr>
          <w:rFonts w:ascii="Arial" w:hAnsi="Arial" w:cs="Arial"/>
          <w:b/>
          <w:bCs/>
          <w:caps/>
          <w:color w:val="214F87"/>
          <w:sz w:val="44"/>
          <w:szCs w:val="44"/>
        </w:rPr>
        <w:t>3</w:t>
      </w:r>
      <w:r w:rsidR="002148B8">
        <w:rPr>
          <w:rFonts w:ascii="Arial" w:hAnsi="Arial" w:cs="Arial"/>
          <w:b/>
          <w:bCs/>
          <w:caps/>
          <w:color w:val="214F87"/>
          <w:sz w:val="44"/>
          <w:szCs w:val="44"/>
        </w:rPr>
        <w:t>B</w:t>
      </w:r>
    </w:p>
    <w:p w14:paraId="748DDB57" w14:textId="2C259415" w:rsidR="00A752A6" w:rsidRPr="00E16E24" w:rsidRDefault="00F23FC9" w:rsidP="00E16E24">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3913D93F" w14:textId="096D489F" w:rsidR="00F077FA" w:rsidRDefault="00F077FA">
      <w:pPr>
        <w:pStyle w:val="Zkladnodstavec"/>
        <w:rPr>
          <w:rFonts w:ascii="Arial" w:hAnsi="Arial" w:cs="Arial"/>
          <w:b/>
          <w:bCs/>
          <w:caps/>
          <w:color w:val="214F87"/>
        </w:rPr>
      </w:pPr>
    </w:p>
    <w:p w14:paraId="03339241" w14:textId="35147899" w:rsidR="00A26EFF" w:rsidRDefault="00A26EFF" w:rsidP="00A231BE">
      <w:pPr>
        <w:pStyle w:val="paragraph"/>
        <w:spacing w:before="0" w:beforeAutospacing="0" w:after="0" w:afterAutospacing="0"/>
        <w:jc w:val="center"/>
        <w:textAlignment w:val="baseline"/>
        <w:rPr>
          <w:rFonts w:ascii="Segoe UI" w:hAnsi="Segoe UI" w:cs="Segoe UI"/>
          <w:color w:val="000000"/>
          <w:sz w:val="18"/>
          <w:szCs w:val="18"/>
        </w:rPr>
      </w:pPr>
      <w:r>
        <w:rPr>
          <w:rStyle w:val="normaltextrun"/>
          <w:rFonts w:ascii="Arial" w:hAnsi="Arial" w:cs="Arial"/>
          <w:color w:val="000000"/>
          <w:sz w:val="36"/>
          <w:szCs w:val="36"/>
        </w:rPr>
        <w:t xml:space="preserve">78. VÝZVA IROP – </w:t>
      </w:r>
      <w:r>
        <w:rPr>
          <w:rStyle w:val="spellingerror"/>
          <w:rFonts w:ascii="Arial" w:hAnsi="Arial" w:cs="Arial"/>
          <w:color w:val="000000"/>
          <w:sz w:val="36"/>
          <w:szCs w:val="36"/>
        </w:rPr>
        <w:t>eHEALTH</w:t>
      </w:r>
      <w:r>
        <w:rPr>
          <w:rStyle w:val="normaltextrun"/>
          <w:rFonts w:ascii="Arial" w:hAnsi="Arial" w:cs="Arial"/>
          <w:color w:val="000000"/>
          <w:sz w:val="36"/>
          <w:szCs w:val="36"/>
        </w:rPr>
        <w:t xml:space="preserve"> – SC 1.1 (MRR)</w:t>
      </w:r>
    </w:p>
    <w:p w14:paraId="6C7E7AC9" w14:textId="6D63541B" w:rsidR="00A26EFF" w:rsidRDefault="00A26EFF" w:rsidP="00A231BE">
      <w:pPr>
        <w:pStyle w:val="paragraph"/>
        <w:spacing w:before="0" w:beforeAutospacing="0" w:after="0" w:afterAutospacing="0"/>
        <w:jc w:val="center"/>
        <w:textAlignment w:val="baseline"/>
        <w:rPr>
          <w:rFonts w:ascii="Segoe UI" w:hAnsi="Segoe UI" w:cs="Segoe UI"/>
          <w:color w:val="000000"/>
          <w:sz w:val="18"/>
          <w:szCs w:val="18"/>
        </w:rPr>
      </w:pPr>
      <w:r>
        <w:rPr>
          <w:rStyle w:val="normaltextrun"/>
          <w:rFonts w:ascii="Arial" w:hAnsi="Arial" w:cs="Arial"/>
          <w:sz w:val="36"/>
          <w:szCs w:val="36"/>
        </w:rPr>
        <w:t xml:space="preserve">79. </w:t>
      </w:r>
      <w:r>
        <w:rPr>
          <w:rStyle w:val="normaltextrun"/>
          <w:rFonts w:ascii="Arial" w:hAnsi="Arial" w:cs="Arial"/>
          <w:color w:val="000000"/>
          <w:sz w:val="36"/>
          <w:szCs w:val="36"/>
        </w:rPr>
        <w:t>VÝZVA IROP –</w:t>
      </w:r>
      <w:r>
        <w:rPr>
          <w:rStyle w:val="normaltextrun"/>
          <w:rFonts w:ascii="Arial" w:hAnsi="Arial" w:cs="Arial"/>
          <w:sz w:val="36"/>
          <w:szCs w:val="36"/>
        </w:rPr>
        <w:t xml:space="preserve"> </w:t>
      </w:r>
      <w:r>
        <w:rPr>
          <w:rStyle w:val="spellingerror"/>
          <w:rFonts w:ascii="Arial" w:hAnsi="Arial" w:cs="Arial"/>
          <w:color w:val="000000"/>
          <w:sz w:val="36"/>
          <w:szCs w:val="36"/>
        </w:rPr>
        <w:t>eHEALTH</w:t>
      </w:r>
      <w:r>
        <w:rPr>
          <w:rStyle w:val="normaltextrun"/>
          <w:rFonts w:ascii="Arial" w:hAnsi="Arial" w:cs="Arial"/>
          <w:color w:val="000000"/>
          <w:sz w:val="36"/>
          <w:szCs w:val="36"/>
        </w:rPr>
        <w:t xml:space="preserve"> – SC 1.1 </w:t>
      </w:r>
      <w:r>
        <w:rPr>
          <w:rStyle w:val="normaltextrun"/>
          <w:rFonts w:ascii="Arial" w:hAnsi="Arial" w:cs="Arial"/>
          <w:sz w:val="36"/>
          <w:szCs w:val="36"/>
        </w:rPr>
        <w:t>(PR)</w:t>
      </w:r>
    </w:p>
    <w:p w14:paraId="4B39738C" w14:textId="169E7770" w:rsidR="00A26EFF" w:rsidRDefault="00A26EFF" w:rsidP="00A231BE">
      <w:pPr>
        <w:pStyle w:val="paragraph"/>
        <w:spacing w:before="0" w:beforeAutospacing="0" w:after="0" w:afterAutospacing="0"/>
        <w:jc w:val="center"/>
        <w:textAlignment w:val="baseline"/>
        <w:rPr>
          <w:rFonts w:ascii="Segoe UI" w:hAnsi="Segoe UI" w:cs="Segoe UI"/>
          <w:color w:val="000000"/>
          <w:sz w:val="18"/>
          <w:szCs w:val="18"/>
        </w:rPr>
      </w:pPr>
      <w:r>
        <w:rPr>
          <w:rStyle w:val="normaltextrun"/>
          <w:rFonts w:ascii="Arial" w:hAnsi="Arial" w:cs="Arial"/>
          <w:sz w:val="36"/>
          <w:szCs w:val="36"/>
        </w:rPr>
        <w:t xml:space="preserve">80. </w:t>
      </w:r>
      <w:r>
        <w:rPr>
          <w:rStyle w:val="normaltextrun"/>
          <w:rFonts w:ascii="Arial" w:hAnsi="Arial" w:cs="Arial"/>
          <w:color w:val="000000"/>
          <w:sz w:val="36"/>
          <w:szCs w:val="36"/>
        </w:rPr>
        <w:t>VÝZVA IROP –</w:t>
      </w:r>
      <w:r>
        <w:rPr>
          <w:rStyle w:val="normaltextrun"/>
          <w:rFonts w:ascii="Arial" w:hAnsi="Arial" w:cs="Arial"/>
          <w:sz w:val="36"/>
          <w:szCs w:val="36"/>
        </w:rPr>
        <w:t xml:space="preserve"> </w:t>
      </w:r>
      <w:r>
        <w:rPr>
          <w:rStyle w:val="spellingerror"/>
          <w:rFonts w:ascii="Arial" w:hAnsi="Arial" w:cs="Arial"/>
          <w:color w:val="000000"/>
          <w:sz w:val="36"/>
          <w:szCs w:val="36"/>
        </w:rPr>
        <w:t>eHEALTH</w:t>
      </w:r>
      <w:r>
        <w:rPr>
          <w:rStyle w:val="normaltextrun"/>
          <w:rFonts w:ascii="Arial" w:hAnsi="Arial" w:cs="Arial"/>
          <w:color w:val="000000"/>
          <w:sz w:val="36"/>
          <w:szCs w:val="36"/>
        </w:rPr>
        <w:t xml:space="preserve"> – SC 1.1 </w:t>
      </w:r>
      <w:r>
        <w:rPr>
          <w:rStyle w:val="normaltextrun"/>
          <w:rFonts w:ascii="Arial" w:hAnsi="Arial" w:cs="Arial"/>
          <w:sz w:val="36"/>
          <w:szCs w:val="36"/>
        </w:rPr>
        <w:t>(ČR)</w:t>
      </w:r>
    </w:p>
    <w:p w14:paraId="05A1B5A0" w14:textId="77777777" w:rsidR="000F6082" w:rsidRDefault="000F6082" w:rsidP="00755826">
      <w:pPr>
        <w:spacing w:after="200"/>
        <w:jc w:val="center"/>
        <w:rPr>
          <w:rFonts w:ascii="Arial" w:hAnsi="Arial" w:cs="Arial"/>
          <w:caps/>
          <w:color w:val="7F7F7F" w:themeColor="text1" w:themeTint="80"/>
        </w:rPr>
      </w:pPr>
    </w:p>
    <w:p w14:paraId="27C16E27" w14:textId="32868982" w:rsidR="000F6082" w:rsidRDefault="000F6082" w:rsidP="000F6082">
      <w:pPr>
        <w:spacing w:after="200"/>
        <w:jc w:val="center"/>
        <w:rPr>
          <w:rFonts w:ascii="Arial" w:hAnsi="Arial" w:cs="Arial"/>
          <w:caps/>
          <w:color w:val="7F7F7F" w:themeColor="text1" w:themeTint="80"/>
          <w:sz w:val="32"/>
          <w:szCs w:val="32"/>
        </w:rPr>
        <w:sectPr w:rsidR="000F6082" w:rsidSect="00755826">
          <w:headerReference w:type="even" r:id="rId35"/>
          <w:headerReference w:type="default" r:id="rId36"/>
          <w:footerReference w:type="even" r:id="rId37"/>
          <w:footerReference w:type="default" r:id="rId38"/>
          <w:headerReference w:type="first" r:id="rId39"/>
          <w:footerReference w:type="first" r:id="rId40"/>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A16CFD">
        <w:rPr>
          <w:rFonts w:ascii="Arial" w:hAnsi="Arial" w:cs="Arial"/>
          <w:caps/>
          <w:color w:val="7F7F7F" w:themeColor="text1" w:themeTint="80"/>
          <w:sz w:val="32"/>
          <w:szCs w:val="32"/>
        </w:rPr>
        <w:t>2</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3236512B">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5963EE3D" w:rsidR="00C70547" w:rsidRPr="00EE7B0F" w:rsidRDefault="00C70547" w:rsidP="00EE7B0F">
            <w:pPr>
              <w:spacing w:line="264" w:lineRule="auto"/>
              <w:rPr>
                <w:rFonts w:ascii="Arial" w:hAnsi="Arial" w:cs="Arial"/>
                <w:sz w:val="22"/>
                <w:szCs w:val="22"/>
              </w:rPr>
            </w:pPr>
            <w:r w:rsidRPr="3236512B">
              <w:rPr>
                <w:rFonts w:ascii="Arial" w:hAnsi="Arial" w:cs="Arial"/>
                <w:sz w:val="22"/>
                <w:szCs w:val="22"/>
              </w:rPr>
              <w:t xml:space="preserve">110 </w:t>
            </w:r>
            <w:r w:rsidR="12A3532E" w:rsidRPr="3236512B">
              <w:rPr>
                <w:rFonts w:ascii="Arial" w:hAnsi="Arial" w:cs="Arial"/>
                <w:sz w:val="22"/>
                <w:szCs w:val="22"/>
              </w:rPr>
              <w:t xml:space="preserve">00 </w:t>
            </w:r>
            <w:r w:rsidRPr="3236512B">
              <w:rPr>
                <w:rFonts w:ascii="Arial" w:hAnsi="Arial" w:cs="Arial"/>
                <w:sz w:val="22"/>
                <w:szCs w:val="22"/>
              </w:rPr>
              <w:t>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055A6B">
        <w:trPr>
          <w:trHeight w:val="202"/>
        </w:trPr>
        <w:tc>
          <w:tcPr>
            <w:tcW w:w="1647" w:type="dxa"/>
            <w:vMerge/>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055A6B">
        <w:trPr>
          <w:trHeight w:val="165"/>
        </w:trPr>
        <w:tc>
          <w:tcPr>
            <w:tcW w:w="1647" w:type="dxa"/>
            <w:vMerge/>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055A6B">
        <w:trPr>
          <w:trHeight w:val="165"/>
        </w:trPr>
        <w:tc>
          <w:tcPr>
            <w:tcW w:w="1647" w:type="dxa"/>
            <w:vMerge/>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r w:rsidRPr="00EE7B0F">
              <w:rPr>
                <w:rFonts w:ascii="Arial" w:hAnsi="Arial" w:cs="Arial"/>
                <w:sz w:val="22"/>
                <w:szCs w:val="22"/>
              </w:rPr>
              <w:t>dd. mm. rrrr</w:t>
            </w:r>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r w:rsidRPr="00EE7B0F">
              <w:rPr>
                <w:rFonts w:ascii="Arial" w:hAnsi="Arial" w:cs="Arial"/>
                <w:bCs/>
                <w:sz w:val="22"/>
                <w:szCs w:val="22"/>
              </w:rPr>
              <w:t>dd. mm. rrrr</w:t>
            </w:r>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57ED46D1"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9F444A">
        <w:rPr>
          <w:rFonts w:ascii="Arial" w:hAnsi="Arial" w:cs="Arial"/>
          <w:bCs/>
          <w:sz w:val="22"/>
          <w:szCs w:val="22"/>
        </w:rPr>
        <w:t> </w:t>
      </w:r>
      <w:r w:rsidRPr="00BF657C">
        <w:rPr>
          <w:rFonts w:ascii="Arial" w:hAnsi="Arial" w:cs="Arial"/>
          <w:bCs/>
          <w:sz w:val="22"/>
          <w:szCs w:val="22"/>
        </w:rPr>
        <w:t xml:space="preserve">spojení s § 14m zákona č. 218/2000 Sb., o rozpočtových pravidlech a o změně některých souvisejících zákonů, ve znění pozdějších předpisů (dále jen „rozpočtová pravidla“). </w:t>
      </w:r>
    </w:p>
    <w:p w14:paraId="0896A189" w14:textId="1FE553FE"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se zavazuje realizovat projekt v souladu se žádostí o podporu evidovanou v Monitorovacím systému 2021+ (dále jen „MS2021+“) pod registračním číslem uvedeným na Rozhodnutí, ve znění schválených Žádostí o změnu evidovaných v MS2021+.</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69B7786B"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3E938E0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Celková částka poskytnuté dotace uvedená v Rozhodnutí nebude překročena. V případě, že v průběhu realizace projektu dojde ke snížení způsobilých výdajů, musí být vždy za celý projekt zachovány procentní podíly jednotlivých zdrojů financování.</w:t>
      </w:r>
    </w:p>
    <w:p w14:paraId="5CDFF91A" w14:textId="3DBD086C"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w:t>
      </w:r>
    </w:p>
    <w:p w14:paraId="1764309E" w14:textId="17F8FB91"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45D7A57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Při realizaci projektu bude uskutečňováno zadávání zakázek zejména v souladu se zákonem č. 134/2016 Sb., o zadávání veřejných zakázek, ve znění pozdějších předpisů (dále jen „ZZVZ“).</w:t>
            </w:r>
          </w:p>
          <w:p w14:paraId="1913C825" w14:textId="7CF3C47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Pokud příjemce není povinen postupovat podle ZZVZ, postupuje v souladu s Metodickým pokynem pro oblast zadávání zakázek pro programové období 2021-2027 (dále jen „MPZ“).</w:t>
            </w:r>
          </w:p>
        </w:tc>
        <w:tc>
          <w:tcPr>
            <w:tcW w:w="4534" w:type="dxa"/>
          </w:tcPr>
          <w:p w14:paraId="26F1E8CB" w14:textId="2EC5A55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250FC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250FC0">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6F658BDE" w:rsidR="009132E6" w:rsidRPr="00250FC0" w:rsidRDefault="009132E6" w:rsidP="0042247B">
            <w:pPr>
              <w:spacing w:before="120" w:after="120" w:line="271" w:lineRule="auto"/>
              <w:ind w:right="-2"/>
              <w:jc w:val="both"/>
              <w:rPr>
                <w:rFonts w:ascii="Arial" w:hAnsi="Arial" w:cs="Arial"/>
                <w:snapToGrid w:val="0"/>
                <w:sz w:val="22"/>
                <w:szCs w:val="22"/>
              </w:rPr>
            </w:pPr>
            <w:r w:rsidRPr="00250FC0">
              <w:rPr>
                <w:rFonts w:ascii="Arial" w:hAnsi="Arial" w:cs="Arial"/>
                <w:snapToGrid w:val="0"/>
                <w:sz w:val="22"/>
                <w:szCs w:val="22"/>
              </w:rPr>
              <w:t xml:space="preserve">Příjemce je povinen nejpozději </w:t>
            </w:r>
            <w:bookmarkStart w:id="8" w:name="_Hlk97024462"/>
            <w:r w:rsidRPr="00250FC0">
              <w:rPr>
                <w:rFonts w:ascii="Arial" w:hAnsi="Arial" w:cs="Arial"/>
                <w:snapToGrid w:val="0"/>
                <w:sz w:val="22"/>
                <w:szCs w:val="22"/>
              </w:rPr>
              <w:t xml:space="preserve">při podání závěrečné zprávy o realizaci projektu </w:t>
            </w:r>
            <w:bookmarkEnd w:id="8"/>
            <w:r w:rsidRPr="00250FC0">
              <w:rPr>
                <w:rFonts w:ascii="Arial" w:hAnsi="Arial" w:cs="Arial"/>
                <w:snapToGrid w:val="0"/>
                <w:sz w:val="22"/>
                <w:szCs w:val="22"/>
              </w:rPr>
              <w:t>prokázat</w:t>
            </w:r>
            <w:r w:rsidR="00F50A11" w:rsidRPr="00250FC0">
              <w:rPr>
                <w:rFonts w:ascii="Arial" w:hAnsi="Arial" w:cs="Arial"/>
                <w:snapToGrid w:val="0"/>
                <w:sz w:val="22"/>
                <w:szCs w:val="22"/>
              </w:rPr>
              <w:t>,</w:t>
            </w:r>
            <w:r w:rsidRPr="00250FC0">
              <w:rPr>
                <w:rFonts w:ascii="Arial" w:hAnsi="Arial" w:cs="Arial"/>
                <w:snapToGrid w:val="0"/>
                <w:sz w:val="22"/>
                <w:szCs w:val="22"/>
              </w:rPr>
              <w:t xml:space="preserve"> že indikátory </w:t>
            </w:r>
            <w:r w:rsidR="00A67B07" w:rsidRPr="00250FC0">
              <w:rPr>
                <w:rFonts w:ascii="Arial" w:hAnsi="Arial" w:cs="Arial"/>
                <w:i/>
                <w:iCs/>
                <w:snapToGrid w:val="0"/>
                <w:sz w:val="22"/>
                <w:szCs w:val="22"/>
              </w:rPr>
              <w:t xml:space="preserve">I. </w:t>
            </w:r>
            <w:r w:rsidR="00250FC0" w:rsidRPr="00250FC0">
              <w:rPr>
                <w:rFonts w:ascii="Arial" w:hAnsi="Arial" w:cs="Arial"/>
                <w:i/>
                <w:iCs/>
                <w:snapToGrid w:val="0"/>
                <w:sz w:val="22"/>
                <w:szCs w:val="22"/>
              </w:rPr>
              <w:t xml:space="preserve">a </w:t>
            </w:r>
            <w:r w:rsidR="00A67B07" w:rsidRPr="00250FC0">
              <w:rPr>
                <w:rFonts w:ascii="Arial" w:hAnsi="Arial" w:cs="Arial"/>
                <w:i/>
                <w:iCs/>
                <w:snapToGrid w:val="0"/>
                <w:sz w:val="22"/>
                <w:szCs w:val="22"/>
              </w:rPr>
              <w:t>II.</w:t>
            </w:r>
            <w:r w:rsidR="00A67B07" w:rsidRPr="00250FC0">
              <w:rPr>
                <w:rFonts w:ascii="Arial" w:hAnsi="Arial" w:cs="Arial"/>
                <w:snapToGrid w:val="0"/>
                <w:sz w:val="22"/>
                <w:szCs w:val="22"/>
              </w:rPr>
              <w:t xml:space="preserve"> </w:t>
            </w:r>
            <w:r w:rsidRPr="00250FC0">
              <w:rPr>
                <w:rFonts w:ascii="Arial" w:hAnsi="Arial" w:cs="Arial"/>
                <w:snapToGrid w:val="0"/>
                <w:sz w:val="22"/>
                <w:szCs w:val="22"/>
              </w:rPr>
              <w:t>byly naplněny v termínu</w:t>
            </w:r>
            <w:r w:rsidR="00502AD2" w:rsidRPr="00250FC0">
              <w:rPr>
                <w:rStyle w:val="Znakapoznpodarou"/>
                <w:rFonts w:ascii="Arial" w:hAnsi="Arial" w:cs="Arial"/>
                <w:snapToGrid w:val="0"/>
                <w:sz w:val="22"/>
                <w:szCs w:val="22"/>
              </w:rPr>
              <w:footnoteReference w:id="14"/>
            </w:r>
            <w:r w:rsidRPr="00250FC0">
              <w:rPr>
                <w:rFonts w:ascii="Arial" w:hAnsi="Arial" w:cs="Arial"/>
                <w:snapToGrid w:val="0"/>
                <w:sz w:val="22"/>
                <w:szCs w:val="22"/>
              </w:rPr>
              <w:t xml:space="preserve"> a cílové hodnotě uvedené na Rozhodnutí / v MS2021+</w:t>
            </w:r>
            <w:r w:rsidRPr="00250FC0">
              <w:rPr>
                <w:rStyle w:val="Znakapoznpodarou"/>
                <w:rFonts w:ascii="Arial" w:hAnsi="Arial" w:cs="Arial"/>
                <w:snapToGrid w:val="0"/>
                <w:sz w:val="22"/>
                <w:szCs w:val="22"/>
              </w:rPr>
              <w:footnoteReference w:id="15"/>
            </w:r>
            <w:r w:rsidRPr="00250FC0">
              <w:rPr>
                <w:rFonts w:ascii="Arial" w:hAnsi="Arial" w:cs="Arial"/>
                <w:snapToGrid w:val="0"/>
                <w:sz w:val="22"/>
                <w:szCs w:val="22"/>
              </w:rPr>
              <w:t>.</w:t>
            </w:r>
          </w:p>
          <w:p w14:paraId="79F19E53" w14:textId="25B3AE80" w:rsidR="009132E6" w:rsidRPr="00250FC0" w:rsidRDefault="009132E6" w:rsidP="0042247B">
            <w:pPr>
              <w:spacing w:before="120" w:after="120" w:line="271" w:lineRule="auto"/>
              <w:ind w:right="-2"/>
              <w:jc w:val="both"/>
              <w:rPr>
                <w:rFonts w:ascii="Arial" w:hAnsi="Arial" w:cs="Arial"/>
                <w:snapToGrid w:val="0"/>
                <w:sz w:val="22"/>
                <w:szCs w:val="22"/>
              </w:rPr>
            </w:pPr>
            <w:r w:rsidRPr="00250FC0">
              <w:rPr>
                <w:rFonts w:ascii="Arial" w:hAnsi="Arial" w:cs="Arial"/>
                <w:snapToGrid w:val="0"/>
                <w:sz w:val="22"/>
                <w:szCs w:val="22"/>
              </w:rPr>
              <w:t xml:space="preserve">Naplnění </w:t>
            </w:r>
            <w:r w:rsidR="00F50A11" w:rsidRPr="00250FC0">
              <w:rPr>
                <w:rFonts w:ascii="Arial" w:hAnsi="Arial" w:cs="Arial"/>
                <w:snapToGrid w:val="0"/>
                <w:sz w:val="22"/>
                <w:szCs w:val="22"/>
              </w:rPr>
              <w:t xml:space="preserve">cílové hodnoty </w:t>
            </w:r>
            <w:r w:rsidRPr="00250FC0">
              <w:rPr>
                <w:rFonts w:ascii="Arial" w:hAnsi="Arial" w:cs="Arial"/>
                <w:snapToGrid w:val="0"/>
                <w:sz w:val="22"/>
                <w:szCs w:val="22"/>
              </w:rPr>
              <w:t xml:space="preserve">indikátoru </w:t>
            </w:r>
            <w:r w:rsidR="00A67B07" w:rsidRPr="00250FC0">
              <w:rPr>
                <w:rFonts w:ascii="Arial" w:hAnsi="Arial" w:cs="Arial"/>
                <w:i/>
                <w:iCs/>
                <w:snapToGrid w:val="0"/>
                <w:sz w:val="22"/>
                <w:szCs w:val="22"/>
              </w:rPr>
              <w:t>I</w:t>
            </w:r>
            <w:r w:rsidR="00250FC0" w:rsidRPr="00250FC0">
              <w:rPr>
                <w:rFonts w:ascii="Arial" w:hAnsi="Arial" w:cs="Arial"/>
                <w:i/>
                <w:iCs/>
                <w:snapToGrid w:val="0"/>
                <w:sz w:val="22"/>
                <w:szCs w:val="22"/>
              </w:rPr>
              <w:t>II. a I</w:t>
            </w:r>
            <w:r w:rsidR="00A67B07" w:rsidRPr="00250FC0">
              <w:rPr>
                <w:rFonts w:ascii="Arial" w:hAnsi="Arial" w:cs="Arial"/>
                <w:i/>
                <w:iCs/>
                <w:snapToGrid w:val="0"/>
                <w:sz w:val="22"/>
                <w:szCs w:val="22"/>
              </w:rPr>
              <w:t>V</w:t>
            </w:r>
            <w:r w:rsidRPr="00250FC0">
              <w:rPr>
                <w:rFonts w:ascii="Arial" w:hAnsi="Arial" w:cs="Arial"/>
                <w:i/>
                <w:iCs/>
                <w:snapToGrid w:val="0"/>
                <w:sz w:val="22"/>
                <w:szCs w:val="22"/>
              </w:rPr>
              <w:t>.</w:t>
            </w:r>
            <w:r w:rsidRPr="00250FC0">
              <w:rPr>
                <w:rFonts w:ascii="Arial" w:hAnsi="Arial" w:cs="Arial"/>
                <w:snapToGrid w:val="0"/>
                <w:sz w:val="22"/>
                <w:szCs w:val="22"/>
              </w:rPr>
              <w:t xml:space="preserve"> uvedené v MS2021+ je příjemce povinen vykázat při podání první Zprávy o</w:t>
            </w:r>
            <w:r w:rsidR="00803BAC" w:rsidRPr="00250FC0">
              <w:rPr>
                <w:rFonts w:ascii="Arial" w:hAnsi="Arial" w:cs="Arial"/>
                <w:snapToGrid w:val="0"/>
                <w:sz w:val="22"/>
                <w:szCs w:val="22"/>
              </w:rPr>
              <w:t> </w:t>
            </w:r>
            <w:r w:rsidRPr="00250FC0">
              <w:rPr>
                <w:rFonts w:ascii="Arial" w:hAnsi="Arial" w:cs="Arial"/>
                <w:snapToGrid w:val="0"/>
                <w:sz w:val="22"/>
                <w:szCs w:val="22"/>
              </w:rPr>
              <w:t>udržitelnosti projektu.</w:t>
            </w:r>
          </w:p>
          <w:p w14:paraId="4553DF32" w14:textId="77777777" w:rsidR="009132E6" w:rsidRPr="00250FC0" w:rsidRDefault="009132E6" w:rsidP="0042247B">
            <w:pPr>
              <w:spacing w:before="120" w:after="120" w:line="271" w:lineRule="auto"/>
              <w:ind w:right="-2"/>
              <w:jc w:val="both"/>
              <w:rPr>
                <w:rFonts w:ascii="Arial" w:hAnsi="Arial" w:cs="Arial"/>
                <w:snapToGrid w:val="0"/>
                <w:sz w:val="22"/>
                <w:szCs w:val="22"/>
              </w:rPr>
            </w:pPr>
            <w:r w:rsidRPr="00250FC0">
              <w:rPr>
                <w:rFonts w:ascii="Arial" w:hAnsi="Arial" w:cs="Arial"/>
                <w:snapToGrid w:val="0"/>
                <w:sz w:val="22"/>
                <w:szCs w:val="22"/>
              </w:rPr>
              <w:t>Indikátory:</w:t>
            </w:r>
          </w:p>
          <w:p w14:paraId="77761068" w14:textId="77777777" w:rsidR="00250FC0" w:rsidRPr="00250FC0" w:rsidRDefault="00250FC0" w:rsidP="00250FC0">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250FC0">
              <w:rPr>
                <w:rFonts w:ascii="Arial" w:hAnsi="Arial" w:cs="Arial"/>
                <w:i/>
                <w:iCs/>
                <w:snapToGrid w:val="0"/>
                <w:sz w:val="22"/>
                <w:szCs w:val="22"/>
              </w:rPr>
              <w:t xml:space="preserve">305 002 - Počet pořízených informačních systémů </w:t>
            </w:r>
          </w:p>
          <w:p w14:paraId="07605966" w14:textId="77777777" w:rsidR="00250FC0" w:rsidRPr="00250FC0" w:rsidRDefault="00250FC0" w:rsidP="00250FC0">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250FC0">
              <w:rPr>
                <w:rFonts w:ascii="Arial" w:hAnsi="Arial" w:cs="Arial"/>
                <w:i/>
                <w:iCs/>
                <w:snapToGrid w:val="0"/>
                <w:sz w:val="22"/>
                <w:szCs w:val="22"/>
              </w:rPr>
              <w:t xml:space="preserve">305 150 - Nová funkcionalita informačního systému </w:t>
            </w:r>
          </w:p>
          <w:p w14:paraId="16525C06" w14:textId="77777777" w:rsidR="00250FC0" w:rsidRPr="00250FC0" w:rsidRDefault="00250FC0" w:rsidP="00250FC0">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250FC0">
              <w:rPr>
                <w:rFonts w:ascii="Arial" w:hAnsi="Arial" w:cs="Arial"/>
                <w:i/>
                <w:iCs/>
                <w:snapToGrid w:val="0"/>
                <w:sz w:val="22"/>
                <w:szCs w:val="22"/>
              </w:rPr>
              <w:t xml:space="preserve">309 201 - Počet aktivních interních uživatelů systému </w:t>
            </w:r>
          </w:p>
          <w:p w14:paraId="70A10DF8" w14:textId="77777777" w:rsidR="00250FC0" w:rsidRPr="00250FC0" w:rsidRDefault="00250FC0" w:rsidP="00250FC0">
            <w:pPr>
              <w:pStyle w:val="Odstavecseseznamem"/>
              <w:numPr>
                <w:ilvl w:val="0"/>
                <w:numId w:val="32"/>
              </w:numPr>
              <w:spacing w:before="120" w:after="120" w:line="271" w:lineRule="auto"/>
              <w:ind w:right="-2"/>
              <w:jc w:val="both"/>
              <w:rPr>
                <w:rFonts w:ascii="Arial" w:hAnsi="Arial" w:cs="Arial"/>
                <w:snapToGrid w:val="0"/>
                <w:sz w:val="22"/>
                <w:szCs w:val="22"/>
              </w:rPr>
            </w:pPr>
            <w:r w:rsidRPr="00250FC0">
              <w:rPr>
                <w:rFonts w:ascii="Arial" w:hAnsi="Arial" w:cs="Arial"/>
                <w:i/>
                <w:iCs/>
                <w:snapToGrid w:val="0"/>
                <w:sz w:val="22"/>
                <w:szCs w:val="22"/>
              </w:rPr>
              <w:t xml:space="preserve">309 301 - Počet aktivních externích uživatelů systému </w:t>
            </w:r>
          </w:p>
          <w:p w14:paraId="5001E994" w14:textId="77777777" w:rsidR="009132E6" w:rsidRPr="00250FC0" w:rsidRDefault="009132E6" w:rsidP="0042247B">
            <w:pPr>
              <w:spacing w:before="120" w:after="120" w:line="271" w:lineRule="auto"/>
              <w:ind w:right="-2"/>
              <w:jc w:val="both"/>
              <w:rPr>
                <w:rFonts w:ascii="Arial" w:hAnsi="Arial" w:cs="Arial"/>
                <w:snapToGrid w:val="0"/>
                <w:sz w:val="22"/>
                <w:szCs w:val="22"/>
              </w:rPr>
            </w:pPr>
            <w:r w:rsidRPr="00250FC0">
              <w:rPr>
                <w:rFonts w:ascii="Arial" w:hAnsi="Arial" w:cs="Arial"/>
                <w:snapToGrid w:val="0"/>
                <w:sz w:val="22"/>
                <w:szCs w:val="22"/>
              </w:rPr>
              <w:t>Pro příjemce jsou závazné pouze indikátory uvedené v Rozhodnutí.</w:t>
            </w:r>
          </w:p>
          <w:p w14:paraId="746ABC43" w14:textId="77777777" w:rsidR="009132E6" w:rsidRPr="00250FC0"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250FC0" w:rsidRDefault="00477071" w:rsidP="0042247B">
            <w:pPr>
              <w:spacing w:before="120" w:after="120" w:line="271" w:lineRule="auto"/>
              <w:jc w:val="both"/>
              <w:rPr>
                <w:rFonts w:ascii="Arial" w:hAnsi="Arial" w:cs="Arial"/>
                <w:snapToGrid w:val="0"/>
                <w:sz w:val="22"/>
                <w:szCs w:val="22"/>
                <w:lang w:eastAsia="zh-CN" w:bidi="ar"/>
              </w:rPr>
            </w:pPr>
            <w:r w:rsidRPr="00250FC0">
              <w:rPr>
                <w:rFonts w:ascii="Arial" w:hAnsi="Arial" w:cs="Arial"/>
                <w:snapToGrid w:val="0"/>
                <w:sz w:val="22"/>
                <w:szCs w:val="22"/>
                <w:lang w:eastAsia="zh-CN" w:bidi="ar"/>
              </w:rPr>
              <w:t>Výše f</w:t>
            </w:r>
            <w:r w:rsidR="009132E6" w:rsidRPr="00250FC0">
              <w:rPr>
                <w:rFonts w:ascii="Arial" w:hAnsi="Arial" w:cs="Arial"/>
                <w:snapToGrid w:val="0"/>
                <w:sz w:val="22"/>
                <w:szCs w:val="22"/>
                <w:lang w:eastAsia="zh-CN" w:bidi="ar"/>
              </w:rPr>
              <w:t>inanční oprav</w:t>
            </w:r>
            <w:r w:rsidRPr="00250FC0">
              <w:rPr>
                <w:rFonts w:ascii="Arial" w:hAnsi="Arial" w:cs="Arial"/>
                <w:snapToGrid w:val="0"/>
                <w:sz w:val="22"/>
                <w:szCs w:val="22"/>
                <w:lang w:eastAsia="zh-CN" w:bidi="ar"/>
              </w:rPr>
              <w:t>y při nenaplnění cílové hodnoty indikátorů</w:t>
            </w:r>
            <w:r w:rsidR="009132E6" w:rsidRPr="00250FC0">
              <w:rPr>
                <w:rFonts w:ascii="Arial" w:hAnsi="Arial" w:cs="Arial"/>
                <w:snapToGrid w:val="0"/>
                <w:sz w:val="22"/>
                <w:szCs w:val="22"/>
                <w:lang w:eastAsia="zh-CN" w:bidi="ar"/>
              </w:rPr>
              <w:t xml:space="preserve"> bude vyčíslena v rozmezí 0–100 %</w:t>
            </w:r>
            <w:r w:rsidRPr="00250FC0">
              <w:rPr>
                <w:rFonts w:ascii="Arial" w:hAnsi="Arial" w:cs="Arial"/>
                <w:snapToGrid w:val="0"/>
                <w:sz w:val="22"/>
                <w:szCs w:val="22"/>
                <w:lang w:eastAsia="zh-CN" w:bidi="ar"/>
              </w:rPr>
              <w:t>.</w:t>
            </w:r>
            <w:r w:rsidR="000C678D" w:rsidRPr="00250FC0">
              <w:rPr>
                <w:rFonts w:ascii="Arial" w:hAnsi="Arial" w:cs="Arial"/>
                <w:snapToGrid w:val="0"/>
                <w:sz w:val="22"/>
                <w:szCs w:val="22"/>
                <w:lang w:eastAsia="zh-CN" w:bidi="ar"/>
              </w:rPr>
              <w:t xml:space="preserve"> </w:t>
            </w:r>
            <w:r w:rsidRPr="00250FC0">
              <w:rPr>
                <w:rFonts w:ascii="Arial" w:hAnsi="Arial" w:cs="Arial"/>
                <w:snapToGrid w:val="0"/>
                <w:sz w:val="22"/>
                <w:szCs w:val="22"/>
                <w:lang w:eastAsia="zh-CN" w:bidi="ar"/>
              </w:rPr>
              <w:t>K</w:t>
            </w:r>
            <w:r w:rsidR="009132E6" w:rsidRPr="00250FC0">
              <w:rPr>
                <w:rFonts w:ascii="Arial" w:hAnsi="Arial" w:cs="Arial"/>
                <w:snapToGrid w:val="0"/>
                <w:sz w:val="22"/>
                <w:szCs w:val="22"/>
                <w:lang w:eastAsia="zh-CN" w:bidi="ar"/>
              </w:rPr>
              <w:t xml:space="preserve">onkrétní výše </w:t>
            </w:r>
            <w:r w:rsidRPr="00250FC0">
              <w:rPr>
                <w:rFonts w:ascii="Arial" w:hAnsi="Arial" w:cs="Arial"/>
                <w:snapToGrid w:val="0"/>
                <w:sz w:val="22"/>
                <w:szCs w:val="22"/>
                <w:lang w:eastAsia="zh-CN" w:bidi="ar"/>
              </w:rPr>
              <w:t>je stanovena podle následujících pravidel</w:t>
            </w:r>
            <w:r w:rsidR="009132E6" w:rsidRPr="00250FC0">
              <w:rPr>
                <w:rFonts w:ascii="Arial" w:hAnsi="Arial" w:cs="Arial"/>
                <w:snapToGrid w:val="0"/>
                <w:sz w:val="22"/>
                <w:szCs w:val="22"/>
                <w:lang w:eastAsia="zh-CN" w:bidi="ar"/>
              </w:rPr>
              <w:t>:</w:t>
            </w:r>
          </w:p>
          <w:p w14:paraId="5A064854" w14:textId="77777777" w:rsidR="00250FC0" w:rsidRPr="00250FC0" w:rsidRDefault="00250FC0" w:rsidP="00250FC0">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250FC0">
              <w:rPr>
                <w:rFonts w:ascii="Arial" w:hAnsi="Arial" w:cs="Arial"/>
                <w:snapToGrid w:val="0"/>
                <w:sz w:val="22"/>
                <w:szCs w:val="22"/>
                <w:lang w:eastAsia="zh-CN" w:bidi="ar"/>
              </w:rPr>
              <w:t xml:space="preserve">U indikátorů bez stanoveného tolerančního pásma (indikátor </w:t>
            </w:r>
            <w:r w:rsidRPr="00250FC0">
              <w:rPr>
                <w:rFonts w:ascii="Arial" w:hAnsi="Arial" w:cs="Arial"/>
                <w:i/>
                <w:iCs/>
                <w:snapToGrid w:val="0"/>
                <w:sz w:val="22"/>
                <w:szCs w:val="22"/>
                <w:lang w:eastAsia="zh-CN" w:bidi="ar"/>
              </w:rPr>
              <w:t>I.</w:t>
            </w:r>
            <w:r w:rsidRPr="00250FC0">
              <w:rPr>
                <w:rFonts w:ascii="Arial" w:hAnsi="Arial" w:cs="Arial"/>
                <w:snapToGrid w:val="0"/>
                <w:sz w:val="22"/>
                <w:szCs w:val="22"/>
                <w:lang w:eastAsia="zh-CN" w:bidi="ar"/>
              </w:rPr>
              <w:t>) bude stanovena finanční oprava v poměrné výši zohledňující dosaženou hodnotu indikátoru k Rozhodnému datu a cílovou hodnotu indikátoru.</w:t>
            </w:r>
          </w:p>
          <w:p w14:paraId="3E11991B" w14:textId="77777777" w:rsidR="00250FC0" w:rsidRPr="00250FC0" w:rsidRDefault="00250FC0" w:rsidP="00250FC0">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250FC0">
              <w:rPr>
                <w:rFonts w:ascii="Arial" w:hAnsi="Arial" w:cs="Arial"/>
                <w:snapToGrid w:val="0"/>
                <w:sz w:val="22"/>
                <w:szCs w:val="22"/>
                <w:lang w:eastAsia="zh-CN" w:bidi="ar"/>
              </w:rPr>
              <w:t>V ostatních případech bude finanční oprava stanovena v poměrné výši zohledňující dosaženou hodnotu indikátoru k Rozhodnému datu a minimální hranici tolerančního pásma indikátoru v případě, kdy nedojde k naplnění cílové hodnoty u indikátoru:</w:t>
            </w:r>
            <w:r w:rsidRPr="00250FC0">
              <w:rPr>
                <w:rFonts w:ascii="Arial" w:hAnsi="Arial" w:cs="Arial"/>
                <w:snapToGrid w:val="0"/>
                <w:sz w:val="22"/>
                <w:szCs w:val="22"/>
              </w:rPr>
              <w:t xml:space="preserve"> </w:t>
            </w:r>
          </w:p>
          <w:p w14:paraId="7AA2F3A4" w14:textId="4D46389A" w:rsidR="004A6290" w:rsidRPr="00AD2C92" w:rsidRDefault="004A6290" w:rsidP="00250FC0">
            <w:pPr>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AF7AE3">
              <w:rPr>
                <w:rFonts w:ascii="Arial" w:hAnsi="Arial" w:cs="Arial"/>
                <w:i/>
                <w:iCs/>
                <w:snapToGrid w:val="0"/>
                <w:sz w:val="22"/>
                <w:szCs w:val="22"/>
                <w:lang w:eastAsia="zh-CN" w:bidi="ar"/>
              </w:rPr>
              <w:t>II.</w:t>
            </w:r>
            <w:r w:rsidRPr="00AF7AE3">
              <w:rPr>
                <w:rFonts w:ascii="Arial" w:hAnsi="Arial" w:cs="Arial"/>
                <w:snapToGrid w:val="0"/>
                <w:sz w:val="22"/>
                <w:szCs w:val="22"/>
                <w:lang w:eastAsia="zh-CN" w:bidi="ar"/>
              </w:rPr>
              <w:t xml:space="preserve"> alespoň na hodnotu rovnou cílové hodnotě</w:t>
            </w:r>
            <w:r>
              <w:rPr>
                <w:rFonts w:ascii="Arial" w:hAnsi="Arial" w:cs="Arial"/>
                <w:snapToGrid w:val="0"/>
                <w:sz w:val="22"/>
                <w:szCs w:val="22"/>
                <w:lang w:eastAsia="zh-CN" w:bidi="ar"/>
              </w:rPr>
              <w:t xml:space="preserve">. V případě, kdy </w:t>
            </w:r>
            <w:r w:rsidRPr="00706E98">
              <w:rPr>
                <w:rFonts w:ascii="Arial" w:hAnsi="Arial" w:cs="Arial"/>
                <w:sz w:val="22"/>
                <w:szCs w:val="22"/>
              </w:rPr>
              <w:t>je navýšení (rozdíl mezi cílovou a výchozí hodnotou) v</w:t>
            </w:r>
            <w:r>
              <w:rPr>
                <w:rFonts w:ascii="Arial" w:hAnsi="Arial" w:cs="Arial"/>
                <w:sz w:val="22"/>
                <w:szCs w:val="22"/>
              </w:rPr>
              <w:t>yšší</w:t>
            </w:r>
            <w:r w:rsidRPr="00706E98">
              <w:rPr>
                <w:rFonts w:ascii="Arial" w:hAnsi="Arial" w:cs="Arial"/>
                <w:sz w:val="22"/>
                <w:szCs w:val="22"/>
              </w:rPr>
              <w:t xml:space="preserve"> než minimální povinn</w:t>
            </w:r>
            <w:r>
              <w:rPr>
                <w:rFonts w:ascii="Arial" w:hAnsi="Arial" w:cs="Arial"/>
                <w:sz w:val="22"/>
                <w:szCs w:val="22"/>
              </w:rPr>
              <w:t xml:space="preserve">é navýšení, je povolená </w:t>
            </w:r>
            <w:r w:rsidRPr="00706E98">
              <w:rPr>
                <w:rFonts w:ascii="Arial" w:hAnsi="Arial" w:cs="Arial"/>
                <w:sz w:val="22"/>
                <w:szCs w:val="22"/>
              </w:rPr>
              <w:t xml:space="preserve">odchylka nenaplnění cílové hodnoty </w:t>
            </w:r>
            <w:r>
              <w:rPr>
                <w:rFonts w:ascii="Arial" w:hAnsi="Arial" w:cs="Arial"/>
                <w:sz w:val="22"/>
                <w:szCs w:val="22"/>
              </w:rPr>
              <w:t xml:space="preserve">minus </w:t>
            </w:r>
            <w:r w:rsidRPr="00706E98">
              <w:rPr>
                <w:rFonts w:ascii="Arial" w:hAnsi="Arial" w:cs="Arial"/>
                <w:sz w:val="22"/>
                <w:szCs w:val="22"/>
              </w:rPr>
              <w:t>1 (funkcionalita)</w:t>
            </w:r>
            <w:r>
              <w:rPr>
                <w:rFonts w:ascii="Arial" w:hAnsi="Arial" w:cs="Arial"/>
                <w:sz w:val="22"/>
                <w:szCs w:val="22"/>
              </w:rPr>
              <w:t>.</w:t>
            </w:r>
          </w:p>
          <w:p w14:paraId="50C57E3B" w14:textId="7061FFE5" w:rsidR="00250FC0" w:rsidRPr="00250FC0" w:rsidRDefault="00250FC0" w:rsidP="00250FC0">
            <w:pPr>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250FC0">
              <w:rPr>
                <w:rFonts w:ascii="Arial" w:hAnsi="Arial" w:cs="Arial"/>
                <w:i/>
                <w:iCs/>
                <w:snapToGrid w:val="0"/>
                <w:sz w:val="22"/>
                <w:szCs w:val="22"/>
                <w:lang w:eastAsia="zh-CN" w:bidi="ar"/>
              </w:rPr>
              <w:t>III</w:t>
            </w:r>
            <w:r w:rsidRPr="00250FC0">
              <w:rPr>
                <w:rFonts w:ascii="Arial" w:eastAsiaTheme="minorEastAsia" w:hAnsi="Arial" w:cs="Arial"/>
                <w:i/>
                <w:iCs/>
                <w:snapToGrid w:val="0"/>
                <w:sz w:val="22"/>
                <w:szCs w:val="22"/>
                <w:lang w:eastAsia="zh-CN" w:bidi="ar"/>
              </w:rPr>
              <w:t xml:space="preserve">. </w:t>
            </w:r>
            <w:r w:rsidRPr="00250FC0">
              <w:rPr>
                <w:rFonts w:ascii="Arial" w:eastAsiaTheme="minorEastAsia" w:hAnsi="Arial" w:cs="Arial"/>
                <w:snapToGrid w:val="0"/>
                <w:sz w:val="22"/>
                <w:szCs w:val="22"/>
                <w:lang w:eastAsia="zh-CN" w:bidi="ar"/>
              </w:rPr>
              <w:t xml:space="preserve">za období </w:t>
            </w:r>
            <w:r w:rsidRPr="00250FC0">
              <w:rPr>
                <w:rFonts w:ascii="Arial" w:eastAsiaTheme="minorEastAsia" w:hAnsi="Arial" w:cs="Arial"/>
                <w:sz w:val="22"/>
                <w:szCs w:val="22"/>
              </w:rPr>
              <w:t>prvního roku udržitelnosti</w:t>
            </w:r>
            <w:r w:rsidRPr="00250FC0">
              <w:rPr>
                <w:rFonts w:ascii="Arial" w:eastAsiaTheme="minorEastAsia" w:hAnsi="Arial" w:cs="Arial"/>
                <w:snapToGrid w:val="0"/>
                <w:sz w:val="22"/>
                <w:szCs w:val="22"/>
                <w:lang w:eastAsia="zh-CN" w:bidi="ar"/>
              </w:rPr>
              <w:t xml:space="preserve"> na 70 % a více.</w:t>
            </w:r>
          </w:p>
          <w:p w14:paraId="43886F68" w14:textId="3BD40C9E" w:rsidR="00250FC0" w:rsidRPr="00250FC0" w:rsidRDefault="00250FC0" w:rsidP="00250FC0">
            <w:pPr>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250FC0">
              <w:rPr>
                <w:rFonts w:ascii="Arial" w:hAnsi="Arial" w:cs="Arial"/>
                <w:i/>
                <w:iCs/>
                <w:snapToGrid w:val="0"/>
                <w:sz w:val="22"/>
                <w:szCs w:val="22"/>
                <w:lang w:eastAsia="zh-CN" w:bidi="ar"/>
              </w:rPr>
              <w:t>IV</w:t>
            </w:r>
            <w:r w:rsidRPr="00250FC0">
              <w:rPr>
                <w:rFonts w:ascii="Arial" w:eastAsiaTheme="minorEastAsia" w:hAnsi="Arial" w:cs="Arial"/>
                <w:i/>
                <w:iCs/>
                <w:snapToGrid w:val="0"/>
                <w:sz w:val="22"/>
                <w:szCs w:val="22"/>
                <w:lang w:eastAsia="zh-CN" w:bidi="ar"/>
              </w:rPr>
              <w:t>.</w:t>
            </w:r>
            <w:r w:rsidR="00EF6FB9">
              <w:rPr>
                <w:rFonts w:ascii="Arial" w:eastAsiaTheme="minorEastAsia" w:hAnsi="Arial" w:cs="Arial"/>
                <w:i/>
                <w:iCs/>
                <w:snapToGrid w:val="0"/>
                <w:sz w:val="22"/>
                <w:szCs w:val="22"/>
                <w:lang w:eastAsia="zh-CN" w:bidi="ar"/>
              </w:rPr>
              <w:t xml:space="preserve"> </w:t>
            </w:r>
            <w:r w:rsidRPr="00250FC0">
              <w:rPr>
                <w:rFonts w:ascii="Arial" w:eastAsiaTheme="minorEastAsia" w:hAnsi="Arial" w:cs="Arial"/>
                <w:snapToGrid w:val="0"/>
                <w:sz w:val="22"/>
                <w:szCs w:val="22"/>
                <w:lang w:eastAsia="zh-CN" w:bidi="ar"/>
              </w:rPr>
              <w:t xml:space="preserve">za období </w:t>
            </w:r>
            <w:r w:rsidRPr="00250FC0">
              <w:rPr>
                <w:rFonts w:ascii="Arial" w:eastAsiaTheme="minorEastAsia" w:hAnsi="Arial" w:cs="Arial"/>
                <w:sz w:val="22"/>
                <w:szCs w:val="22"/>
              </w:rPr>
              <w:t>prvního roku udržitelnosti</w:t>
            </w:r>
            <w:r w:rsidRPr="00250FC0">
              <w:rPr>
                <w:rFonts w:ascii="Arial" w:eastAsiaTheme="minorEastAsia" w:hAnsi="Arial" w:cs="Arial"/>
                <w:snapToGrid w:val="0"/>
                <w:sz w:val="22"/>
                <w:szCs w:val="22"/>
                <w:lang w:eastAsia="zh-CN" w:bidi="ar"/>
              </w:rPr>
              <w:t xml:space="preserve"> na 60 % a více.</w:t>
            </w:r>
          </w:p>
          <w:p w14:paraId="408BDE7F" w14:textId="15E96EF2" w:rsidR="009132E6" w:rsidRPr="00250FC0" w:rsidRDefault="009132E6" w:rsidP="00F50A11">
            <w:pPr>
              <w:spacing w:before="120" w:after="120" w:line="271" w:lineRule="auto"/>
              <w:jc w:val="both"/>
              <w:rPr>
                <w:rFonts w:ascii="Arial" w:hAnsi="Arial" w:cs="Arial"/>
                <w:sz w:val="22"/>
                <w:szCs w:val="22"/>
              </w:rPr>
            </w:pPr>
            <w:r w:rsidRPr="00250FC0">
              <w:rPr>
                <w:rFonts w:ascii="Arial" w:hAnsi="Arial" w:cs="Arial"/>
                <w:snapToGrid w:val="0"/>
                <w:sz w:val="22"/>
                <w:szCs w:val="22"/>
              </w:rPr>
              <w:t>Překročení</w:t>
            </w:r>
            <w:r w:rsidR="00502AD2" w:rsidRPr="00250FC0">
              <w:rPr>
                <w:rStyle w:val="Znakapoznpodarou"/>
                <w:rFonts w:ascii="Arial" w:hAnsi="Arial" w:cs="Arial"/>
                <w:snapToGrid w:val="0"/>
                <w:sz w:val="22"/>
                <w:szCs w:val="22"/>
              </w:rPr>
              <w:footnoteReference w:id="16"/>
            </w:r>
            <w:r w:rsidRPr="00250FC0">
              <w:rPr>
                <w:rFonts w:ascii="Arial" w:hAnsi="Arial" w:cs="Arial"/>
                <w:snapToGrid w:val="0"/>
                <w:sz w:val="22"/>
                <w:szCs w:val="22"/>
              </w:rPr>
              <w:t xml:space="preserve"> cílové hodnoty indikátorů nepodléhá finanční opravě</w:t>
            </w:r>
            <w:r w:rsidR="00171053" w:rsidRPr="00250FC0">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250FC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250FC0">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250FC0" w:rsidRDefault="009132E6" w:rsidP="0042247B">
            <w:pPr>
              <w:spacing w:before="120" w:after="120" w:line="271" w:lineRule="auto"/>
              <w:ind w:right="-2"/>
              <w:jc w:val="both"/>
              <w:rPr>
                <w:rFonts w:ascii="Arial" w:hAnsi="Arial" w:cs="Arial"/>
                <w:snapToGrid w:val="0"/>
                <w:sz w:val="22"/>
                <w:szCs w:val="22"/>
              </w:rPr>
            </w:pPr>
            <w:r w:rsidRPr="00250FC0">
              <w:rPr>
                <w:rFonts w:ascii="Arial" w:hAnsi="Arial" w:cs="Arial"/>
                <w:snapToGrid w:val="0"/>
                <w:sz w:val="22"/>
                <w:szCs w:val="22"/>
              </w:rPr>
              <w:t xml:space="preserve">Příjemce je povinen v době udržitelnosti </w:t>
            </w:r>
            <w:r w:rsidR="00477071" w:rsidRPr="00250FC0">
              <w:rPr>
                <w:rFonts w:ascii="Arial" w:hAnsi="Arial" w:cs="Arial"/>
                <w:snapToGrid w:val="0"/>
                <w:sz w:val="22"/>
                <w:szCs w:val="22"/>
              </w:rPr>
              <w:t xml:space="preserve">přinejmenším zachovat výši uvedených </w:t>
            </w:r>
            <w:r w:rsidRPr="00250FC0">
              <w:rPr>
                <w:rFonts w:ascii="Arial" w:hAnsi="Arial" w:cs="Arial"/>
                <w:snapToGrid w:val="0"/>
                <w:sz w:val="22"/>
                <w:szCs w:val="22"/>
              </w:rPr>
              <w:t>indikátor</w:t>
            </w:r>
            <w:r w:rsidR="00477071" w:rsidRPr="00250FC0">
              <w:rPr>
                <w:rFonts w:ascii="Arial" w:hAnsi="Arial" w:cs="Arial"/>
                <w:snapToGrid w:val="0"/>
                <w:sz w:val="22"/>
                <w:szCs w:val="22"/>
              </w:rPr>
              <w:t>ů dosaženou</w:t>
            </w:r>
            <w:r w:rsidR="00502AD2" w:rsidRPr="00250FC0">
              <w:rPr>
                <w:rFonts w:ascii="Arial" w:hAnsi="Arial" w:cs="Arial"/>
                <w:snapToGrid w:val="0"/>
                <w:sz w:val="22"/>
                <w:szCs w:val="22"/>
              </w:rPr>
              <w:t xml:space="preserve"> k Rozhodnému datu</w:t>
            </w:r>
            <w:r w:rsidRPr="00250FC0">
              <w:rPr>
                <w:rFonts w:ascii="Arial" w:hAnsi="Arial" w:cs="Arial"/>
                <w:snapToGrid w:val="0"/>
                <w:sz w:val="22"/>
                <w:szCs w:val="22"/>
              </w:rPr>
              <w:t>.</w:t>
            </w:r>
            <w:r w:rsidR="00477071" w:rsidRPr="00250FC0">
              <w:rPr>
                <w:rStyle w:val="Znakapoznpodarou"/>
                <w:rFonts w:ascii="Arial" w:hAnsi="Arial" w:cs="Arial"/>
                <w:snapToGrid w:val="0"/>
                <w:sz w:val="22"/>
                <w:szCs w:val="22"/>
              </w:rPr>
              <w:footnoteReference w:id="17"/>
            </w:r>
          </w:p>
          <w:p w14:paraId="14AB43D3" w14:textId="77777777" w:rsidR="00277403" w:rsidRPr="00250FC0" w:rsidRDefault="00277403" w:rsidP="00277403">
            <w:pPr>
              <w:spacing w:before="120" w:after="120" w:line="271" w:lineRule="auto"/>
              <w:ind w:right="-2"/>
              <w:jc w:val="both"/>
              <w:rPr>
                <w:rFonts w:ascii="Arial" w:hAnsi="Arial" w:cs="Arial"/>
                <w:snapToGrid w:val="0"/>
                <w:sz w:val="22"/>
                <w:szCs w:val="22"/>
              </w:rPr>
            </w:pPr>
            <w:r w:rsidRPr="00250FC0">
              <w:rPr>
                <w:rFonts w:ascii="Arial" w:hAnsi="Arial" w:cs="Arial"/>
                <w:snapToGrid w:val="0"/>
                <w:sz w:val="22"/>
                <w:szCs w:val="22"/>
              </w:rPr>
              <w:t>Indikátory:</w:t>
            </w:r>
          </w:p>
          <w:p w14:paraId="07F2EFD1" w14:textId="77777777" w:rsidR="00250FC0" w:rsidRPr="00250FC0" w:rsidRDefault="00250FC0" w:rsidP="00250FC0">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250FC0">
              <w:rPr>
                <w:rFonts w:ascii="Arial" w:hAnsi="Arial" w:cs="Arial"/>
                <w:i/>
                <w:iCs/>
                <w:snapToGrid w:val="0"/>
                <w:sz w:val="22"/>
                <w:szCs w:val="22"/>
              </w:rPr>
              <w:t xml:space="preserve">305 002 - Počet pořízených informačních systémů </w:t>
            </w:r>
          </w:p>
          <w:p w14:paraId="0DE6EBA9" w14:textId="77777777" w:rsidR="00250FC0" w:rsidRPr="00250FC0" w:rsidRDefault="00250FC0" w:rsidP="00250FC0">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250FC0">
              <w:rPr>
                <w:rFonts w:ascii="Arial" w:hAnsi="Arial" w:cs="Arial"/>
                <w:i/>
                <w:iCs/>
                <w:snapToGrid w:val="0"/>
                <w:sz w:val="22"/>
                <w:szCs w:val="22"/>
              </w:rPr>
              <w:t xml:space="preserve">305 150 - Nová funkcionalita informačního systému </w:t>
            </w:r>
          </w:p>
          <w:p w14:paraId="6EEB77DA" w14:textId="77777777" w:rsidR="00250FC0" w:rsidRPr="00250FC0" w:rsidRDefault="00250FC0" w:rsidP="00250FC0">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250FC0">
              <w:rPr>
                <w:rFonts w:ascii="Arial" w:hAnsi="Arial" w:cs="Arial"/>
                <w:i/>
                <w:iCs/>
                <w:snapToGrid w:val="0"/>
                <w:sz w:val="22"/>
                <w:szCs w:val="22"/>
              </w:rPr>
              <w:lastRenderedPageBreak/>
              <w:t xml:space="preserve">309 201 - Počet aktivních interních uživatelů systému </w:t>
            </w:r>
          </w:p>
          <w:p w14:paraId="5A61CEA5" w14:textId="77777777" w:rsidR="00250FC0" w:rsidRPr="00250FC0" w:rsidRDefault="00250FC0" w:rsidP="00250FC0">
            <w:pPr>
              <w:pStyle w:val="Odstavecseseznamem"/>
              <w:numPr>
                <w:ilvl w:val="0"/>
                <w:numId w:val="35"/>
              </w:numPr>
              <w:spacing w:before="120" w:after="120" w:line="271" w:lineRule="auto"/>
              <w:ind w:right="-2"/>
              <w:jc w:val="both"/>
              <w:rPr>
                <w:rFonts w:ascii="Arial" w:hAnsi="Arial" w:cs="Arial"/>
                <w:snapToGrid w:val="0"/>
                <w:sz w:val="22"/>
                <w:szCs w:val="22"/>
              </w:rPr>
            </w:pPr>
            <w:r w:rsidRPr="00250FC0">
              <w:rPr>
                <w:rFonts w:ascii="Arial" w:hAnsi="Arial" w:cs="Arial"/>
                <w:i/>
                <w:iCs/>
                <w:snapToGrid w:val="0"/>
                <w:sz w:val="22"/>
                <w:szCs w:val="22"/>
              </w:rPr>
              <w:t xml:space="preserve">309 301 - Počet aktivních externích uživatelů systému </w:t>
            </w:r>
          </w:p>
          <w:p w14:paraId="2BA0D56F" w14:textId="77777777" w:rsidR="009132E6" w:rsidRPr="00250FC0" w:rsidRDefault="009132E6" w:rsidP="0042247B">
            <w:pPr>
              <w:spacing w:before="120" w:after="120" w:line="271" w:lineRule="auto"/>
              <w:ind w:right="-2"/>
              <w:jc w:val="both"/>
              <w:rPr>
                <w:rFonts w:ascii="Arial" w:hAnsi="Arial" w:cs="Arial"/>
                <w:snapToGrid w:val="0"/>
                <w:sz w:val="22"/>
                <w:szCs w:val="22"/>
              </w:rPr>
            </w:pPr>
            <w:r w:rsidRPr="00250FC0">
              <w:rPr>
                <w:rFonts w:ascii="Arial" w:hAnsi="Arial" w:cs="Arial"/>
                <w:snapToGrid w:val="0"/>
                <w:sz w:val="22"/>
                <w:szCs w:val="22"/>
              </w:rPr>
              <w:t>Pro příjemce jsou závazné pouze indikátory uvedené v Rozhodnutí.</w:t>
            </w:r>
          </w:p>
        </w:tc>
        <w:tc>
          <w:tcPr>
            <w:tcW w:w="4534" w:type="dxa"/>
          </w:tcPr>
          <w:p w14:paraId="641DC929" w14:textId="15C15A93" w:rsidR="009132E6" w:rsidRPr="00250FC0" w:rsidRDefault="00FB1195" w:rsidP="0042247B">
            <w:pPr>
              <w:spacing w:before="120" w:after="120" w:line="271" w:lineRule="auto"/>
              <w:jc w:val="both"/>
              <w:rPr>
                <w:rFonts w:ascii="Arial" w:hAnsi="Arial" w:cs="Arial"/>
                <w:snapToGrid w:val="0"/>
                <w:sz w:val="22"/>
                <w:szCs w:val="22"/>
                <w:lang w:eastAsia="zh-CN" w:bidi="ar"/>
              </w:rPr>
            </w:pPr>
            <w:r w:rsidRPr="00250FC0">
              <w:rPr>
                <w:rFonts w:ascii="Arial" w:hAnsi="Arial" w:cs="Arial"/>
                <w:snapToGrid w:val="0"/>
                <w:sz w:val="22"/>
                <w:szCs w:val="22"/>
                <w:lang w:eastAsia="zh-CN" w:bidi="ar"/>
              </w:rPr>
              <w:lastRenderedPageBreak/>
              <w:t>Výše f</w:t>
            </w:r>
            <w:r w:rsidR="009132E6" w:rsidRPr="00250FC0">
              <w:rPr>
                <w:rFonts w:ascii="Arial" w:hAnsi="Arial" w:cs="Arial"/>
                <w:snapToGrid w:val="0"/>
                <w:sz w:val="22"/>
                <w:szCs w:val="22"/>
                <w:lang w:eastAsia="zh-CN" w:bidi="ar"/>
              </w:rPr>
              <w:t>inanční oprav</w:t>
            </w:r>
            <w:r w:rsidRPr="00250FC0">
              <w:rPr>
                <w:rFonts w:ascii="Arial" w:hAnsi="Arial" w:cs="Arial"/>
                <w:snapToGrid w:val="0"/>
                <w:sz w:val="22"/>
                <w:szCs w:val="22"/>
                <w:lang w:eastAsia="zh-CN" w:bidi="ar"/>
              </w:rPr>
              <w:t>y při neudržení dosažené hodnoty indikátorů k Rozhodnému datu</w:t>
            </w:r>
            <w:r w:rsidR="009132E6" w:rsidRPr="00250FC0">
              <w:rPr>
                <w:rFonts w:ascii="Arial" w:hAnsi="Arial" w:cs="Arial"/>
                <w:snapToGrid w:val="0"/>
                <w:sz w:val="22"/>
                <w:szCs w:val="22"/>
                <w:lang w:eastAsia="zh-CN" w:bidi="ar"/>
              </w:rPr>
              <w:t xml:space="preserve"> bude vyčíslena v rozmezí 0–100 %</w:t>
            </w:r>
            <w:r w:rsidRPr="00250FC0">
              <w:rPr>
                <w:rFonts w:ascii="Arial" w:hAnsi="Arial" w:cs="Arial"/>
                <w:snapToGrid w:val="0"/>
                <w:sz w:val="22"/>
                <w:szCs w:val="22"/>
                <w:lang w:eastAsia="zh-CN" w:bidi="ar"/>
              </w:rPr>
              <w:t>.</w:t>
            </w:r>
            <w:r w:rsidR="009132E6" w:rsidRPr="00250FC0">
              <w:rPr>
                <w:rFonts w:ascii="Arial" w:hAnsi="Arial" w:cs="Arial"/>
                <w:snapToGrid w:val="0"/>
                <w:sz w:val="22"/>
                <w:szCs w:val="22"/>
                <w:lang w:eastAsia="zh-CN" w:bidi="ar"/>
              </w:rPr>
              <w:t xml:space="preserve"> </w:t>
            </w:r>
            <w:r w:rsidRPr="00250FC0">
              <w:rPr>
                <w:rFonts w:ascii="Arial" w:hAnsi="Arial" w:cs="Arial"/>
                <w:snapToGrid w:val="0"/>
                <w:sz w:val="22"/>
                <w:szCs w:val="22"/>
                <w:lang w:eastAsia="zh-CN" w:bidi="ar"/>
              </w:rPr>
              <w:t>K</w:t>
            </w:r>
            <w:r w:rsidR="009132E6" w:rsidRPr="00250FC0">
              <w:rPr>
                <w:rFonts w:ascii="Arial" w:hAnsi="Arial" w:cs="Arial"/>
                <w:snapToGrid w:val="0"/>
                <w:sz w:val="22"/>
                <w:szCs w:val="22"/>
                <w:lang w:eastAsia="zh-CN" w:bidi="ar"/>
              </w:rPr>
              <w:t xml:space="preserve">onkrétní výše </w:t>
            </w:r>
            <w:r w:rsidRPr="00250FC0">
              <w:rPr>
                <w:rFonts w:ascii="Arial" w:hAnsi="Arial" w:cs="Arial"/>
                <w:snapToGrid w:val="0"/>
                <w:sz w:val="22"/>
                <w:szCs w:val="22"/>
                <w:lang w:eastAsia="zh-CN" w:bidi="ar"/>
              </w:rPr>
              <w:t>je stanovena podle následujících pravidel</w:t>
            </w:r>
            <w:r w:rsidR="009132E6" w:rsidRPr="00250FC0">
              <w:rPr>
                <w:rFonts w:ascii="Arial" w:hAnsi="Arial" w:cs="Arial"/>
                <w:snapToGrid w:val="0"/>
                <w:sz w:val="22"/>
                <w:szCs w:val="22"/>
                <w:lang w:eastAsia="zh-CN" w:bidi="ar"/>
              </w:rPr>
              <w:t>:</w:t>
            </w:r>
          </w:p>
          <w:p w14:paraId="0C093077" w14:textId="65FA4225" w:rsidR="00250FC0" w:rsidRPr="00250FC0" w:rsidRDefault="00250FC0" w:rsidP="00250FC0">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250FC0">
              <w:rPr>
                <w:rFonts w:ascii="Arial" w:hAnsi="Arial" w:cs="Arial"/>
                <w:snapToGrid w:val="0"/>
                <w:sz w:val="22"/>
                <w:szCs w:val="22"/>
                <w:lang w:eastAsia="zh-CN" w:bidi="ar"/>
              </w:rPr>
              <w:t xml:space="preserve">U indikátorů, u kterých došlo k aplikaci finanční opravy podle bodu </w:t>
            </w:r>
            <w:r w:rsidRPr="00250FC0">
              <w:rPr>
                <w:rFonts w:ascii="Arial" w:hAnsi="Arial" w:cs="Arial"/>
                <w:snapToGrid w:val="0"/>
                <w:sz w:val="22"/>
                <w:szCs w:val="22"/>
                <w:shd w:val="clear" w:color="auto" w:fill="FFFFFF" w:themeFill="background1"/>
                <w:lang w:eastAsia="zh-CN" w:bidi="ar"/>
              </w:rPr>
              <w:t xml:space="preserve">6 </w:t>
            </w:r>
            <w:r w:rsidRPr="00250FC0">
              <w:rPr>
                <w:rFonts w:ascii="Arial" w:hAnsi="Arial" w:cs="Arial"/>
                <w:i/>
                <w:iCs/>
                <w:snapToGrid w:val="0"/>
                <w:sz w:val="22"/>
                <w:szCs w:val="22"/>
                <w:lang w:eastAsia="zh-CN" w:bidi="ar"/>
              </w:rPr>
              <w:t>(vyjma indikátoru III</w:t>
            </w:r>
            <w:r w:rsidR="00E00701">
              <w:rPr>
                <w:rFonts w:ascii="Arial" w:hAnsi="Arial" w:cs="Arial"/>
                <w:i/>
                <w:iCs/>
                <w:snapToGrid w:val="0"/>
                <w:sz w:val="22"/>
                <w:szCs w:val="22"/>
                <w:lang w:eastAsia="zh-CN" w:bidi="ar"/>
              </w:rPr>
              <w:t>.</w:t>
            </w:r>
            <w:r w:rsidRPr="00250FC0">
              <w:rPr>
                <w:rFonts w:ascii="Arial" w:hAnsi="Arial" w:cs="Arial"/>
                <w:i/>
                <w:iCs/>
                <w:snapToGrid w:val="0"/>
                <w:sz w:val="22"/>
                <w:szCs w:val="22"/>
                <w:lang w:eastAsia="zh-CN" w:bidi="ar"/>
              </w:rPr>
              <w:t xml:space="preserve"> a IV</w:t>
            </w:r>
            <w:r w:rsidRPr="00250FC0">
              <w:rPr>
                <w:rFonts w:ascii="Arial" w:hAnsi="Arial" w:cs="Arial"/>
                <w:i/>
                <w:iCs/>
                <w:snapToGrid w:val="0"/>
                <w:sz w:val="22"/>
                <w:szCs w:val="22"/>
                <w:shd w:val="clear" w:color="auto" w:fill="FFFFFF" w:themeFill="background1"/>
                <w:lang w:eastAsia="zh-CN" w:bidi="ar"/>
              </w:rPr>
              <w:t>.)</w:t>
            </w:r>
            <w:r w:rsidRPr="00250FC0">
              <w:rPr>
                <w:rFonts w:ascii="Arial" w:hAnsi="Arial" w:cs="Arial"/>
                <w:snapToGrid w:val="0"/>
                <w:sz w:val="22"/>
                <w:szCs w:val="22"/>
                <w:lang w:eastAsia="zh-CN" w:bidi="ar"/>
              </w:rPr>
              <w:t xml:space="preserve"> a u indikátorů bez stanoveného tolerančního pásma </w:t>
            </w:r>
            <w:r w:rsidRPr="00250FC0">
              <w:rPr>
                <w:rFonts w:ascii="Arial" w:hAnsi="Arial" w:cs="Arial"/>
                <w:snapToGrid w:val="0"/>
                <w:sz w:val="22"/>
                <w:szCs w:val="22"/>
                <w:lang w:eastAsia="zh-CN" w:bidi="ar"/>
              </w:rPr>
              <w:lastRenderedPageBreak/>
              <w:t xml:space="preserve">(indikátor </w:t>
            </w:r>
            <w:r w:rsidRPr="00250FC0">
              <w:rPr>
                <w:rFonts w:ascii="Arial" w:hAnsi="Arial" w:cs="Arial"/>
                <w:i/>
                <w:iCs/>
                <w:snapToGrid w:val="0"/>
                <w:sz w:val="22"/>
                <w:szCs w:val="22"/>
                <w:lang w:eastAsia="zh-CN" w:bidi="ar"/>
              </w:rPr>
              <w:t>I.</w:t>
            </w:r>
            <w:r w:rsidRPr="00250FC0">
              <w:rPr>
                <w:rFonts w:ascii="Arial" w:hAnsi="Arial" w:cs="Arial"/>
                <w:snapToGrid w:val="0"/>
                <w:sz w:val="22"/>
                <w:szCs w:val="22"/>
                <w:lang w:eastAsia="zh-CN" w:bidi="ar"/>
              </w:rPr>
              <w:t>), bude stanovena finanční oprava v poměrné výši zohledňující skutečně udrženou hodnotu indikátoru</w:t>
            </w:r>
            <w:r w:rsidRPr="00250FC0" w:rsidDel="00803BAC">
              <w:rPr>
                <w:rFonts w:ascii="Arial" w:hAnsi="Arial" w:cs="Arial"/>
                <w:snapToGrid w:val="0"/>
                <w:sz w:val="22"/>
                <w:szCs w:val="22"/>
                <w:lang w:eastAsia="zh-CN" w:bidi="ar"/>
              </w:rPr>
              <w:t xml:space="preserve"> </w:t>
            </w:r>
            <w:r w:rsidRPr="00250FC0">
              <w:rPr>
                <w:rFonts w:ascii="Arial" w:hAnsi="Arial" w:cs="Arial"/>
                <w:snapToGrid w:val="0"/>
                <w:sz w:val="22"/>
                <w:szCs w:val="22"/>
                <w:lang w:eastAsia="zh-CN" w:bidi="ar"/>
              </w:rPr>
              <w:t>a dosaženou hodnotu indikátoru k Rozhodnému datu. </w:t>
            </w:r>
          </w:p>
          <w:p w14:paraId="5794FA48" w14:textId="77777777" w:rsidR="00250FC0" w:rsidRPr="00250FC0" w:rsidRDefault="00250FC0" w:rsidP="00250FC0">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250FC0">
              <w:rPr>
                <w:rFonts w:ascii="Arial" w:hAnsi="Arial" w:cs="Arial"/>
                <w:snapToGrid w:val="0"/>
                <w:sz w:val="22"/>
                <w:szCs w:val="22"/>
                <w:lang w:eastAsia="zh-CN" w:bidi="ar"/>
              </w:rPr>
              <w:t>V ostatních případech bude stanovena finanční oprava v poměrné výši zohledňující skutečně udrženou hodnotu indikátoru</w:t>
            </w:r>
            <w:r w:rsidRPr="00250FC0" w:rsidDel="00803BAC">
              <w:rPr>
                <w:rFonts w:ascii="Arial" w:hAnsi="Arial" w:cs="Arial"/>
                <w:snapToGrid w:val="0"/>
                <w:sz w:val="22"/>
                <w:szCs w:val="22"/>
                <w:lang w:eastAsia="zh-CN" w:bidi="ar"/>
              </w:rPr>
              <w:t xml:space="preserve"> </w:t>
            </w:r>
            <w:r w:rsidRPr="00250FC0">
              <w:rPr>
                <w:rFonts w:ascii="Arial" w:hAnsi="Arial" w:cs="Arial"/>
                <w:snapToGrid w:val="0"/>
                <w:sz w:val="22"/>
                <w:szCs w:val="22"/>
                <w:lang w:eastAsia="zh-CN" w:bidi="ar"/>
              </w:rPr>
              <w:t xml:space="preserve">a minimální hranici tolerančního pásma indikátoru v případě, kdy nedojde k udržení u indikátoru: </w:t>
            </w:r>
          </w:p>
          <w:p w14:paraId="381E74CA" w14:textId="77777777" w:rsidR="004A6290" w:rsidRPr="00801057" w:rsidRDefault="004A6290" w:rsidP="004A6290">
            <w:pPr>
              <w:numPr>
                <w:ilvl w:val="0"/>
                <w:numId w:val="16"/>
              </w:numPr>
              <w:spacing w:before="120" w:after="120" w:line="271" w:lineRule="auto"/>
              <w:ind w:left="601" w:hanging="283"/>
              <w:jc w:val="both"/>
              <w:rPr>
                <w:rFonts w:ascii="Arial" w:hAnsi="Arial" w:cs="Arial"/>
                <w:snapToGrid w:val="0"/>
                <w:sz w:val="22"/>
                <w:szCs w:val="22"/>
                <w:lang w:eastAsia="zh-CN" w:bidi="ar"/>
              </w:rPr>
            </w:pPr>
            <w:r w:rsidRPr="00AF7AE3">
              <w:rPr>
                <w:rFonts w:ascii="Arial" w:hAnsi="Arial" w:cs="Arial"/>
                <w:i/>
                <w:iCs/>
                <w:snapToGrid w:val="0"/>
                <w:sz w:val="22"/>
                <w:szCs w:val="22"/>
                <w:lang w:eastAsia="zh-CN" w:bidi="ar"/>
              </w:rPr>
              <w:t>II.</w:t>
            </w:r>
            <w:r w:rsidRPr="00AF7AE3">
              <w:rPr>
                <w:rFonts w:ascii="Arial" w:hAnsi="Arial" w:cs="Arial"/>
                <w:snapToGrid w:val="0"/>
                <w:sz w:val="22"/>
                <w:szCs w:val="22"/>
                <w:lang w:eastAsia="zh-CN" w:bidi="ar"/>
              </w:rPr>
              <w:t xml:space="preserve"> alespoň na hodnotu rovnou cílové hodnotě</w:t>
            </w:r>
            <w:r>
              <w:rPr>
                <w:rFonts w:ascii="Arial" w:hAnsi="Arial" w:cs="Arial"/>
                <w:snapToGrid w:val="0"/>
                <w:sz w:val="22"/>
                <w:szCs w:val="22"/>
                <w:lang w:eastAsia="zh-CN" w:bidi="ar"/>
              </w:rPr>
              <w:t>.</w:t>
            </w:r>
            <w:r w:rsidRPr="00AF7AE3">
              <w:rPr>
                <w:rFonts w:ascii="Arial" w:hAnsi="Arial" w:cs="Arial"/>
                <w:snapToGrid w:val="0"/>
                <w:sz w:val="22"/>
                <w:szCs w:val="22"/>
                <w:lang w:eastAsia="zh-CN" w:bidi="ar"/>
              </w:rPr>
              <w:t xml:space="preserve"> </w:t>
            </w:r>
            <w:r w:rsidRPr="00801057">
              <w:rPr>
                <w:rFonts w:ascii="Arial" w:hAnsi="Arial" w:cs="Arial"/>
                <w:snapToGrid w:val="0"/>
                <w:sz w:val="22"/>
                <w:szCs w:val="22"/>
                <w:lang w:eastAsia="zh-CN" w:bidi="ar"/>
              </w:rPr>
              <w:t xml:space="preserve">V případě, kdy </w:t>
            </w:r>
            <w:r w:rsidRPr="00801057">
              <w:rPr>
                <w:rFonts w:ascii="Arial" w:hAnsi="Arial" w:cs="Arial"/>
                <w:sz w:val="22"/>
                <w:szCs w:val="22"/>
              </w:rPr>
              <w:t>je navýšení (rozdíl mezi cílovou a výchozí hodnotou) vyšší než minimální povinné navýšení, je povolená odchylka nenaplnění cílové hodnoty minus 1 (funkcionalita).</w:t>
            </w:r>
          </w:p>
          <w:p w14:paraId="3CAD3FFA" w14:textId="77777777" w:rsidR="00250FC0" w:rsidRPr="00250FC0" w:rsidRDefault="00250FC0" w:rsidP="00250FC0">
            <w:pPr>
              <w:numPr>
                <w:ilvl w:val="0"/>
                <w:numId w:val="16"/>
              </w:numPr>
              <w:spacing w:before="120" w:after="120" w:line="271" w:lineRule="auto"/>
              <w:ind w:left="601" w:hanging="283"/>
              <w:jc w:val="both"/>
              <w:rPr>
                <w:rFonts w:ascii="Arial" w:hAnsi="Arial" w:cs="Arial"/>
                <w:snapToGrid w:val="0"/>
                <w:sz w:val="22"/>
                <w:szCs w:val="22"/>
                <w:lang w:eastAsia="zh-CN" w:bidi="ar"/>
              </w:rPr>
            </w:pPr>
            <w:r w:rsidRPr="00250FC0">
              <w:rPr>
                <w:rFonts w:ascii="Arial" w:hAnsi="Arial" w:cs="Arial"/>
                <w:i/>
                <w:iCs/>
                <w:snapToGrid w:val="0"/>
                <w:sz w:val="22"/>
                <w:szCs w:val="22"/>
                <w:lang w:eastAsia="zh-CN" w:bidi="ar"/>
              </w:rPr>
              <w:t>III.</w:t>
            </w:r>
            <w:r w:rsidRPr="00250FC0">
              <w:rPr>
                <w:rFonts w:ascii="Arial" w:hAnsi="Arial" w:cs="Arial"/>
                <w:snapToGrid w:val="0"/>
                <w:sz w:val="22"/>
                <w:szCs w:val="22"/>
                <w:lang w:eastAsia="zh-CN" w:bidi="ar"/>
              </w:rPr>
              <w:t xml:space="preserve"> na 70 % cílové hodnoty a více.</w:t>
            </w:r>
          </w:p>
          <w:p w14:paraId="5D7C2EA3" w14:textId="77777777" w:rsidR="00250FC0" w:rsidRPr="00250FC0" w:rsidRDefault="00250FC0" w:rsidP="00250FC0">
            <w:pPr>
              <w:numPr>
                <w:ilvl w:val="0"/>
                <w:numId w:val="16"/>
              </w:numPr>
              <w:spacing w:before="120" w:after="120" w:line="271" w:lineRule="auto"/>
              <w:ind w:left="601" w:hanging="283"/>
              <w:jc w:val="both"/>
              <w:rPr>
                <w:rFonts w:ascii="Arial" w:hAnsi="Arial" w:cs="Arial"/>
                <w:snapToGrid w:val="0"/>
                <w:sz w:val="22"/>
                <w:szCs w:val="22"/>
                <w:lang w:eastAsia="zh-CN" w:bidi="ar"/>
              </w:rPr>
            </w:pPr>
            <w:r w:rsidRPr="00250FC0">
              <w:rPr>
                <w:rFonts w:ascii="Arial" w:hAnsi="Arial" w:cs="Arial"/>
                <w:i/>
                <w:iCs/>
                <w:snapToGrid w:val="0"/>
                <w:sz w:val="22"/>
                <w:szCs w:val="22"/>
                <w:lang w:eastAsia="zh-CN" w:bidi="ar"/>
              </w:rPr>
              <w:t>IV.</w:t>
            </w:r>
            <w:r w:rsidRPr="00250FC0">
              <w:rPr>
                <w:rFonts w:ascii="Arial" w:hAnsi="Arial" w:cs="Arial"/>
                <w:snapToGrid w:val="0"/>
                <w:sz w:val="22"/>
                <w:szCs w:val="22"/>
                <w:lang w:eastAsia="zh-CN" w:bidi="ar"/>
              </w:rPr>
              <w:t xml:space="preserve"> na 60 % cílové hodnoty a více.</w:t>
            </w:r>
          </w:p>
          <w:p w14:paraId="001614BC" w14:textId="77777777" w:rsidR="00250FC0" w:rsidRPr="00250FC0" w:rsidRDefault="00250FC0" w:rsidP="00250FC0">
            <w:pPr>
              <w:spacing w:before="120" w:after="120" w:line="271" w:lineRule="auto"/>
              <w:jc w:val="both"/>
              <w:rPr>
                <w:rFonts w:ascii="Arial" w:hAnsi="Arial" w:cs="Arial"/>
                <w:sz w:val="22"/>
                <w:szCs w:val="22"/>
              </w:rPr>
            </w:pPr>
            <w:r w:rsidRPr="00250FC0">
              <w:rPr>
                <w:rFonts w:ascii="Arial" w:hAnsi="Arial" w:cs="Arial"/>
                <w:sz w:val="22"/>
                <w:szCs w:val="22"/>
                <w:lang w:eastAsia="zh-CN" w:bidi="ar"/>
              </w:rPr>
              <w:t>Do vzorce výpočtu bude promítnuta délka zkoumaného období a bude zohledněna délka doby, po kterou příjemce indikátory neudržel.</w:t>
            </w:r>
            <w:r w:rsidRPr="00250FC0">
              <w:rPr>
                <w:rFonts w:ascii="Arial" w:hAnsi="Arial" w:cs="Arial"/>
                <w:sz w:val="22"/>
                <w:szCs w:val="22"/>
              </w:rPr>
              <w:t xml:space="preserve"> </w:t>
            </w:r>
          </w:p>
          <w:p w14:paraId="6A262AE3" w14:textId="77777777" w:rsidR="00250FC0" w:rsidRPr="00250FC0" w:rsidRDefault="00250FC0" w:rsidP="00250FC0">
            <w:pPr>
              <w:spacing w:before="120" w:after="120" w:line="271" w:lineRule="auto"/>
              <w:jc w:val="both"/>
              <w:rPr>
                <w:rFonts w:ascii="Arial" w:hAnsi="Arial" w:cs="Arial"/>
                <w:snapToGrid w:val="0"/>
                <w:sz w:val="22"/>
                <w:szCs w:val="22"/>
              </w:rPr>
            </w:pPr>
            <w:r w:rsidRPr="00250FC0">
              <w:rPr>
                <w:rFonts w:ascii="Arial" w:hAnsi="Arial" w:cs="Arial"/>
                <w:snapToGrid w:val="0"/>
                <w:sz w:val="22"/>
                <w:szCs w:val="22"/>
              </w:rPr>
              <w:t>V případě indikátorů (</w:t>
            </w:r>
            <w:r w:rsidRPr="00250FC0">
              <w:rPr>
                <w:rFonts w:ascii="Arial" w:hAnsi="Arial" w:cs="Arial"/>
                <w:i/>
                <w:iCs/>
                <w:snapToGrid w:val="0"/>
                <w:sz w:val="22"/>
                <w:szCs w:val="22"/>
              </w:rPr>
              <w:t>III a IV.</w:t>
            </w:r>
            <w:r w:rsidRPr="00250FC0">
              <w:rPr>
                <w:rFonts w:ascii="Arial" w:hAnsi="Arial" w:cs="Arial"/>
                <w:snapToGrid w:val="0"/>
                <w:sz w:val="22"/>
                <w:szCs w:val="22"/>
              </w:rPr>
              <w:t>) naplňovaných za 1. rok udržitelnosti je jejich udržení zkoumáno až od 2. roku udržitelnosti a je postupováno vždy dle bodu b).</w:t>
            </w:r>
          </w:p>
          <w:p w14:paraId="52A97C33" w14:textId="2E0CF6BC" w:rsidR="009132E6" w:rsidRPr="00250FC0" w:rsidRDefault="009132E6" w:rsidP="0042247B">
            <w:pPr>
              <w:spacing w:before="120" w:after="120" w:line="271" w:lineRule="auto"/>
              <w:jc w:val="both"/>
              <w:rPr>
                <w:rFonts w:ascii="Arial" w:hAnsi="Arial" w:cs="Arial"/>
                <w:snapToGrid w:val="0"/>
                <w:sz w:val="22"/>
                <w:szCs w:val="22"/>
                <w:lang w:eastAsia="zh-CN" w:bidi="ar"/>
              </w:rPr>
            </w:pPr>
            <w:r w:rsidRPr="00250FC0">
              <w:rPr>
                <w:rFonts w:ascii="Arial" w:hAnsi="Arial" w:cs="Arial"/>
                <w:snapToGrid w:val="0"/>
                <w:sz w:val="22"/>
                <w:szCs w:val="22"/>
              </w:rPr>
              <w:t>Udržování vyšší</w:t>
            </w:r>
            <w:r w:rsidR="003950CF" w:rsidRPr="00250FC0">
              <w:rPr>
                <w:rStyle w:val="Znakapoznpodarou"/>
                <w:rFonts w:ascii="Arial" w:hAnsi="Arial" w:cs="Arial"/>
                <w:snapToGrid w:val="0"/>
                <w:sz w:val="22"/>
                <w:szCs w:val="22"/>
              </w:rPr>
              <w:footnoteReference w:id="18"/>
            </w:r>
            <w:r w:rsidRPr="00250FC0">
              <w:rPr>
                <w:rFonts w:ascii="Arial" w:hAnsi="Arial" w:cs="Arial"/>
                <w:snapToGrid w:val="0"/>
                <w:sz w:val="22"/>
                <w:szCs w:val="22"/>
              </w:rPr>
              <w:t xml:space="preserve"> než cílové hodnoty či další zlepšení dosažené hodnoty </w:t>
            </w:r>
            <w:r w:rsidR="00502AD2" w:rsidRPr="00250FC0">
              <w:rPr>
                <w:rFonts w:ascii="Arial" w:hAnsi="Arial" w:cs="Arial"/>
                <w:snapToGrid w:val="0"/>
                <w:sz w:val="22"/>
                <w:szCs w:val="22"/>
              </w:rPr>
              <w:t xml:space="preserve">k Rozhodnému datu </w:t>
            </w:r>
            <w:r w:rsidRPr="00250FC0">
              <w:rPr>
                <w:rFonts w:ascii="Arial" w:hAnsi="Arial" w:cs="Arial"/>
                <w:snapToGrid w:val="0"/>
                <w:sz w:val="22"/>
                <w:szCs w:val="22"/>
              </w:rPr>
              <w:t>v době udržitelnosti nepodléhá finanční opravě.</w:t>
            </w:r>
            <w:r w:rsidRPr="00250FC0">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7B1B68A5"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9F444A">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lastRenderedPageBreak/>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44D921F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w:t>
            </w:r>
            <w:r w:rsidRPr="00BF657C">
              <w:rPr>
                <w:rFonts w:ascii="Arial" w:hAnsi="Arial" w:cs="Arial"/>
                <w:snapToGrid w:val="0"/>
                <w:sz w:val="22"/>
                <w:szCs w:val="22"/>
              </w:rPr>
              <w:lastRenderedPageBreak/>
              <w:t>Platebního orgánu (dále jen „</w:t>
            </w:r>
            <w:r w:rsidR="009609F3" w:rsidRPr="00BF657C">
              <w:rPr>
                <w:rFonts w:ascii="Arial" w:hAnsi="Arial" w:cs="Arial"/>
                <w:snapToGrid w:val="0"/>
                <w:sz w:val="22"/>
                <w:szCs w:val="22"/>
              </w:rPr>
              <w:t>MF – PO</w:t>
            </w:r>
            <w:r w:rsidRPr="00BF657C">
              <w:rPr>
                <w:rFonts w:ascii="Arial" w:hAnsi="Arial" w:cs="Arial"/>
                <w:snapToGrid w:val="0"/>
                <w:sz w:val="22"/>
                <w:szCs w:val="22"/>
              </w:rPr>
              <w:t xml:space="preserve">“),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9609F3" w:rsidRPr="00BF657C">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lastRenderedPageBreak/>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58F7E90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 xml:space="preserve">V případě neprovedení opatření k nápravě ve stanovené lhůtě bude stanovena finanční </w:t>
            </w:r>
            <w:r w:rsidRPr="00BF657C">
              <w:rPr>
                <w:rFonts w:ascii="Arial" w:hAnsi="Arial" w:cs="Arial"/>
                <w:snapToGrid w:val="0"/>
                <w:sz w:val="22"/>
                <w:szCs w:val="22"/>
              </w:rPr>
              <w:lastRenderedPageBreak/>
              <w:t>oprava ve výši 0,5 % z celkové částky dotace uvedené v Rozhodnutí.</w:t>
            </w:r>
          </w:p>
          <w:p w14:paraId="4CC4F6F7" w14:textId="77777777" w:rsidR="009132E6"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p w14:paraId="1E50F634" w14:textId="77777777" w:rsidR="00E90524" w:rsidRDefault="00E90524" w:rsidP="0042247B">
            <w:pPr>
              <w:spacing w:before="120" w:after="120" w:line="271" w:lineRule="auto"/>
              <w:jc w:val="both"/>
              <w:rPr>
                <w:rFonts w:ascii="Arial" w:hAnsi="Arial" w:cs="Arial"/>
                <w:snapToGrid w:val="0"/>
                <w:sz w:val="22"/>
                <w:szCs w:val="22"/>
              </w:rPr>
            </w:pPr>
          </w:p>
          <w:p w14:paraId="7C6D95EB" w14:textId="3B43423D" w:rsidR="00E90524" w:rsidRPr="00BF657C" w:rsidRDefault="00E90524" w:rsidP="0042247B">
            <w:pPr>
              <w:spacing w:before="120" w:after="120" w:line="271" w:lineRule="auto"/>
              <w:jc w:val="both"/>
              <w:rPr>
                <w:rFonts w:ascii="Arial" w:hAnsi="Arial" w:cs="Arial"/>
                <w:snapToGrid w:val="0"/>
                <w:sz w:val="22"/>
                <w:szCs w:val="22"/>
              </w:rPr>
            </w:pPr>
          </w:p>
        </w:tc>
      </w:tr>
      <w:tr w:rsidR="00AE3C93" w:rsidRPr="00807DF1" w14:paraId="70958C81" w14:textId="77777777" w:rsidTr="003511B6">
        <w:trPr>
          <w:trHeight w:val="410"/>
        </w:trPr>
        <w:tc>
          <w:tcPr>
            <w:tcW w:w="9067" w:type="dxa"/>
            <w:gridSpan w:val="2"/>
            <w:shd w:val="clear" w:color="auto" w:fill="D9D9D9" w:themeFill="background1" w:themeFillShade="D9"/>
          </w:tcPr>
          <w:p w14:paraId="4ACB33F8" w14:textId="2F078E3A" w:rsidR="00AE3C93" w:rsidRPr="00807DF1" w:rsidRDefault="009A1352" w:rsidP="00AE3C93">
            <w:pPr>
              <w:pStyle w:val="Odstavecseseznamem"/>
              <w:numPr>
                <w:ilvl w:val="0"/>
                <w:numId w:val="25"/>
              </w:numPr>
              <w:spacing w:before="120" w:after="120" w:line="271" w:lineRule="auto"/>
              <w:ind w:left="22" w:firstLine="0"/>
              <w:jc w:val="both"/>
              <w:rPr>
                <w:rFonts w:ascii="Arial" w:hAnsi="Arial" w:cs="Arial"/>
                <w:b/>
                <w:bCs/>
                <w:snapToGrid w:val="0"/>
                <w:sz w:val="22"/>
                <w:szCs w:val="22"/>
              </w:rPr>
            </w:pPr>
            <w:r>
              <w:rPr>
                <w:rFonts w:ascii="Arial" w:hAnsi="Arial" w:cs="Arial"/>
                <w:b/>
                <w:bCs/>
                <w:snapToGrid w:val="0"/>
                <w:sz w:val="22"/>
                <w:szCs w:val="22"/>
              </w:rPr>
              <w:lastRenderedPageBreak/>
              <w:t xml:space="preserve"> </w:t>
            </w:r>
            <w:r w:rsidR="00AE3C93" w:rsidRPr="00AE3C93">
              <w:rPr>
                <w:rFonts w:ascii="Arial" w:hAnsi="Arial" w:cs="Arial"/>
                <w:b/>
                <w:bCs/>
                <w:snapToGrid w:val="0"/>
                <w:sz w:val="22"/>
                <w:szCs w:val="22"/>
              </w:rPr>
              <w:t>Služby obecného hospodářského zájmu</w:t>
            </w:r>
          </w:p>
        </w:tc>
      </w:tr>
      <w:tr w:rsidR="00807DF1" w:rsidRPr="00BF657C" w14:paraId="59E61E65" w14:textId="77777777" w:rsidTr="00755826">
        <w:trPr>
          <w:trHeight w:val="410"/>
        </w:trPr>
        <w:tc>
          <w:tcPr>
            <w:tcW w:w="4533" w:type="dxa"/>
          </w:tcPr>
          <w:p w14:paraId="15C21C9E" w14:textId="39B285A9" w:rsidR="00AE3C93" w:rsidRPr="00AE3C93" w:rsidRDefault="00AE3C93" w:rsidP="00AE3C93">
            <w:pPr>
              <w:spacing w:before="120" w:after="120" w:line="271" w:lineRule="auto"/>
              <w:jc w:val="both"/>
              <w:rPr>
                <w:rFonts w:ascii="Arial" w:hAnsi="Arial" w:cs="Arial"/>
                <w:snapToGrid w:val="0"/>
                <w:sz w:val="22"/>
                <w:szCs w:val="22"/>
              </w:rPr>
            </w:pPr>
            <w:r w:rsidRPr="00AE3C93">
              <w:rPr>
                <w:rFonts w:ascii="Arial" w:hAnsi="Arial" w:cs="Arial"/>
                <w:snapToGrid w:val="0"/>
                <w:sz w:val="22"/>
                <w:szCs w:val="22"/>
              </w:rPr>
              <w:t>Poskytovatel služby obecného hospodářského zájmu (dále jen „SOHZ“) musí být pověřen k výkonu SOHZ v souladu s Rozhodnutím 2012/21/EU po celou dobu životnosti investice.</w:t>
            </w:r>
          </w:p>
          <w:p w14:paraId="343C21C8" w14:textId="52D0A813" w:rsidR="00807DF1" w:rsidRPr="00BF657C" w:rsidRDefault="00AE3C93" w:rsidP="00AE3C93">
            <w:pPr>
              <w:spacing w:before="120" w:after="120" w:line="271" w:lineRule="auto"/>
              <w:jc w:val="both"/>
              <w:rPr>
                <w:rFonts w:ascii="Arial" w:hAnsi="Arial" w:cs="Arial"/>
                <w:snapToGrid w:val="0"/>
                <w:sz w:val="22"/>
                <w:szCs w:val="22"/>
              </w:rPr>
            </w:pPr>
            <w:r w:rsidRPr="00AE3C93">
              <w:rPr>
                <w:rFonts w:ascii="Arial" w:hAnsi="Arial" w:cs="Arial"/>
                <w:snapToGrid w:val="0"/>
                <w:sz w:val="22"/>
                <w:szCs w:val="22"/>
              </w:rPr>
              <w:t>Pokud bude poskytovatel služby pověřen více pověřovacími akty, je povinen zajistit jejich kontinuální návaznost.</w:t>
            </w:r>
          </w:p>
        </w:tc>
        <w:tc>
          <w:tcPr>
            <w:tcW w:w="4534" w:type="dxa"/>
          </w:tcPr>
          <w:p w14:paraId="01E8C54F" w14:textId="205C6B4D" w:rsidR="00807DF1" w:rsidRPr="00BF657C" w:rsidRDefault="00AE3C93" w:rsidP="0042247B">
            <w:pPr>
              <w:spacing w:before="120" w:after="120" w:line="271" w:lineRule="auto"/>
              <w:jc w:val="both"/>
              <w:rPr>
                <w:rFonts w:ascii="Arial" w:hAnsi="Arial" w:cs="Arial"/>
                <w:sz w:val="22"/>
                <w:szCs w:val="22"/>
              </w:rPr>
            </w:pPr>
            <w:r w:rsidRPr="00AE3C93">
              <w:rPr>
                <w:rFonts w:ascii="Arial" w:hAnsi="Arial" w:cs="Arial"/>
                <w:sz w:val="22"/>
                <w:szCs w:val="22"/>
              </w:rPr>
              <w:t>Finanční oprava bude stanovena ve výši 100</w:t>
            </w:r>
            <w:r w:rsidR="00CB0A62">
              <w:rPr>
                <w:rFonts w:ascii="Arial" w:hAnsi="Arial" w:cs="Arial"/>
                <w:sz w:val="22"/>
                <w:szCs w:val="22"/>
              </w:rPr>
              <w:t> </w:t>
            </w:r>
            <w:r w:rsidRPr="00AE3C93">
              <w:rPr>
                <w:rFonts w:ascii="Arial" w:hAnsi="Arial" w:cs="Arial"/>
                <w:sz w:val="22"/>
                <w:szCs w:val="22"/>
              </w:rPr>
              <w:t>% částky poskytnuté dotace.</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10BE6403"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p>
    <w:p w14:paraId="417AD2B8" w14:textId="730F82BB"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6392B4FA"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 xml:space="preserve">Pokud příjemce </w:t>
      </w:r>
      <w:r w:rsidRPr="00BF657C">
        <w:rPr>
          <w:rFonts w:ascii="Arial" w:hAnsi="Arial" w:cs="Arial"/>
          <w:bCs/>
          <w:snapToGrid w:val="0"/>
          <w:sz w:val="22"/>
          <w:szCs w:val="22"/>
        </w:rPr>
        <w:lastRenderedPageBreak/>
        <w:t>dotace neprovede uložená opatření k nápravě nebo nevrátí dotaci nebo její část ve</w:t>
      </w:r>
      <w:r w:rsidR="009F444A">
        <w:rPr>
          <w:rFonts w:ascii="Arial" w:hAnsi="Arial" w:cs="Arial"/>
          <w:bCs/>
          <w:snapToGrid w:val="0"/>
          <w:sz w:val="22"/>
          <w:szCs w:val="22"/>
        </w:rPr>
        <w:t> </w:t>
      </w:r>
      <w:r w:rsidRPr="00BF657C">
        <w:rPr>
          <w:rFonts w:ascii="Arial" w:hAnsi="Arial" w:cs="Arial"/>
          <w:bCs/>
          <w:snapToGrid w:val="0"/>
          <w:sz w:val="22"/>
          <w:szCs w:val="22"/>
        </w:rPr>
        <w:t>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0E35BA35"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3D39EC57" w:rsidR="009132E6" w:rsidRDefault="009132E6" w:rsidP="0042247B">
      <w:pPr>
        <w:pStyle w:val="Prosttext"/>
        <w:spacing w:before="120" w:after="120" w:line="271" w:lineRule="auto"/>
        <w:jc w:val="both"/>
        <w:rPr>
          <w:rFonts w:eastAsia="Times New Roman" w:cs="Arial"/>
          <w:snapToGrid w:val="0"/>
          <w:sz w:val="22"/>
          <w:szCs w:val="22"/>
          <w:lang w:eastAsia="cs-CZ"/>
        </w:rPr>
      </w:pPr>
    </w:p>
    <w:p w14:paraId="722C934E" w14:textId="77777777" w:rsidR="00AE3C93" w:rsidRPr="00BF657C" w:rsidRDefault="00AE3C93"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7B087B03" w14:textId="75C26216" w:rsidR="00AE3C93" w:rsidRPr="00AE3C93" w:rsidRDefault="009132E6" w:rsidP="00AE3C93">
      <w:pPr>
        <w:tabs>
          <w:tab w:val="left" w:pos="708"/>
        </w:tabs>
        <w:spacing w:before="120" w:after="120" w:line="271" w:lineRule="auto"/>
        <w:jc w:val="center"/>
        <w:rPr>
          <w:rFonts w:ascii="Arial" w:hAnsi="Arial" w:cs="Arial"/>
          <w:b/>
          <w:i/>
          <w:snapToGrid w:val="0"/>
          <w:sz w:val="22"/>
          <w:szCs w:val="22"/>
        </w:rPr>
      </w:pPr>
      <w:r w:rsidRPr="00AE3C93">
        <w:rPr>
          <w:rFonts w:ascii="Arial" w:hAnsi="Arial" w:cs="Arial"/>
          <w:b/>
          <w:i/>
          <w:snapToGrid w:val="0"/>
          <w:sz w:val="22"/>
          <w:szCs w:val="22"/>
        </w:rPr>
        <w:t>Veřejná podpora</w:t>
      </w:r>
    </w:p>
    <w:p w14:paraId="0F641C73" w14:textId="1BD1C67A" w:rsidR="00AE3C93" w:rsidRPr="00AE3C93" w:rsidRDefault="00AE3C93" w:rsidP="00AE3C93">
      <w:pPr>
        <w:pStyle w:val="Prosttext"/>
        <w:spacing w:before="120" w:after="120" w:line="271" w:lineRule="auto"/>
        <w:ind w:left="360" w:hanging="360"/>
        <w:jc w:val="both"/>
        <w:rPr>
          <w:rFonts w:eastAsia="Times New Roman" w:cs="Arial"/>
          <w:snapToGrid w:val="0"/>
          <w:sz w:val="22"/>
          <w:szCs w:val="22"/>
          <w:lang w:eastAsia="cs-CZ"/>
        </w:rPr>
      </w:pPr>
      <w:r w:rsidRPr="00AE3C93">
        <w:rPr>
          <w:rFonts w:eastAsia="Times New Roman" w:cs="Arial"/>
          <w:snapToGrid w:val="0"/>
          <w:sz w:val="22"/>
          <w:szCs w:val="22"/>
          <w:lang w:eastAsia="cs-CZ"/>
        </w:rPr>
        <w:t>1.</w:t>
      </w:r>
      <w:r w:rsidRPr="00AE3C93">
        <w:rPr>
          <w:rFonts w:eastAsia="Times New Roman" w:cs="Arial"/>
          <w:snapToGrid w:val="0"/>
          <w:sz w:val="22"/>
          <w:szCs w:val="22"/>
          <w:lang w:eastAsia="cs-CZ"/>
        </w:rPr>
        <w:tab/>
        <w:t>Dotace je udělena v souladu s Rozhodnutím Komise 2012/21/EU</w:t>
      </w:r>
      <w:r>
        <w:rPr>
          <w:rStyle w:val="Znakapoznpodarou"/>
          <w:rFonts w:eastAsia="Times New Roman" w:cs="Arial"/>
          <w:snapToGrid w:val="0"/>
          <w:sz w:val="22"/>
          <w:szCs w:val="22"/>
          <w:lang w:eastAsia="cs-CZ"/>
        </w:rPr>
        <w:footnoteReference w:id="22"/>
      </w:r>
      <w:r w:rsidRPr="00AE3C93">
        <w:rPr>
          <w:rFonts w:eastAsia="Times New Roman" w:cs="Arial"/>
          <w:snapToGrid w:val="0"/>
          <w:sz w:val="22"/>
          <w:szCs w:val="22"/>
          <w:lang w:eastAsia="cs-CZ"/>
        </w:rPr>
        <w:t xml:space="preserve"> ze dne 20. prosince 2011 o použití čl. 106 odst. 2 SFEU na státní podporu ve formě vyrovnávací platby za</w:t>
      </w:r>
      <w:r w:rsidR="009F444A">
        <w:rPr>
          <w:rFonts w:eastAsia="Times New Roman" w:cs="Arial"/>
          <w:snapToGrid w:val="0"/>
          <w:sz w:val="22"/>
          <w:szCs w:val="22"/>
          <w:lang w:eastAsia="cs-CZ"/>
        </w:rPr>
        <w:t> </w:t>
      </w:r>
      <w:r w:rsidRPr="00AE3C93">
        <w:rPr>
          <w:rFonts w:eastAsia="Times New Roman" w:cs="Arial"/>
          <w:snapToGrid w:val="0"/>
          <w:sz w:val="22"/>
          <w:szCs w:val="22"/>
          <w:lang w:eastAsia="cs-CZ"/>
        </w:rPr>
        <w:t>závazek veřejné služby udělené určitým podnikům pověřeným poskytováním služeb obecného hospodářského zájmu (dále jen „Rozhodnutí 2012/21/EU“).</w:t>
      </w:r>
    </w:p>
    <w:p w14:paraId="0EA43315" w14:textId="77777777" w:rsidR="00AE3C93" w:rsidRPr="00AE3C93" w:rsidRDefault="00AE3C93" w:rsidP="00AE3C93">
      <w:pPr>
        <w:pStyle w:val="Prosttext"/>
        <w:spacing w:before="120" w:after="120" w:line="271" w:lineRule="auto"/>
        <w:ind w:left="360" w:hanging="360"/>
        <w:jc w:val="both"/>
        <w:rPr>
          <w:rFonts w:eastAsia="Times New Roman" w:cs="Arial"/>
          <w:snapToGrid w:val="0"/>
          <w:sz w:val="22"/>
          <w:szCs w:val="22"/>
          <w:lang w:eastAsia="cs-CZ"/>
        </w:rPr>
      </w:pPr>
      <w:r w:rsidRPr="00AE3C93">
        <w:rPr>
          <w:rFonts w:eastAsia="Times New Roman" w:cs="Arial"/>
          <w:snapToGrid w:val="0"/>
          <w:sz w:val="22"/>
          <w:szCs w:val="22"/>
          <w:lang w:eastAsia="cs-CZ"/>
        </w:rPr>
        <w:t>2.</w:t>
      </w:r>
      <w:r w:rsidRPr="00AE3C93">
        <w:rPr>
          <w:rFonts w:eastAsia="Times New Roman" w:cs="Arial"/>
          <w:snapToGrid w:val="0"/>
          <w:sz w:val="22"/>
          <w:szCs w:val="22"/>
          <w:lang w:eastAsia="cs-CZ"/>
        </w:rPr>
        <w:tab/>
        <w:t xml:space="preserve">Příjemce dotace musí být zároveň poskytovatelem SOHZ. Příjemce dotace jako poskytovatel SOHZ musí být pověřen k výkonu SOHZ v souladu s Rozhodnutím 2012/21/EU po celou dobu životnosti investice. </w:t>
      </w:r>
    </w:p>
    <w:p w14:paraId="4C487529" w14:textId="4F710066" w:rsidR="00AE3C93" w:rsidRPr="00AE3C93" w:rsidRDefault="00AE3C93" w:rsidP="00AE3C93">
      <w:pPr>
        <w:pStyle w:val="Prosttext"/>
        <w:spacing w:before="120" w:after="120" w:line="271" w:lineRule="auto"/>
        <w:ind w:left="360" w:hanging="360"/>
        <w:jc w:val="both"/>
        <w:rPr>
          <w:rFonts w:eastAsia="Times New Roman" w:cs="Arial"/>
          <w:snapToGrid w:val="0"/>
          <w:sz w:val="22"/>
          <w:szCs w:val="22"/>
          <w:lang w:eastAsia="cs-CZ"/>
        </w:rPr>
      </w:pPr>
      <w:r w:rsidRPr="00AE3C93">
        <w:rPr>
          <w:rFonts w:eastAsia="Times New Roman" w:cs="Arial"/>
          <w:snapToGrid w:val="0"/>
          <w:sz w:val="22"/>
          <w:szCs w:val="22"/>
          <w:lang w:eastAsia="cs-CZ"/>
        </w:rPr>
        <w:t>3.</w:t>
      </w:r>
      <w:r w:rsidRPr="00AE3C93">
        <w:rPr>
          <w:rFonts w:eastAsia="Times New Roman" w:cs="Arial"/>
          <w:snapToGrid w:val="0"/>
          <w:sz w:val="22"/>
          <w:szCs w:val="22"/>
          <w:lang w:eastAsia="cs-CZ"/>
        </w:rPr>
        <w:tab/>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w:t>
      </w:r>
    </w:p>
    <w:p w14:paraId="292888CC" w14:textId="6E4EFB4F" w:rsidR="009132E6" w:rsidRDefault="00AE3C93" w:rsidP="00AE3C93">
      <w:pPr>
        <w:pStyle w:val="Prosttext"/>
        <w:spacing w:before="120" w:after="120" w:line="271" w:lineRule="auto"/>
        <w:ind w:left="360" w:hanging="360"/>
        <w:jc w:val="both"/>
        <w:rPr>
          <w:rFonts w:eastAsia="Times New Roman" w:cs="Arial"/>
          <w:snapToGrid w:val="0"/>
          <w:sz w:val="22"/>
          <w:szCs w:val="22"/>
          <w:lang w:eastAsia="cs-CZ"/>
        </w:rPr>
      </w:pPr>
      <w:r w:rsidRPr="00AE3C93">
        <w:rPr>
          <w:rFonts w:eastAsia="Times New Roman" w:cs="Arial"/>
          <w:snapToGrid w:val="0"/>
          <w:sz w:val="22"/>
          <w:szCs w:val="22"/>
          <w:lang w:eastAsia="cs-CZ"/>
        </w:rPr>
        <w:t>4.</w:t>
      </w:r>
      <w:r w:rsidRPr="00AE3C93">
        <w:rPr>
          <w:rFonts w:eastAsia="Times New Roman" w:cs="Arial"/>
          <w:snapToGrid w:val="0"/>
          <w:sz w:val="22"/>
          <w:szCs w:val="22"/>
          <w:lang w:eastAsia="cs-CZ"/>
        </w:rPr>
        <w:tab/>
        <w:t>Příjemce dotace bere na vědomí, že Evropská komise může uložit příjemci navrácení veřejné podpory spolu s příslušným úrokem zpět poskytovateli, pokud shledá, že</w:t>
      </w:r>
      <w:r w:rsidR="00EF6FB9">
        <w:rPr>
          <w:rFonts w:eastAsia="Times New Roman" w:cs="Arial"/>
          <w:snapToGrid w:val="0"/>
          <w:sz w:val="22"/>
          <w:szCs w:val="22"/>
          <w:lang w:eastAsia="cs-CZ"/>
        </w:rPr>
        <w:t> </w:t>
      </w:r>
      <w:r w:rsidRPr="00AE3C93">
        <w:rPr>
          <w:rFonts w:eastAsia="Times New Roman" w:cs="Arial"/>
          <w:snapToGrid w:val="0"/>
          <w:sz w:val="22"/>
          <w:szCs w:val="22"/>
          <w:lang w:eastAsia="cs-CZ"/>
        </w:rPr>
        <w:t>poskytnutá dotace představuje protiprávní veřejnou podporu neslučitelnou s vnitřním trhem.</w:t>
      </w:r>
    </w:p>
    <w:p w14:paraId="4291FDDE" w14:textId="77777777" w:rsidR="005D6D0F" w:rsidRPr="00BF657C" w:rsidRDefault="005D6D0F" w:rsidP="00AE3C93">
      <w:pPr>
        <w:pStyle w:val="Prosttext"/>
        <w:spacing w:before="120" w:after="120" w:line="271" w:lineRule="auto"/>
        <w:ind w:left="360" w:hanging="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01FB0CFB"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9F444A">
        <w:rPr>
          <w:rFonts w:ascii="Arial" w:hAnsi="Arial" w:cs="Arial"/>
          <w:snapToGrid w:val="0"/>
          <w:sz w:val="22"/>
          <w:szCs w:val="22"/>
        </w:rPr>
        <w:t> </w:t>
      </w:r>
      <w:r w:rsidRPr="00BF657C">
        <w:rPr>
          <w:rFonts w:ascii="Arial" w:hAnsi="Arial" w:cs="Arial"/>
          <w:snapToGrid w:val="0"/>
          <w:sz w:val="22"/>
          <w:szCs w:val="22"/>
        </w:rPr>
        <w:t xml:space="preserve">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3090"/>
        <w:gridCol w:w="1451"/>
        <w:gridCol w:w="2972"/>
      </w:tblGrid>
      <w:tr w:rsidR="00E37AF8" w:rsidRPr="00804B4B" w14:paraId="191C4894" w14:textId="77777777" w:rsidTr="002A5644">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3090"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6E3492AD" w:rsidR="00931985" w:rsidRPr="00804B4B" w:rsidRDefault="00931985" w:rsidP="00931985">
            <w:pPr>
              <w:rPr>
                <w:rFonts w:ascii="Arial" w:hAnsi="Arial" w:cs="Arial"/>
                <w:sz w:val="22"/>
                <w:szCs w:val="22"/>
              </w:rPr>
            </w:pPr>
            <w:r>
              <w:rPr>
                <w:rFonts w:ascii="Arial" w:hAnsi="Arial" w:cs="Arial"/>
                <w:sz w:val="22"/>
                <w:szCs w:val="22"/>
              </w:rPr>
              <w:t>Oddělen</w:t>
            </w:r>
            <w:r w:rsidR="00EF7690">
              <w:rPr>
                <w:rFonts w:ascii="Arial" w:hAnsi="Arial" w:cs="Arial"/>
                <w:sz w:val="22"/>
                <w:szCs w:val="22"/>
              </w:rPr>
              <w:t>í finanční administrace programů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451"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E37AF8" w:rsidRPr="00804B4B" w14:paraId="03CFA908" w14:textId="77777777" w:rsidTr="002A5644">
        <w:trPr>
          <w:trHeight w:val="283"/>
        </w:trPr>
        <w:tc>
          <w:tcPr>
            <w:tcW w:w="1814" w:type="dxa"/>
            <w:tcBorders>
              <w:top w:val="nil"/>
              <w:left w:val="single" w:sz="4" w:space="0" w:color="auto"/>
              <w:bottom w:val="nil"/>
              <w:right w:val="single" w:sz="4" w:space="0" w:color="auto"/>
            </w:tcBorders>
            <w:hideMark/>
          </w:tcPr>
          <w:p w14:paraId="6D191B12" w14:textId="35173041" w:rsidR="00804B4B" w:rsidRPr="00804B4B" w:rsidRDefault="50E20597" w:rsidP="00D85842">
            <w:pPr>
              <w:rPr>
                <w:rFonts w:ascii="Arial" w:hAnsi="Arial" w:cs="Arial"/>
                <w:sz w:val="22"/>
                <w:szCs w:val="22"/>
              </w:rPr>
            </w:pPr>
            <w:r w:rsidRPr="3236512B">
              <w:rPr>
                <w:rFonts w:ascii="Arial" w:hAnsi="Arial" w:cs="Arial"/>
                <w:sz w:val="22"/>
                <w:szCs w:val="22"/>
              </w:rPr>
              <w:t>E</w:t>
            </w:r>
            <w:r w:rsidR="69082760" w:rsidRPr="3236512B">
              <w:rPr>
                <w:rFonts w:ascii="Arial" w:hAnsi="Arial" w:cs="Arial"/>
                <w:sz w:val="22"/>
                <w:szCs w:val="22"/>
              </w:rPr>
              <w:t>-</w:t>
            </w:r>
            <w:r w:rsidRPr="3236512B">
              <w:rPr>
                <w:rFonts w:ascii="Arial" w:hAnsi="Arial" w:cs="Arial"/>
                <w:sz w:val="22"/>
                <w:szCs w:val="22"/>
              </w:rPr>
              <w:t>mail:</w:t>
            </w:r>
          </w:p>
        </w:tc>
        <w:tc>
          <w:tcPr>
            <w:tcW w:w="3090" w:type="dxa"/>
            <w:tcBorders>
              <w:top w:val="single" w:sz="4" w:space="0" w:color="auto"/>
              <w:left w:val="single" w:sz="4" w:space="0" w:color="auto"/>
              <w:bottom w:val="single" w:sz="4" w:space="0" w:color="auto"/>
              <w:right w:val="single" w:sz="4" w:space="0" w:color="auto"/>
            </w:tcBorders>
            <w:vAlign w:val="center"/>
          </w:tcPr>
          <w:p w14:paraId="7730826A" w14:textId="3389521E" w:rsidR="00804B4B" w:rsidRPr="00804B4B" w:rsidRDefault="02F7DBD2" w:rsidP="00D85842">
            <w:pPr>
              <w:pStyle w:val="Default"/>
              <w:rPr>
                <w:sz w:val="22"/>
                <w:szCs w:val="22"/>
              </w:rPr>
            </w:pPr>
            <w:r w:rsidRPr="3236512B">
              <w:rPr>
                <w:sz w:val="22"/>
                <w:szCs w:val="22"/>
              </w:rPr>
              <w:t>jméno.př</w:t>
            </w:r>
            <w:r w:rsidR="00803BAC" w:rsidRPr="3236512B">
              <w:rPr>
                <w:sz w:val="22"/>
                <w:szCs w:val="22"/>
              </w:rPr>
              <w:t>í</w:t>
            </w:r>
            <w:r w:rsidRPr="3236512B">
              <w:rPr>
                <w:sz w:val="22"/>
                <w:szCs w:val="22"/>
              </w:rPr>
              <w:t>jm</w:t>
            </w:r>
            <w:r w:rsidR="00803BAC" w:rsidRPr="3236512B">
              <w:rPr>
                <w:sz w:val="22"/>
                <w:szCs w:val="22"/>
              </w:rPr>
              <w:t>e</w:t>
            </w:r>
            <w:r w:rsidRPr="3236512B">
              <w:rPr>
                <w:sz w:val="22"/>
                <w:szCs w:val="22"/>
              </w:rPr>
              <w:t>ní</w:t>
            </w:r>
            <w:r w:rsidR="50E20597" w:rsidRPr="3236512B">
              <w:rPr>
                <w:sz w:val="22"/>
                <w:szCs w:val="22"/>
              </w:rPr>
              <w:t>@mmr.</w:t>
            </w:r>
            <w:r w:rsidR="225BA091" w:rsidRPr="3236512B">
              <w:rPr>
                <w:sz w:val="22"/>
                <w:szCs w:val="22"/>
              </w:rPr>
              <w:t>gov.</w:t>
            </w:r>
            <w:r w:rsidR="50E20597" w:rsidRPr="3236512B">
              <w:rPr>
                <w:sz w:val="22"/>
                <w:szCs w:val="22"/>
              </w:rPr>
              <w:t xml:space="preserve">cz </w:t>
            </w:r>
          </w:p>
          <w:p w14:paraId="1B080689" w14:textId="77777777" w:rsidR="00804B4B" w:rsidRPr="00804B4B" w:rsidRDefault="00804B4B" w:rsidP="00D85842">
            <w:pPr>
              <w:rPr>
                <w:rFonts w:ascii="Arial" w:hAnsi="Arial" w:cs="Arial"/>
                <w:sz w:val="22"/>
                <w:szCs w:val="22"/>
              </w:rPr>
            </w:pPr>
          </w:p>
        </w:tc>
        <w:tc>
          <w:tcPr>
            <w:tcW w:w="1451"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E37AF8" w:rsidRPr="00804B4B" w14:paraId="6B4A5BA6" w14:textId="77777777" w:rsidTr="002A5644">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3090"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451"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E37AF8" w:rsidRPr="00804B4B" w14:paraId="2A1D3448" w14:textId="77777777" w:rsidTr="002A5644">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3090"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451"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2A5644" w:rsidRPr="00804B4B" w14:paraId="03574ED2" w14:textId="77777777" w:rsidTr="00055A6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3090" w:type="dxa"/>
            <w:vMerge/>
            <w:vAlign w:val="center"/>
          </w:tcPr>
          <w:p w14:paraId="611CCEF6" w14:textId="77777777" w:rsidR="00804B4B" w:rsidRPr="00804B4B" w:rsidRDefault="00804B4B" w:rsidP="00D85842">
            <w:pPr>
              <w:rPr>
                <w:rFonts w:ascii="Arial" w:hAnsi="Arial" w:cs="Arial"/>
                <w:sz w:val="22"/>
                <w:szCs w:val="22"/>
              </w:rPr>
            </w:pPr>
          </w:p>
        </w:tc>
        <w:tc>
          <w:tcPr>
            <w:tcW w:w="1451"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E37AF8" w:rsidRPr="00804B4B" w14:paraId="21CC16FD" w14:textId="77777777" w:rsidTr="002A5644">
        <w:trPr>
          <w:trHeight w:val="300"/>
        </w:trPr>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3090"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451"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055A6B">
      <w:footerReference w:type="default" r:id="rId41"/>
      <w:footerReference w:type="first" r:id="rId42"/>
      <w:pgSz w:w="11906" w:h="16838"/>
      <w:pgMar w:top="1417"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85D2BC" w14:textId="77777777" w:rsidR="00060176" w:rsidRDefault="00060176">
      <w:r>
        <w:separator/>
      </w:r>
    </w:p>
  </w:endnote>
  <w:endnote w:type="continuationSeparator" w:id="0">
    <w:p w14:paraId="79A7CA74" w14:textId="77777777" w:rsidR="00060176" w:rsidRDefault="00060176">
      <w:r>
        <w:continuationSeparator/>
      </w:r>
    </w:p>
  </w:endnote>
  <w:endnote w:type="continuationNotice" w:id="1">
    <w:p w14:paraId="13ABC8FD" w14:textId="77777777" w:rsidR="00060176" w:rsidRDefault="000601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FB677" w14:textId="77777777" w:rsidR="009609F3" w:rsidRDefault="009609F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47F2B948"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E16E24">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E16E24">
            <w:rPr>
              <w:rStyle w:val="slostrnky"/>
              <w:rFonts w:ascii="Arial" w:hAnsi="Arial" w:cs="Arial"/>
              <w:noProof/>
              <w:sz w:val="20"/>
            </w:rPr>
            <w:t>18</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10F63" w14:textId="77777777" w:rsidR="009609F3" w:rsidRDefault="009609F3">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7789209"/>
      <w:docPartObj>
        <w:docPartGallery w:val="Page Numbers (Bottom of Page)"/>
        <w:docPartUnique/>
      </w:docPartObj>
    </w:sdtPr>
    <w:sdtEndPr/>
    <w:sdtContent>
      <w:sdt>
        <w:sdtPr>
          <w:id w:val="567692212"/>
          <w:docPartObj>
            <w:docPartGallery w:val="Page Numbers (Top of Page)"/>
            <w:docPartUnique/>
          </w:docPartObj>
        </w:sdtPr>
        <w:sdtEndPr/>
        <w:sdtContent>
          <w:p w14:paraId="4D39FEBB" w14:textId="1794F4AC" w:rsidR="002629B9" w:rsidRDefault="002629B9">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sidR="009609F3">
              <w:rPr>
                <w:b/>
                <w:bCs/>
                <w:sz w:val="24"/>
                <w:szCs w:val="24"/>
              </w:rPr>
              <w:t>17</w:t>
            </w:r>
          </w:p>
        </w:sdtContent>
      </w:sdt>
    </w:sdtContent>
  </w:sdt>
  <w:p w14:paraId="1F0F7C35" w14:textId="770A33B4" w:rsidR="00755826" w:rsidRDefault="00755826">
    <w:pPr>
      <w:pStyle w:val="Zpat"/>
      <w:rPr>
        <w:rFonts w:asciiTheme="minorHAnsi" w:hAnsiTheme="minorHAnsi"/>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20390337"/>
      <w:docPartObj>
        <w:docPartGallery w:val="Page Numbers (Bottom of Page)"/>
        <w:docPartUnique/>
      </w:docPartObj>
    </w:sdtPr>
    <w:sdtEndPr/>
    <w:sdtContent>
      <w:sdt>
        <w:sdtPr>
          <w:id w:val="-1769616900"/>
          <w:docPartObj>
            <w:docPartGallery w:val="Page Numbers (Top of Page)"/>
            <w:docPartUnique/>
          </w:docPartObj>
        </w:sdtPr>
        <w:sdtEndPr/>
        <w:sdtContent>
          <w:p w14:paraId="74BE4456" w14:textId="4A5C658A" w:rsidR="002629B9" w:rsidRDefault="002629B9">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sidR="009609F3">
              <w:rPr>
                <w:b/>
                <w:bCs/>
                <w:sz w:val="24"/>
                <w:szCs w:val="24"/>
              </w:rPr>
              <w:t>17</w:t>
            </w:r>
          </w:p>
        </w:sdtContent>
      </w:sdt>
    </w:sdtContent>
  </w:sdt>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02F49F" w14:textId="77777777" w:rsidR="00060176" w:rsidRDefault="00060176">
      <w:r>
        <w:separator/>
      </w:r>
    </w:p>
  </w:footnote>
  <w:footnote w:type="continuationSeparator" w:id="0">
    <w:p w14:paraId="0B3B56D8" w14:textId="77777777" w:rsidR="00060176" w:rsidRDefault="00060176">
      <w:r>
        <w:continuationSeparator/>
      </w:r>
    </w:p>
  </w:footnote>
  <w:footnote w:type="continuationNotice" w:id="1">
    <w:p w14:paraId="73CEF83B" w14:textId="77777777" w:rsidR="00060176" w:rsidRDefault="0006017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56F6D1E3"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9609F3">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131B610C"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2">
    <w:p w14:paraId="19FB2A7D" w14:textId="5C5CE898" w:rsidR="00AE3C93" w:rsidRPr="00500E87" w:rsidRDefault="00AE3C93">
      <w:pPr>
        <w:pStyle w:val="Textpoznpodarou"/>
        <w:rPr>
          <w:rFonts w:ascii="Arial" w:hAnsi="Arial" w:cs="Arial"/>
          <w:sz w:val="18"/>
          <w:szCs w:val="18"/>
        </w:rPr>
      </w:pPr>
      <w:r w:rsidRPr="00500E87">
        <w:rPr>
          <w:rStyle w:val="Znakapoznpodarou"/>
          <w:rFonts w:ascii="Arial" w:hAnsi="Arial" w:cs="Arial"/>
          <w:sz w:val="18"/>
          <w:szCs w:val="18"/>
        </w:rPr>
        <w:footnoteRef/>
      </w:r>
      <w:r w:rsidRPr="00500E87">
        <w:rPr>
          <w:rFonts w:ascii="Arial" w:hAnsi="Arial" w:cs="Arial"/>
          <w:sz w:val="18"/>
          <w:szCs w:val="18"/>
        </w:rPr>
        <w:t xml:space="preserve"> 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2868D" w14:textId="77777777" w:rsidR="009609F3" w:rsidRDefault="009609F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092486" w14:textId="77777777" w:rsidR="009609F3" w:rsidRDefault="009609F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209C72FE"/>
    <w:lvl w:ilvl="0" w:tplc="0CA0D464">
      <w:start w:val="1"/>
      <w:numFmt w:val="upperRoman"/>
      <w:lvlText w:val="%1."/>
      <w:lvlJc w:val="right"/>
      <w:pPr>
        <w:ind w:left="720" w:hanging="360"/>
      </w:pPr>
      <w:rPr>
        <w:i/>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B0D5818"/>
    <w:multiLevelType w:val="hybridMultilevel"/>
    <w:tmpl w:val="42AE9A0E"/>
    <w:lvl w:ilvl="0" w:tplc="92624AA2">
      <w:start w:val="1"/>
      <w:numFmt w:val="upperRoman"/>
      <w:lvlText w:val="%1."/>
      <w:lvlJc w:val="right"/>
      <w:pPr>
        <w:ind w:left="720" w:hanging="360"/>
      </w:pPr>
      <w:rPr>
        <w:i/>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285309415">
    <w:abstractNumId w:val="19"/>
  </w:num>
  <w:num w:numId="2" w16cid:durableId="1419860378">
    <w:abstractNumId w:val="29"/>
  </w:num>
  <w:num w:numId="3" w16cid:durableId="1692999225">
    <w:abstractNumId w:val="2"/>
  </w:num>
  <w:num w:numId="4" w16cid:durableId="147788380">
    <w:abstractNumId w:val="7"/>
  </w:num>
  <w:num w:numId="5" w16cid:durableId="1105688821">
    <w:abstractNumId w:val="12"/>
  </w:num>
  <w:num w:numId="6" w16cid:durableId="1664507070">
    <w:abstractNumId w:val="18"/>
  </w:num>
  <w:num w:numId="7" w16cid:durableId="2140106430">
    <w:abstractNumId w:val="6"/>
  </w:num>
  <w:num w:numId="8" w16cid:durableId="614485411">
    <w:abstractNumId w:val="25"/>
  </w:num>
  <w:num w:numId="9" w16cid:durableId="597182792">
    <w:abstractNumId w:val="32"/>
  </w:num>
  <w:num w:numId="10" w16cid:durableId="352269602">
    <w:abstractNumId w:val="28"/>
  </w:num>
  <w:num w:numId="11" w16cid:durableId="1634822280">
    <w:abstractNumId w:val="8"/>
  </w:num>
  <w:num w:numId="12" w16cid:durableId="1212696511">
    <w:abstractNumId w:val="10"/>
  </w:num>
  <w:num w:numId="13" w16cid:durableId="777994269">
    <w:abstractNumId w:val="34"/>
  </w:num>
  <w:num w:numId="14" w16cid:durableId="1368679892">
    <w:abstractNumId w:val="30"/>
  </w:num>
  <w:num w:numId="15" w16cid:durableId="582764111">
    <w:abstractNumId w:val="13"/>
  </w:num>
  <w:num w:numId="16" w16cid:durableId="2066640191">
    <w:abstractNumId w:val="20"/>
  </w:num>
  <w:num w:numId="17" w16cid:durableId="790637314">
    <w:abstractNumId w:val="4"/>
  </w:num>
  <w:num w:numId="18" w16cid:durableId="862867565">
    <w:abstractNumId w:val="15"/>
  </w:num>
  <w:num w:numId="19" w16cid:durableId="1243834800">
    <w:abstractNumId w:val="5"/>
  </w:num>
  <w:num w:numId="20" w16cid:durableId="377314610">
    <w:abstractNumId w:val="16"/>
  </w:num>
  <w:num w:numId="21" w16cid:durableId="401754914">
    <w:abstractNumId w:val="17"/>
  </w:num>
  <w:num w:numId="22" w16cid:durableId="541211819">
    <w:abstractNumId w:val="14"/>
  </w:num>
  <w:num w:numId="23" w16cid:durableId="1045442864">
    <w:abstractNumId w:val="24"/>
  </w:num>
  <w:num w:numId="24" w16cid:durableId="2132554160">
    <w:abstractNumId w:val="3"/>
  </w:num>
  <w:num w:numId="25" w16cid:durableId="1183780407">
    <w:abstractNumId w:val="1"/>
  </w:num>
  <w:num w:numId="26" w16cid:durableId="1982692974">
    <w:abstractNumId w:val="27"/>
  </w:num>
  <w:num w:numId="27" w16cid:durableId="1217005615">
    <w:abstractNumId w:val="22"/>
  </w:num>
  <w:num w:numId="28" w16cid:durableId="148640224">
    <w:abstractNumId w:val="9"/>
  </w:num>
  <w:num w:numId="29" w16cid:durableId="1461268383">
    <w:abstractNumId w:val="26"/>
  </w:num>
  <w:num w:numId="30" w16cid:durableId="1362243650">
    <w:abstractNumId w:val="33"/>
  </w:num>
  <w:num w:numId="31" w16cid:durableId="597370691">
    <w:abstractNumId w:val="23"/>
  </w:num>
  <w:num w:numId="32" w16cid:durableId="2090881844">
    <w:abstractNumId w:val="0"/>
  </w:num>
  <w:num w:numId="33" w16cid:durableId="1915553796">
    <w:abstractNumId w:val="11"/>
  </w:num>
  <w:num w:numId="34" w16cid:durableId="2112972323">
    <w:abstractNumId w:val="31"/>
  </w:num>
  <w:num w:numId="35" w16cid:durableId="13308454">
    <w:abstractNumId w:val="2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A6B"/>
    <w:rsid w:val="00055B0F"/>
    <w:rsid w:val="00056C25"/>
    <w:rsid w:val="000573D5"/>
    <w:rsid w:val="00057432"/>
    <w:rsid w:val="00057CBE"/>
    <w:rsid w:val="00057D09"/>
    <w:rsid w:val="00060176"/>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8B8"/>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0FC0"/>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9B9"/>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564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3A4C"/>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290"/>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0E87"/>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6D0F"/>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D26"/>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939"/>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07DF1"/>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190"/>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9F3"/>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52"/>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44A"/>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58B"/>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6CFD"/>
    <w:rsid w:val="00A174EC"/>
    <w:rsid w:val="00A17C11"/>
    <w:rsid w:val="00A2002D"/>
    <w:rsid w:val="00A207E6"/>
    <w:rsid w:val="00A209F3"/>
    <w:rsid w:val="00A20B57"/>
    <w:rsid w:val="00A20E12"/>
    <w:rsid w:val="00A21AA3"/>
    <w:rsid w:val="00A22417"/>
    <w:rsid w:val="00A231BE"/>
    <w:rsid w:val="00A231C6"/>
    <w:rsid w:val="00A2337B"/>
    <w:rsid w:val="00A2353A"/>
    <w:rsid w:val="00A239C8"/>
    <w:rsid w:val="00A23E98"/>
    <w:rsid w:val="00A23F89"/>
    <w:rsid w:val="00A244AA"/>
    <w:rsid w:val="00A24B2E"/>
    <w:rsid w:val="00A24B5F"/>
    <w:rsid w:val="00A2521C"/>
    <w:rsid w:val="00A254E3"/>
    <w:rsid w:val="00A25C97"/>
    <w:rsid w:val="00A26EFF"/>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8F5"/>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2C92"/>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C93"/>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A63"/>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0F2"/>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A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0701"/>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6E2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37AF8"/>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524"/>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6FB9"/>
    <w:rsid w:val="00EF7690"/>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2F7DBD2"/>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2A3532E"/>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5BA091"/>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36512B"/>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0E20597"/>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082760"/>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A26DD2"/>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 w:type="paragraph" w:customStyle="1" w:styleId="paragraph">
    <w:name w:val="paragraph"/>
    <w:basedOn w:val="Normln"/>
    <w:rsid w:val="00A26EFF"/>
    <w:pPr>
      <w:spacing w:before="100" w:beforeAutospacing="1" w:after="100" w:afterAutospacing="1"/>
    </w:pPr>
  </w:style>
  <w:style w:type="character" w:customStyle="1" w:styleId="spellingerror">
    <w:name w:val="spellingerror"/>
    <w:basedOn w:val="Standardnpsmoodstavce"/>
    <w:rsid w:val="00A26E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41643166">
      <w:bodyDiv w:val="1"/>
      <w:marLeft w:val="0"/>
      <w:marRight w:val="0"/>
      <w:marTop w:val="0"/>
      <w:marBottom w:val="0"/>
      <w:divBdr>
        <w:top w:val="none" w:sz="0" w:space="0" w:color="auto"/>
        <w:left w:val="none" w:sz="0" w:space="0" w:color="auto"/>
        <w:bottom w:val="none" w:sz="0" w:space="0" w:color="auto"/>
        <w:right w:val="none" w:sz="0" w:space="0" w:color="auto"/>
      </w:divBdr>
      <w:divsChild>
        <w:div w:id="1870293420">
          <w:marLeft w:val="0"/>
          <w:marRight w:val="0"/>
          <w:marTop w:val="0"/>
          <w:marBottom w:val="0"/>
          <w:divBdr>
            <w:top w:val="none" w:sz="0" w:space="0" w:color="auto"/>
            <w:left w:val="none" w:sz="0" w:space="0" w:color="auto"/>
            <w:bottom w:val="none" w:sz="0" w:space="0" w:color="auto"/>
            <w:right w:val="none" w:sz="0" w:space="0" w:color="auto"/>
          </w:divBdr>
        </w:div>
        <w:div w:id="29229729">
          <w:marLeft w:val="0"/>
          <w:marRight w:val="0"/>
          <w:marTop w:val="0"/>
          <w:marBottom w:val="0"/>
          <w:divBdr>
            <w:top w:val="none" w:sz="0" w:space="0" w:color="auto"/>
            <w:left w:val="none" w:sz="0" w:space="0" w:color="auto"/>
            <w:bottom w:val="none" w:sz="0" w:space="0" w:color="auto"/>
            <w:right w:val="none" w:sz="0" w:space="0" w:color="auto"/>
          </w:divBdr>
        </w:div>
        <w:div w:id="172695005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header" Target="header3.xml"/><Relationship Id="rId21" Type="http://schemas.openxmlformats.org/officeDocument/2006/relationships/customXml" Target="../customXml/item21.xml"/><Relationship Id="rId34" Type="http://schemas.openxmlformats.org/officeDocument/2006/relationships/image" Target="media/image1.png"/><Relationship Id="rId42" Type="http://schemas.openxmlformats.org/officeDocument/2006/relationships/footer" Target="footer5.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9"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footnotes" Target="footnotes.xml"/><Relationship Id="rId37" Type="http://schemas.openxmlformats.org/officeDocument/2006/relationships/footer" Target="footer1.xml"/><Relationship Id="rId40" Type="http://schemas.openxmlformats.org/officeDocument/2006/relationships/footer" Target="footer3.xml"/><Relationship Id="rId45"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numbering" Target="numbering.xml"/><Relationship Id="rId36" Type="http://schemas.openxmlformats.org/officeDocument/2006/relationships/header" Target="head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webSettings" Target="webSettings.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settings" Target="settings.xml"/><Relationship Id="rId35" Type="http://schemas.openxmlformats.org/officeDocument/2006/relationships/header" Target="header1.xml"/><Relationship Id="rId43" Type="http://schemas.openxmlformats.org/officeDocument/2006/relationships/fontTable" Target="fontTable.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endnotes" Target="endnotes.xml"/><Relationship Id="rId38" Type="http://schemas.openxmlformats.org/officeDocument/2006/relationships/footer" Target="footer2.xml"/><Relationship Id="rId20" Type="http://schemas.openxmlformats.org/officeDocument/2006/relationships/customXml" Target="../customXml/item20.xml"/><Relationship Id="rId41" Type="http://schemas.openxmlformats.org/officeDocument/2006/relationships/footer" Target="footer4.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402ccc214a8d81941942e43274b9f71">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2174faaac653c6be073d24a5b27d95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0.xml><?xml version="1.0" encoding="utf-8"?>
<s:customData xmlns="http://www.wps.cn/officeDocument/2013/wpsCustomData" xmlns:s="http://www.wps.cn/officeDocument/2013/wpsCustomData">
  <customSectProps>
    <customSectPr/>
  </customSectProps>
</s:customDat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TaxCatchAll xmlns="38a97ebd-7b55-4e0a-b11e-b1f20907ee6a" xsi:nil="true"/>
    <lcf76f155ced4ddcb4097134ff3c332f xmlns="96f83003-48fd-4f52-836f-d78a4dd9c06d">
      <Terms xmlns="http://schemas.microsoft.com/office/infopath/2007/PartnerControls"/>
    </lcf76f155ced4ddcb4097134ff3c332f>
    <priorita xmlns="96f83003-48fd-4f52-836f-d78a4dd9c06d">true</priorita>
  </documentManagement>
</p:properties>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27.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54FA76-19AC-4B2E-BB87-38020279F5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0.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1.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12.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 ds:uri="38a97ebd-7b55-4e0a-b11e-b1f20907ee6a"/>
  </ds:schemaRefs>
</ds:datastoreItem>
</file>

<file path=customXml/itemProps13.xml><?xml version="1.0" encoding="utf-8"?>
<ds:datastoreItem xmlns:ds="http://schemas.openxmlformats.org/officeDocument/2006/customXml" ds:itemID="{B64A9BBF-5C49-4060-AB33-5700BB02864A}">
  <ds:schemaRefs>
    <ds:schemaRef ds:uri="http://schemas.openxmlformats.org/officeDocument/2006/bibliography"/>
  </ds:schemaRefs>
</ds:datastoreItem>
</file>

<file path=customXml/itemProps14.xml><?xml version="1.0" encoding="utf-8"?>
<ds:datastoreItem xmlns:ds="http://schemas.openxmlformats.org/officeDocument/2006/customXml" ds:itemID="{05DB427B-C59E-4FC0-84EA-4A34BB89528F}">
  <ds:schemaRefs>
    <ds:schemaRef ds:uri="http://schemas.openxmlformats.org/officeDocument/2006/bibliography"/>
  </ds:schemaRefs>
</ds:datastoreItem>
</file>

<file path=customXml/itemProps15.xml><?xml version="1.0" encoding="utf-8"?>
<ds:datastoreItem xmlns:ds="http://schemas.openxmlformats.org/officeDocument/2006/customXml" ds:itemID="{B43F5127-EEA1-4CAD-AC93-737C36D92792}">
  <ds:schemaRefs>
    <ds:schemaRef ds:uri="http://schemas.openxmlformats.org/officeDocument/2006/bibliography"/>
  </ds:schemaRefs>
</ds:datastoreItem>
</file>

<file path=customXml/itemProps16.xml><?xml version="1.0" encoding="utf-8"?>
<ds:datastoreItem xmlns:ds="http://schemas.openxmlformats.org/officeDocument/2006/customXml" ds:itemID="{05C6B02B-73D8-4C12-B8C0-FCB4620E5553}">
  <ds:schemaRefs>
    <ds:schemaRef ds:uri="http://schemas.openxmlformats.org/officeDocument/2006/bibliography"/>
  </ds:schemaRefs>
</ds:datastoreItem>
</file>

<file path=customXml/itemProps17.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18.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19.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2.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20.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21.xml><?xml version="1.0" encoding="utf-8"?>
<ds:datastoreItem xmlns:ds="http://schemas.openxmlformats.org/officeDocument/2006/customXml" ds:itemID="{9F82BAAA-CF3D-4617-9133-8D95A8365D50}">
  <ds:schemaRefs>
    <ds:schemaRef ds:uri="http://schemas.openxmlformats.org/officeDocument/2006/bibliography"/>
  </ds:schemaRefs>
</ds:datastoreItem>
</file>

<file path=customXml/itemProps22.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23.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4.xml><?xml version="1.0" encoding="utf-8"?>
<ds:datastoreItem xmlns:ds="http://schemas.openxmlformats.org/officeDocument/2006/customXml" ds:itemID="{4943ABFA-E0FF-44AF-A368-31B93E1B988B}">
  <ds:schemaRefs>
    <ds:schemaRef ds:uri="http://schemas.openxmlformats.org/officeDocument/2006/bibliography"/>
  </ds:schemaRefs>
</ds:datastoreItem>
</file>

<file path=customXml/itemProps25.xml><?xml version="1.0" encoding="utf-8"?>
<ds:datastoreItem xmlns:ds="http://schemas.openxmlformats.org/officeDocument/2006/customXml" ds:itemID="{818C9B7F-3245-498D-919D-81DF898BB6E1}">
  <ds:schemaRefs>
    <ds:schemaRef ds:uri="http://schemas.openxmlformats.org/officeDocument/2006/bibliography"/>
  </ds:schemaRefs>
</ds:datastoreItem>
</file>

<file path=customXml/itemProps26.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27.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3.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4.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5.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6.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7.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8.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9.xml><?xml version="1.0" encoding="utf-8"?>
<ds:datastoreItem xmlns:ds="http://schemas.openxmlformats.org/officeDocument/2006/customXml" ds:itemID="{5F27B2A3-37BF-4CDB-BC1A-562F6785C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18</Pages>
  <Words>4216</Words>
  <Characters>24501</Characters>
  <Application>Microsoft Office Word</Application>
  <DocSecurity>0</DocSecurity>
  <Lines>204</Lines>
  <Paragraphs>57</Paragraphs>
  <ScaleCrop>false</ScaleCrop>
  <Company>MMR</Company>
  <LinksUpToDate>false</LinksUpToDate>
  <CharactersWithSpaces>28660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Jan Mazanik</cp:lastModifiedBy>
  <cp:revision>4</cp:revision>
  <cp:lastPrinted>2022-07-27T10:25:00Z</cp:lastPrinted>
  <dcterms:created xsi:type="dcterms:W3CDTF">2022-08-23T11:25:00Z</dcterms:created>
  <dcterms:modified xsi:type="dcterms:W3CDTF">2024-12-09T12:02:00Z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y fmtid="{D5CDD505-2E9C-101B-9397-08002B2CF9AE}" pid="4" name="MediaServiceImageTags">
    <vt:lpwstr/>
  </property>
</Properties>
</file>