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454BC4">
      <w:pPr>
        <w:pStyle w:val="Zkladnodstavec"/>
        <w:spacing w:before="360" w:after="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454BC4">
      <w:pPr>
        <w:pStyle w:val="Zkladnodstavec"/>
        <w:spacing w:before="360" w:after="36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3F450C25" w14:textId="77777777" w:rsidR="00D30713" w:rsidRDefault="00D30713" w:rsidP="00D30713">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6EFC5C6" w14:textId="77777777" w:rsidR="00D30713" w:rsidRDefault="00D30713" w:rsidP="00D30713">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38C9C578" w14:textId="47E0FE59" w:rsidR="00356501" w:rsidRDefault="0028208C" w:rsidP="0028208C">
      <w:pPr>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F1FE7">
        <w:rPr>
          <w:rFonts w:ascii="Arial" w:hAnsi="Arial" w:cs="Arial"/>
          <w:caps/>
          <w:color w:val="7F7F7F" w:themeColor="text1" w:themeTint="80"/>
          <w:sz w:val="32"/>
          <w:szCs w:val="32"/>
        </w:rPr>
        <w:t>2</w:t>
      </w:r>
      <w:bookmarkStart w:id="5" w:name="_GoBack"/>
      <w:bookmarkEnd w:id="5"/>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135AB8F0" w14:textId="5AC5B989" w:rsidR="000E1009" w:rsidRPr="00A5324A" w:rsidRDefault="0051543C">
          <w:pPr>
            <w:pStyle w:val="Obsah1"/>
            <w:tabs>
              <w:tab w:val="left" w:pos="440"/>
              <w:tab w:val="right" w:leader="dot" w:pos="9062"/>
            </w:tabs>
            <w:rPr>
              <w:rFonts w:ascii="Arial" w:eastAsiaTheme="minorEastAsia" w:hAnsi="Arial" w:cs="Arial"/>
              <w:noProof/>
              <w:lang w:eastAsia="cs-CZ"/>
            </w:rPr>
          </w:pPr>
          <w:r>
            <w:fldChar w:fldCharType="begin"/>
          </w:r>
          <w:r>
            <w:instrText xml:space="preserve"> TOC \o "1-3" \h \z \u </w:instrText>
          </w:r>
          <w:r>
            <w:fldChar w:fldCharType="separate"/>
          </w:r>
          <w:hyperlink w:anchor="_Toc112251722" w:history="1">
            <w:r w:rsidR="000E1009" w:rsidRPr="00A5324A">
              <w:rPr>
                <w:rStyle w:val="Hypertextovodkaz"/>
                <w:rFonts w:ascii="Arial" w:hAnsi="Arial" w:cs="Arial"/>
                <w:noProof/>
              </w:rPr>
              <w:t>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Úvodní informace o zpracovateli studie proveditelnosti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1A7580DE" w14:textId="0148243B"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23" w:history="1">
            <w:r w:rsidR="000E1009" w:rsidRPr="00A5324A">
              <w:rPr>
                <w:rStyle w:val="Hypertextovodkaz"/>
                <w:rFonts w:ascii="Arial" w:hAnsi="Arial" w:cs="Arial"/>
                <w:noProof/>
              </w:rPr>
              <w:t>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Základní informace o žadateli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28DD8889" w14:textId="3DC2DED7"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24" w:history="1">
            <w:r w:rsidR="000E1009" w:rsidRPr="00A5324A">
              <w:rPr>
                <w:rStyle w:val="Hypertextovodkaz"/>
                <w:rFonts w:ascii="Arial" w:hAnsi="Arial" w:cs="Arial"/>
                <w:noProof/>
              </w:rPr>
              <w:t>3.</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Charakteristika projektu a jeho soulad s programem</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55CBB8F9" w14:textId="582BAD3F"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25" w:history="1">
            <w:r w:rsidR="000E1009" w:rsidRPr="00A5324A">
              <w:rPr>
                <w:rStyle w:val="Hypertextovodkaz"/>
                <w:rFonts w:ascii="Arial" w:hAnsi="Arial" w:cs="Arial"/>
                <w:noProof/>
              </w:rPr>
              <w:t>4.</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Podrobný popis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0384140F" w14:textId="05DE5749" w:rsidR="000E1009" w:rsidRPr="00A5324A" w:rsidRDefault="00096D63">
          <w:pPr>
            <w:pStyle w:val="Obsah2"/>
            <w:tabs>
              <w:tab w:val="left" w:pos="880"/>
              <w:tab w:val="right" w:leader="dot" w:pos="9062"/>
            </w:tabs>
            <w:rPr>
              <w:rFonts w:ascii="Arial" w:hAnsi="Arial" w:cs="Arial"/>
              <w:noProof/>
            </w:rPr>
          </w:pPr>
          <w:hyperlink w:anchor="_Toc112251730" w:history="1">
            <w:r w:rsidR="000E1009" w:rsidRPr="00A5324A">
              <w:rPr>
                <w:rStyle w:val="Hypertextovodkaz"/>
                <w:rFonts w:ascii="Arial" w:hAnsi="Arial" w:cs="Arial"/>
                <w:noProof/>
              </w:rPr>
              <w:t>4.1</w:t>
            </w:r>
            <w:r w:rsidR="000E1009" w:rsidRPr="00A5324A">
              <w:rPr>
                <w:rFonts w:ascii="Arial" w:hAnsi="Arial" w:cs="Arial"/>
                <w:noProof/>
              </w:rPr>
              <w:tab/>
            </w:r>
            <w:r w:rsidR="000E1009" w:rsidRPr="00A5324A">
              <w:rPr>
                <w:rStyle w:val="Hypertextovodkaz"/>
                <w:rFonts w:ascii="Arial" w:hAnsi="Arial" w:cs="Arial"/>
                <w:noProof/>
              </w:rPr>
              <w:t>Podrobný popis výchozího stavu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7D0230A1" w14:textId="0E883939" w:rsidR="000E1009" w:rsidRPr="00A5324A" w:rsidRDefault="00096D63">
          <w:pPr>
            <w:pStyle w:val="Obsah2"/>
            <w:tabs>
              <w:tab w:val="left" w:pos="880"/>
              <w:tab w:val="right" w:leader="dot" w:pos="9062"/>
            </w:tabs>
            <w:rPr>
              <w:rFonts w:ascii="Arial" w:hAnsi="Arial" w:cs="Arial"/>
              <w:noProof/>
            </w:rPr>
          </w:pPr>
          <w:hyperlink w:anchor="_Toc112251731" w:history="1">
            <w:r w:rsidR="000E1009" w:rsidRPr="00A5324A">
              <w:rPr>
                <w:rStyle w:val="Hypertextovodkaz"/>
                <w:rFonts w:ascii="Arial" w:hAnsi="Arial" w:cs="Arial"/>
                <w:noProof/>
              </w:rPr>
              <w:t>4.2</w:t>
            </w:r>
            <w:r w:rsidR="000E1009" w:rsidRPr="00A5324A">
              <w:rPr>
                <w:rFonts w:ascii="Arial" w:hAnsi="Arial" w:cs="Arial"/>
                <w:noProof/>
              </w:rPr>
              <w:tab/>
            </w:r>
            <w:r w:rsidR="000E1009" w:rsidRPr="00A5324A">
              <w:rPr>
                <w:rStyle w:val="Hypertextovodkaz"/>
                <w:rFonts w:ascii="Arial" w:hAnsi="Arial" w:cs="Arial"/>
                <w:noProof/>
              </w:rPr>
              <w:t>Popis jednotlivých částí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58107EA2" w14:textId="08EFC491" w:rsidR="000E1009" w:rsidRPr="00A5324A" w:rsidRDefault="00096D63">
          <w:pPr>
            <w:pStyle w:val="Obsah2"/>
            <w:tabs>
              <w:tab w:val="left" w:pos="880"/>
              <w:tab w:val="right" w:leader="dot" w:pos="9062"/>
            </w:tabs>
            <w:rPr>
              <w:rFonts w:ascii="Arial" w:hAnsi="Arial" w:cs="Arial"/>
              <w:noProof/>
            </w:rPr>
          </w:pPr>
          <w:hyperlink w:anchor="_Toc112251732" w:history="1">
            <w:r w:rsidR="000E1009" w:rsidRPr="00A5324A">
              <w:rPr>
                <w:rStyle w:val="Hypertextovodkaz"/>
                <w:rFonts w:ascii="Arial" w:hAnsi="Arial" w:cs="Arial"/>
                <w:noProof/>
              </w:rPr>
              <w:t>4.3</w:t>
            </w:r>
            <w:r w:rsidR="000E1009" w:rsidRPr="00A5324A">
              <w:rPr>
                <w:rFonts w:ascii="Arial" w:hAnsi="Arial" w:cs="Arial"/>
                <w:noProof/>
              </w:rPr>
              <w:tab/>
            </w:r>
            <w:r w:rsidR="000E1009" w:rsidRPr="00A5324A">
              <w:rPr>
                <w:rStyle w:val="Hypertextovodkaz"/>
                <w:rFonts w:ascii="Arial" w:hAnsi="Arial" w:cs="Arial"/>
                <w:noProof/>
              </w:rPr>
              <w:t>Odůvodnění potřebnosti a účelnosti investice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0BD6E74B" w14:textId="172A29B1" w:rsidR="000E1009" w:rsidRPr="00A5324A" w:rsidRDefault="00096D63">
          <w:pPr>
            <w:pStyle w:val="Obsah2"/>
            <w:tabs>
              <w:tab w:val="left" w:pos="880"/>
              <w:tab w:val="right" w:leader="dot" w:pos="9062"/>
            </w:tabs>
            <w:rPr>
              <w:rFonts w:ascii="Arial" w:hAnsi="Arial" w:cs="Arial"/>
              <w:noProof/>
            </w:rPr>
          </w:pPr>
          <w:hyperlink w:anchor="_Toc112251733" w:history="1">
            <w:r w:rsidR="000E1009" w:rsidRPr="00A5324A">
              <w:rPr>
                <w:rStyle w:val="Hypertextovodkaz"/>
                <w:rFonts w:ascii="Arial" w:hAnsi="Arial" w:cs="Arial"/>
                <w:noProof/>
              </w:rPr>
              <w:t>4.4</w:t>
            </w:r>
            <w:r w:rsidR="000E1009" w:rsidRPr="00A5324A">
              <w:rPr>
                <w:rFonts w:ascii="Arial" w:hAnsi="Arial" w:cs="Arial"/>
                <w:noProof/>
              </w:rPr>
              <w:tab/>
            </w:r>
            <w:r w:rsidR="000E1009" w:rsidRPr="00A5324A">
              <w:rPr>
                <w:rStyle w:val="Hypertextovodkaz"/>
                <w:rFonts w:ascii="Arial" w:hAnsi="Arial" w:cs="Arial"/>
                <w:noProof/>
              </w:rPr>
              <w:t>Harmonogram realizace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E73E4F0" w14:textId="4B08202D" w:rsidR="000E1009" w:rsidRPr="00A5324A" w:rsidRDefault="00096D63">
          <w:pPr>
            <w:pStyle w:val="Obsah2"/>
            <w:tabs>
              <w:tab w:val="left" w:pos="880"/>
              <w:tab w:val="right" w:leader="dot" w:pos="9062"/>
            </w:tabs>
            <w:rPr>
              <w:rFonts w:ascii="Arial" w:hAnsi="Arial" w:cs="Arial"/>
              <w:noProof/>
            </w:rPr>
          </w:pPr>
          <w:hyperlink w:anchor="_Toc112251734" w:history="1">
            <w:r w:rsidR="000E1009" w:rsidRPr="00A5324A">
              <w:rPr>
                <w:rStyle w:val="Hypertextovodkaz"/>
                <w:rFonts w:ascii="Arial" w:hAnsi="Arial" w:cs="Arial"/>
                <w:noProof/>
              </w:rPr>
              <w:t>4.5</w:t>
            </w:r>
            <w:r w:rsidR="000E1009" w:rsidRPr="00A5324A">
              <w:rPr>
                <w:rFonts w:ascii="Arial" w:hAnsi="Arial" w:cs="Arial"/>
                <w:noProof/>
              </w:rPr>
              <w:tab/>
            </w:r>
            <w:r w:rsidR="000E1009" w:rsidRPr="00A5324A">
              <w:rPr>
                <w:rStyle w:val="Hypertextovodkaz"/>
                <w:rFonts w:ascii="Arial" w:hAnsi="Arial" w:cs="Arial"/>
                <w:noProof/>
              </w:rPr>
              <w:t>Připravenost projektu k realizaci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F22A9F9" w14:textId="44036AAE" w:rsidR="000E1009" w:rsidRPr="00A5324A" w:rsidRDefault="00096D63">
          <w:pPr>
            <w:pStyle w:val="Obsah2"/>
            <w:tabs>
              <w:tab w:val="left" w:pos="880"/>
              <w:tab w:val="right" w:leader="dot" w:pos="9062"/>
            </w:tabs>
            <w:rPr>
              <w:rFonts w:ascii="Arial" w:hAnsi="Arial" w:cs="Arial"/>
              <w:noProof/>
            </w:rPr>
          </w:pPr>
          <w:hyperlink w:anchor="_Toc112251735" w:history="1">
            <w:r w:rsidR="000E1009" w:rsidRPr="00A5324A">
              <w:rPr>
                <w:rStyle w:val="Hypertextovodkaz"/>
                <w:rFonts w:ascii="Arial" w:hAnsi="Arial" w:cs="Arial"/>
                <w:noProof/>
              </w:rPr>
              <w:t>4.6</w:t>
            </w:r>
            <w:r w:rsidR="000E1009" w:rsidRPr="00A5324A">
              <w:rPr>
                <w:rFonts w:ascii="Arial" w:hAnsi="Arial" w:cs="Arial"/>
                <w:noProof/>
              </w:rPr>
              <w:tab/>
            </w:r>
            <w:r w:rsidR="000E1009" w:rsidRPr="00A5324A">
              <w:rPr>
                <w:rStyle w:val="Hypertextovodkaz"/>
                <w:rFonts w:ascii="Arial" w:hAnsi="Arial" w:cs="Arial"/>
                <w:noProof/>
              </w:rPr>
              <w:t>Ekonomická/neekonomická činnost žadatele o podporu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7FDF86AD" w14:textId="2BA81B22"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36" w:history="1">
            <w:r w:rsidR="000E1009" w:rsidRPr="00A5324A">
              <w:rPr>
                <w:rStyle w:val="Hypertextovodkaz"/>
                <w:rFonts w:ascii="Arial" w:hAnsi="Arial" w:cs="Arial"/>
                <w:noProof/>
              </w:rPr>
              <w:t>5.</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Prokázání právních vztahů</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3D3E9727" w14:textId="22FD0246"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37" w:history="1">
            <w:r w:rsidR="000E1009" w:rsidRPr="00A5324A">
              <w:rPr>
                <w:rStyle w:val="Hypertextovodkaz"/>
                <w:rFonts w:ascii="Arial" w:hAnsi="Arial" w:cs="Arial"/>
                <w:noProof/>
              </w:rPr>
              <w:t>6.</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Soulad projektu s principy zajišťujícími rovnost, začlenění a nediskriminaci a s principy udržitelného Rozvoje (horizontální principy)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5399A32" w14:textId="7A54499C" w:rsidR="000E1009" w:rsidRPr="00A5324A" w:rsidRDefault="00096D63">
          <w:pPr>
            <w:pStyle w:val="Obsah2"/>
            <w:tabs>
              <w:tab w:val="left" w:pos="880"/>
              <w:tab w:val="right" w:leader="dot" w:pos="9062"/>
            </w:tabs>
            <w:rPr>
              <w:rFonts w:ascii="Arial" w:hAnsi="Arial" w:cs="Arial"/>
              <w:noProof/>
            </w:rPr>
          </w:pPr>
          <w:hyperlink w:anchor="_Toc112251740" w:history="1">
            <w:r w:rsidR="000E1009" w:rsidRPr="00A5324A">
              <w:rPr>
                <w:rStyle w:val="Hypertextovodkaz"/>
                <w:rFonts w:ascii="Arial" w:hAnsi="Arial" w:cs="Arial"/>
                <w:noProof/>
              </w:rPr>
              <w:t>6.1</w:t>
            </w:r>
            <w:r w:rsidR="000E1009" w:rsidRPr="00A5324A">
              <w:rPr>
                <w:rFonts w:ascii="Arial" w:hAnsi="Arial" w:cs="Arial"/>
                <w:noProof/>
              </w:rPr>
              <w:tab/>
            </w:r>
            <w:r w:rsidR="000E1009" w:rsidRPr="00A5324A">
              <w:rPr>
                <w:rStyle w:val="Hypertextovodkaz"/>
                <w:rFonts w:ascii="Arial" w:hAnsi="Arial" w:cs="Arial"/>
                <w:noProof/>
              </w:rPr>
              <w:t>Soulad projektu s principy zajišťujícími rovnost, začlenění a nediskriminaci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DDD40A3" w14:textId="620F8D9E" w:rsidR="000E1009" w:rsidRPr="00A5324A" w:rsidRDefault="00096D63">
          <w:pPr>
            <w:pStyle w:val="Obsah2"/>
            <w:tabs>
              <w:tab w:val="left" w:pos="880"/>
              <w:tab w:val="right" w:leader="dot" w:pos="9062"/>
            </w:tabs>
            <w:rPr>
              <w:rFonts w:ascii="Arial" w:hAnsi="Arial" w:cs="Arial"/>
              <w:noProof/>
            </w:rPr>
          </w:pPr>
          <w:hyperlink w:anchor="_Toc112251741" w:history="1">
            <w:r w:rsidR="000E1009" w:rsidRPr="00A5324A">
              <w:rPr>
                <w:rStyle w:val="Hypertextovodkaz"/>
                <w:rFonts w:ascii="Arial" w:hAnsi="Arial" w:cs="Arial"/>
                <w:noProof/>
              </w:rPr>
              <w:t>6.2</w:t>
            </w:r>
            <w:r w:rsidR="000E1009" w:rsidRPr="00A5324A">
              <w:rPr>
                <w:rFonts w:ascii="Arial" w:hAnsi="Arial" w:cs="Arial"/>
                <w:noProof/>
              </w:rPr>
              <w:tab/>
            </w:r>
            <w:r w:rsidR="000E1009" w:rsidRPr="00A5324A">
              <w:rPr>
                <w:rStyle w:val="Hypertextovodkaz"/>
                <w:rFonts w:ascii="Arial" w:hAnsi="Arial" w:cs="Arial"/>
                <w:noProof/>
              </w:rPr>
              <w:t>Soulad projektu s principy udržitelného rozvoje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1C058A34" w14:textId="4483624D"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42" w:history="1">
            <w:r w:rsidR="000E1009" w:rsidRPr="00A5324A">
              <w:rPr>
                <w:rStyle w:val="Hypertextovodkaz"/>
                <w:rFonts w:ascii="Arial" w:hAnsi="Arial" w:cs="Arial"/>
                <w:noProof/>
              </w:rPr>
              <w:t>7.</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Výstupy a výsledky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13</w:t>
            </w:r>
            <w:r w:rsidR="000E1009" w:rsidRPr="00A5324A">
              <w:rPr>
                <w:rFonts w:ascii="Arial" w:hAnsi="Arial" w:cs="Arial"/>
                <w:noProof/>
                <w:webHidden/>
              </w:rPr>
              <w:fldChar w:fldCharType="end"/>
            </w:r>
          </w:hyperlink>
        </w:p>
        <w:p w14:paraId="1B93B054" w14:textId="52B95B5E"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43" w:history="1">
            <w:r w:rsidR="000E1009" w:rsidRPr="00A5324A">
              <w:rPr>
                <w:rStyle w:val="Hypertextovodkaz"/>
                <w:rFonts w:ascii="Arial" w:hAnsi="Arial" w:cs="Arial"/>
                <w:noProof/>
              </w:rPr>
              <w:t>8.</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Způsob stanovení cen</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14</w:t>
            </w:r>
            <w:r w:rsidR="000E1009" w:rsidRPr="00A5324A">
              <w:rPr>
                <w:rFonts w:ascii="Arial" w:hAnsi="Arial" w:cs="Arial"/>
                <w:noProof/>
                <w:webHidden/>
              </w:rPr>
              <w:fldChar w:fldCharType="end"/>
            </w:r>
          </w:hyperlink>
        </w:p>
        <w:p w14:paraId="0BE04C47" w14:textId="1419C59D" w:rsidR="000E1009" w:rsidRPr="00A5324A" w:rsidRDefault="00096D63">
          <w:pPr>
            <w:pStyle w:val="Obsah1"/>
            <w:tabs>
              <w:tab w:val="left" w:pos="440"/>
              <w:tab w:val="right" w:leader="dot" w:pos="9062"/>
            </w:tabs>
            <w:rPr>
              <w:rFonts w:ascii="Arial" w:eastAsiaTheme="minorEastAsia" w:hAnsi="Arial" w:cs="Arial"/>
              <w:noProof/>
              <w:lang w:eastAsia="cs-CZ"/>
            </w:rPr>
          </w:pPr>
          <w:hyperlink w:anchor="_Toc112251744" w:history="1">
            <w:r w:rsidR="000E1009" w:rsidRPr="00A5324A">
              <w:rPr>
                <w:rStyle w:val="Hypertextovodkaz"/>
                <w:rFonts w:ascii="Arial" w:hAnsi="Arial" w:cs="Arial"/>
                <w:noProof/>
              </w:rPr>
              <w:t>9.</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Zajištění udržitelnosti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36DAF764" w14:textId="50726775" w:rsidR="000E1009" w:rsidRPr="00A5324A" w:rsidRDefault="00096D63">
          <w:pPr>
            <w:pStyle w:val="Obsah1"/>
            <w:tabs>
              <w:tab w:val="left" w:pos="660"/>
              <w:tab w:val="right" w:leader="dot" w:pos="9062"/>
            </w:tabs>
            <w:rPr>
              <w:rFonts w:ascii="Arial" w:eastAsiaTheme="minorEastAsia" w:hAnsi="Arial" w:cs="Arial"/>
              <w:noProof/>
              <w:lang w:eastAsia="cs-CZ"/>
            </w:rPr>
          </w:pPr>
          <w:hyperlink w:anchor="_Toc112251745" w:history="1">
            <w:r w:rsidR="000E1009" w:rsidRPr="00A5324A">
              <w:rPr>
                <w:rStyle w:val="Hypertextovodkaz"/>
                <w:rFonts w:ascii="Arial" w:hAnsi="Arial" w:cs="Arial"/>
                <w:noProof/>
              </w:rPr>
              <w:t>10.</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Veřejná podpora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095188A1" w14:textId="5C0947A0" w:rsidR="000E1009" w:rsidRPr="00A5324A" w:rsidRDefault="00096D63">
          <w:pPr>
            <w:pStyle w:val="Obsah1"/>
            <w:tabs>
              <w:tab w:val="left" w:pos="660"/>
              <w:tab w:val="right" w:leader="dot" w:pos="9062"/>
            </w:tabs>
            <w:rPr>
              <w:rFonts w:ascii="Arial" w:eastAsiaTheme="minorEastAsia" w:hAnsi="Arial" w:cs="Arial"/>
              <w:noProof/>
              <w:lang w:eastAsia="cs-CZ"/>
            </w:rPr>
          </w:pPr>
          <w:hyperlink w:anchor="_Toc112251746" w:history="1">
            <w:r w:rsidR="000E1009" w:rsidRPr="00A5324A">
              <w:rPr>
                <w:rStyle w:val="Hypertextovodkaz"/>
                <w:rFonts w:ascii="Arial" w:hAnsi="Arial" w:cs="Arial"/>
                <w:noProof/>
              </w:rPr>
              <w:t>11.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Finanční analýza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17F33F0A" w14:textId="04DBE62D" w:rsidR="000E1009" w:rsidRDefault="00096D63">
          <w:pPr>
            <w:pStyle w:val="Obsah1"/>
            <w:tabs>
              <w:tab w:val="left" w:pos="660"/>
              <w:tab w:val="right" w:leader="dot" w:pos="9062"/>
            </w:tabs>
            <w:rPr>
              <w:rFonts w:eastAsiaTheme="minorEastAsia"/>
              <w:noProof/>
              <w:lang w:eastAsia="cs-CZ"/>
            </w:rPr>
          </w:pPr>
          <w:hyperlink w:anchor="_Toc112251747" w:history="1">
            <w:r w:rsidR="000E1009" w:rsidRPr="00A5324A">
              <w:rPr>
                <w:rStyle w:val="Hypertextovodkaz"/>
                <w:rFonts w:ascii="Arial" w:hAnsi="Arial" w:cs="Arial"/>
                <w:noProof/>
              </w:rPr>
              <w:t>12.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Přílohy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19</w:t>
            </w:r>
            <w:r w:rsidR="000E1009" w:rsidRPr="00A5324A">
              <w:rPr>
                <w:rFonts w:ascii="Arial" w:hAnsi="Arial" w:cs="Arial"/>
                <w:noProof/>
                <w:webHidden/>
              </w:rPr>
              <w:fldChar w:fldCharType="end"/>
            </w:r>
          </w:hyperlink>
        </w:p>
        <w:p w14:paraId="6D7B7A04" w14:textId="5CBD0E1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77777777" w:rsidR="00A7021C" w:rsidRPr="00120713" w:rsidRDefault="00FF75E8" w:rsidP="00120713">
      <w:pPr>
        <w:pStyle w:val="Nadpis1"/>
      </w:pPr>
      <w:r w:rsidRPr="00120713">
        <w:br w:type="page"/>
      </w:r>
      <w:bookmarkStart w:id="6" w:name="_Toc112251722"/>
      <w:r w:rsidR="00F02008" w:rsidRPr="00120713">
        <w:t>Ú</w:t>
      </w:r>
      <w:r w:rsidR="00A7021C" w:rsidRPr="00120713">
        <w:t xml:space="preserve">vodní informace </w:t>
      </w:r>
      <w:r w:rsidR="00C44F44" w:rsidRPr="00120713">
        <w:t>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7" w:name="_Toc112251723"/>
      <w:r w:rsidRPr="00120713">
        <w:t>Základní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8" w:name="_Toc112251724"/>
      <w:r w:rsidRPr="00A7021C">
        <w:t>C</w:t>
      </w:r>
      <w:r w:rsidR="00A7021C" w:rsidRPr="00A7021C">
        <w:t>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3095CE14" w:rsidR="000A75EC" w:rsidRPr="00AF1EE7" w:rsidRDefault="000A75EC" w:rsidP="000C5821">
            <w:pPr>
              <w:pStyle w:val="Odstavecseseznamem"/>
              <w:spacing w:before="240"/>
              <w:ind w:left="0"/>
              <w:rPr>
                <w:rFonts w:ascii="Arial" w:hAnsi="Arial" w:cs="Arial"/>
                <w:i/>
                <w:iCs/>
              </w:rPr>
            </w:pPr>
            <w:r w:rsidRPr="00AF1EE7">
              <w:rPr>
                <w:rFonts w:ascii="Arial" w:hAnsi="Arial" w:cs="Arial"/>
                <w:i/>
                <w:iCs/>
              </w:rPr>
              <w:t>Uveďte v případě, kdy je rozdílné od subjektu žadatele (např. 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6679A79" w14:textId="0424CD81" w:rsidR="00F85978" w:rsidRPr="00AF1EE7"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4B02AA1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566EDB9" w14:textId="56549438" w:rsidR="00CC0D57" w:rsidRPr="00CC0D57" w:rsidRDefault="00CC0D57" w:rsidP="00CC0D57">
            <w:pPr>
              <w:spacing w:before="240"/>
              <w:rPr>
                <w:rFonts w:ascii="Arial" w:hAnsi="Arial" w:cs="Arial"/>
                <w:b/>
              </w:rPr>
            </w:pPr>
            <w:r>
              <w:rPr>
                <w:rFonts w:ascii="Arial" w:hAnsi="Arial" w:cs="Arial"/>
                <w:b/>
              </w:rPr>
              <w:t>Projekt je v souladu s Regionálním akčním plánem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BAA2C2" w14:textId="57409523" w:rsidR="00CC0D57" w:rsidRPr="00CC0D57" w:rsidRDefault="00CC0D57" w:rsidP="00CC0D57">
            <w:pPr>
              <w:pStyle w:val="Odstavecseseznamem"/>
              <w:spacing w:before="240"/>
              <w:ind w:left="0"/>
              <w:jc w:val="both"/>
              <w:rPr>
                <w:rFonts w:ascii="Arial" w:hAnsi="Arial" w:cs="Arial"/>
                <w:i/>
                <w:iCs/>
              </w:rPr>
            </w:pPr>
            <w:r>
              <w:rPr>
                <w:rFonts w:ascii="Arial" w:hAnsi="Arial" w:cs="Arial"/>
                <w:i/>
                <w:iCs/>
              </w:rPr>
              <w:t>Uveďte explicitní odkaz na Regionální akční plán</w:t>
            </w:r>
            <w:r w:rsidR="004A4A66">
              <w:rPr>
                <w:rFonts w:ascii="Arial" w:hAnsi="Arial" w:cs="Arial"/>
                <w:i/>
                <w:iCs/>
              </w:rPr>
              <w:t>, včetně kapitoly a strany dokumentu</w:t>
            </w:r>
            <w:r>
              <w:rPr>
                <w:rFonts w:ascii="Arial" w:hAnsi="Arial" w:cs="Arial"/>
                <w:i/>
                <w:iCs/>
              </w:rPr>
              <w:t>.</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nebo mimořádné události a krizové situace vzniklé v důsledku pandemií a epizootií.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a krizové situace vzniklé v důsledku pandemií a epizootií.</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9" w:name="_Toc112251725"/>
      <w:r w:rsidRPr="00120713">
        <w:t>Podrobný popis projektu</w:t>
      </w:r>
      <w:bookmarkEnd w:id="9"/>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0" w:name="_Toc112251726"/>
      <w:bookmarkStart w:id="11" w:name="_Toc66785512"/>
      <w:bookmarkEnd w:id="10"/>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2" w:name="_Toc112251727"/>
      <w:bookmarkEnd w:id="12"/>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3" w:name="_Toc112251728"/>
      <w:bookmarkEnd w:id="13"/>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4" w:name="_Toc112251729"/>
      <w:bookmarkEnd w:id="14"/>
    </w:p>
    <w:p w14:paraId="75B34DF4" w14:textId="135D20DD" w:rsidR="004C3B5E" w:rsidRPr="00120713" w:rsidRDefault="004C3B5E" w:rsidP="00507631">
      <w:pPr>
        <w:pStyle w:val="Nadpis2"/>
      </w:pPr>
      <w:bookmarkStart w:id="15" w:name="_Toc112251730"/>
      <w:r w:rsidRPr="00120713">
        <w:t>P</w:t>
      </w:r>
      <w:r w:rsidR="00A7021C" w:rsidRPr="00120713">
        <w:t xml:space="preserve">odrobný popis </w:t>
      </w:r>
      <w:r w:rsidRPr="00120713">
        <w:t>výchozího stavu</w:t>
      </w:r>
      <w:bookmarkEnd w:id="11"/>
      <w:bookmarkEnd w:id="15"/>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16" w:name="_Toc112251731"/>
      <w:r>
        <w:t>Popis jednotlivých částí projektu</w:t>
      </w:r>
      <w:bookmarkEnd w:id="16"/>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Opatření k zajištění kapacity nebo zodolnění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4360E61" w14:textId="77777777"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w:t>
            </w:r>
          </w:p>
          <w:p w14:paraId="28D2533E" w14:textId="77777777" w:rsidR="00CC0D57" w:rsidRPr="00CC0D57" w:rsidRDefault="00CC0D57" w:rsidP="00454BC4">
            <w:pPr>
              <w:spacing w:before="120" w:after="120" w:line="271" w:lineRule="auto"/>
              <w:rPr>
                <w:rFonts w:ascii="Arial" w:hAnsi="Arial" w:cs="Arial"/>
                <w:i/>
              </w:rPr>
            </w:pPr>
            <w:r w:rsidRPr="00CC0D57">
              <w:rPr>
                <w:rFonts w:ascii="Arial" w:hAnsi="Arial" w:cs="Arial"/>
              </w:rPr>
              <w:t>V popisu realizace zdůrazněte plnění uvedeného požadavku.</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47CC389E"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K žádosti musí být předloženo příslušné souhlasné stanovisko odboru Hlavního architekta eGovernmentu (OHA). Žadatel dokládá souhlasné stanovisko OHA, včetně Formuláře žádosti o stanovisko OHA typu A, případně vyjádření OHA o posouzení nereleva</w:t>
            </w:r>
            <w:r w:rsidR="00D95F35" w:rsidRPr="00454BC4">
              <w:rPr>
                <w:rFonts w:ascii="Arial" w:hAnsi="Arial" w:cs="Arial"/>
              </w:rPr>
              <w:t>n</w:t>
            </w:r>
            <w:r w:rsidRPr="00454BC4">
              <w:rPr>
                <w:rFonts w:ascii="Arial" w:hAnsi="Arial" w:cs="Arial"/>
              </w:rPr>
              <w:t xml:space="preserve">tnosti vydání stanoviska. Více viz příloha Specifických pravidel č. 8 Pravidla pro vydání souhlasného stanoviska odboru Hlavního architekta eGovernmentu. Žadatel může kromě souhlasného stanoviska OHA / vyjádření OHA o posouzení nerelevantnosti vydání stanoviska doložit i jen potvrzení o přijetí žádosti o vydání stanoviska od OHA, vzor potvrzení je přílohou č. 7. Specifických pravidel. Souhlasné stanovisko OHA je následně žadatel povinen doložit prostřednictvím ŽoZ (viz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6D333770"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případně vyjádření OHA o posouzení nereleva</w:t>
            </w:r>
            <w:r w:rsidR="00D95F35">
              <w:rPr>
                <w:rFonts w:ascii="Arial" w:hAnsi="Arial" w:cs="Arial"/>
              </w:rPr>
              <w:t>n</w:t>
            </w:r>
            <w:r w:rsidR="000C5821">
              <w:rPr>
                <w:rFonts w:ascii="Arial" w:hAnsi="Arial" w:cs="Arial"/>
              </w:rPr>
              <w:t>tnosti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Souhlasné stanovisko OHA je následně žadatel povinen doložit prostřednictvím ŽoZ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77777777"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454BC4">
        <w:trPr>
          <w:trHeight w:val="1304"/>
        </w:trPr>
        <w:tc>
          <w:tcPr>
            <w:tcW w:w="9209" w:type="dxa"/>
            <w:gridSpan w:val="2"/>
            <w:shd w:val="clear" w:color="auto" w:fill="D9D9D9" w:themeFill="background1" w:themeFillShade="D9"/>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454BC4">
        <w:trPr>
          <w:trHeight w:val="1304"/>
        </w:trPr>
        <w:tc>
          <w:tcPr>
            <w:tcW w:w="9209" w:type="dxa"/>
            <w:gridSpan w:val="2"/>
            <w:shd w:val="clear" w:color="auto" w:fill="D9D9D9" w:themeFill="background1" w:themeFillShade="D9"/>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0,95 x U</w:t>
            </w:r>
            <w:r w:rsidRPr="00454BC4">
              <w:rPr>
                <w:rFonts w:ascii="Arial" w:eastAsia="Calibri" w:hAnsi="Arial" w:cs="Arial"/>
                <w:b/>
                <w:bCs/>
                <w:color w:val="000000" w:themeColor="text1"/>
                <w:sz w:val="16"/>
                <w:szCs w:val="16"/>
              </w:rPr>
              <w:t>em,R</w:t>
            </w:r>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Ɵ</w:t>
            </w:r>
            <w:r w:rsidRPr="00454BC4">
              <w:rPr>
                <w:rFonts w:ascii="Arial" w:eastAsia="Calibri" w:hAnsi="Arial" w:cs="Arial"/>
                <w:b/>
                <w:bCs/>
                <w:color w:val="000000" w:themeColor="text1"/>
                <w:sz w:val="16"/>
                <w:szCs w:val="16"/>
              </w:rPr>
              <w:t>op,max,RQ</w:t>
            </w:r>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Zajištěna trvalá koncentrace CO2 ≤ 1500 ppm v obytných a pobytových místnostech v souladu s pravidlem správné praxe HK ČR r.č.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02"/>
        <w:gridCol w:w="2050"/>
      </w:tblGrid>
      <w:tr w:rsidR="009D07C5" w:rsidRPr="000E3E29" w14:paraId="13FA1F4C"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02"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17" w:name="_Toc112251732"/>
      <w:r w:rsidRPr="00C321D5">
        <w:t>Odůvodnění potřebnosti a účelnosti investice</w:t>
      </w:r>
      <w:bookmarkEnd w:id="17"/>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důsledku změn klimatu nebo CBRN mimořádné události nebo kybernetické útoky nebo mimořádné události a krizové situace vzniklé v důsledku pandemií a epizootií</w:t>
      </w:r>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6AA90569" w:rsidR="00A450F8" w:rsidRDefault="00A450F8" w:rsidP="003D5044">
      <w:pPr>
        <w:pStyle w:val="Odstavecseseznamem"/>
        <w:numPr>
          <w:ilvl w:val="0"/>
          <w:numId w:val="5"/>
        </w:numPr>
        <w:rPr>
          <w:rFonts w:ascii="Arial" w:hAnsi="Arial" w:cs="Arial"/>
        </w:rPr>
      </w:pPr>
      <w:r w:rsidRPr="005D5487">
        <w:rPr>
          <w:rFonts w:ascii="Arial" w:hAnsi="Arial" w:cs="Arial"/>
        </w:rPr>
        <w:t>popis souladu projektu s </w:t>
      </w:r>
      <w:r w:rsidR="005D5487" w:rsidRPr="005D5487">
        <w:rPr>
          <w:rFonts w:ascii="Arial" w:hAnsi="Arial" w:cs="Arial"/>
          <w:b/>
        </w:rPr>
        <w:t>Regionální</w:t>
      </w:r>
      <w:r w:rsidR="005D5487">
        <w:rPr>
          <w:rFonts w:ascii="Arial" w:hAnsi="Arial" w:cs="Arial"/>
          <w:b/>
        </w:rPr>
        <w:t>m</w:t>
      </w:r>
      <w:r w:rsidR="005D5487" w:rsidRPr="005D5487">
        <w:rPr>
          <w:rFonts w:ascii="Arial" w:hAnsi="Arial" w:cs="Arial"/>
          <w:b/>
        </w:rPr>
        <w:t xml:space="preserve"> akční</w:t>
      </w:r>
      <w:r w:rsidR="005D5487">
        <w:rPr>
          <w:rFonts w:ascii="Arial" w:hAnsi="Arial" w:cs="Arial"/>
          <w:b/>
        </w:rPr>
        <w:t>m</w:t>
      </w:r>
      <w:r w:rsidR="005D5487" w:rsidRPr="005D5487">
        <w:rPr>
          <w:rFonts w:ascii="Arial" w:hAnsi="Arial" w:cs="Arial"/>
          <w:b/>
        </w:rPr>
        <w:t xml:space="preserve"> plán</w:t>
      </w:r>
      <w:r w:rsidR="005D5487">
        <w:rPr>
          <w:rFonts w:ascii="Arial" w:hAnsi="Arial" w:cs="Arial"/>
          <w:b/>
        </w:rPr>
        <w:t>em</w:t>
      </w:r>
      <w:r w:rsidR="005D5487" w:rsidRPr="005D5487">
        <w:rPr>
          <w:rFonts w:ascii="Arial" w:hAnsi="Arial" w:cs="Arial"/>
        </w:rPr>
        <w:t xml:space="preserve"> </w:t>
      </w:r>
      <w:r w:rsidR="005D5487">
        <w:rPr>
          <w:rFonts w:ascii="Arial" w:hAnsi="Arial" w:cs="Arial"/>
        </w:rPr>
        <w:t xml:space="preserve">(RAP) </w:t>
      </w:r>
      <w:r w:rsidR="005D5487" w:rsidRPr="005D5487">
        <w:rPr>
          <w:rFonts w:ascii="Arial" w:hAnsi="Arial" w:cs="Arial"/>
        </w:rPr>
        <w:t>příslušného kraje</w:t>
      </w:r>
    </w:p>
    <w:p w14:paraId="30321347" w14:textId="4974EB11" w:rsidR="005D5487" w:rsidRPr="005D5487" w:rsidRDefault="005D5487" w:rsidP="003D5044">
      <w:pPr>
        <w:pStyle w:val="Odstavecseseznamem"/>
        <w:numPr>
          <w:ilvl w:val="1"/>
          <w:numId w:val="5"/>
        </w:numPr>
        <w:rPr>
          <w:rFonts w:ascii="Arial" w:hAnsi="Arial" w:cs="Arial"/>
        </w:rPr>
      </w:pPr>
      <w:r>
        <w:rPr>
          <w:rFonts w:ascii="Arial" w:hAnsi="Arial" w:cs="Arial"/>
        </w:rPr>
        <w:t>uveďte explicitní odkaz na RAP;</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18" w:name="_Toc112251733"/>
      <w:r>
        <w:t>Harmonogram realizace projektu</w:t>
      </w:r>
      <w:bookmarkEnd w:id="18"/>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19" w:name="_Toc112251734"/>
      <w:r>
        <w:t>Připravenost projektu k realizaci</w:t>
      </w:r>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0" w:name="_Toc112251735"/>
      <w:r>
        <w:t>Ekonomická/neekonomická činnost žadatele o podporu</w:t>
      </w:r>
      <w:bookmarkEnd w:id="20"/>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1" w:name="_Toc66785519"/>
      <w:bookmarkStart w:id="22" w:name="_Toc112251736"/>
      <w:r>
        <w:t>P</w:t>
      </w:r>
      <w:r w:rsidR="00574DFF" w:rsidRPr="006D444E">
        <w:t xml:space="preserve">rokázání </w:t>
      </w:r>
      <w:r w:rsidR="008306B9">
        <w:t xml:space="preserve">právních </w:t>
      </w:r>
      <w:r w:rsidR="00574DFF" w:rsidRPr="006D444E">
        <w:t>vztahů</w:t>
      </w:r>
      <w:bookmarkEnd w:id="21"/>
      <w:bookmarkEnd w:id="22"/>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p w14:paraId="6755609D" w14:textId="77777777" w:rsidR="001E4587" w:rsidRDefault="001E4587">
      <w:pPr>
        <w:rPr>
          <w:rFonts w:ascii="Arial" w:hAnsi="Arial" w:cs="Arial"/>
        </w:rPr>
      </w:pPr>
      <w:r>
        <w:rPr>
          <w:rFonts w:ascii="Arial" w:hAnsi="Arial" w:cs="Arial"/>
        </w:rPr>
        <w:br w:type="page"/>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3" w:name="_Toc522791279"/>
      <w:bookmarkStart w:id="24"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5" w:name="_Toc112251737"/>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5"/>
    </w:p>
    <w:p w14:paraId="6CA11353" w14:textId="5E811298" w:rsidR="00481654" w:rsidRPr="00481654" w:rsidRDefault="00481654" w:rsidP="00481654">
      <w:pPr>
        <w:spacing w:before="120"/>
        <w:jc w:val="both"/>
        <w:rPr>
          <w:rFonts w:ascii="Arial" w:hAnsi="Arial" w:cs="Arial"/>
        </w:rPr>
      </w:pPr>
      <w:r w:rsidRPr="00481654">
        <w:rPr>
          <w:rFonts w:ascii="Arial" w:hAnsi="Arial" w:cs="Arial"/>
        </w:rPr>
        <w:t xml:space="preserve">Žadatel o podporu určí, popíše a zdůvodní ke každému typu horizontálního principu vliv projektu na horizontální princip (pozitivní/negativní/neutrální).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6" w:name="_Toc112251738"/>
      <w:bookmarkEnd w:id="26"/>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7" w:name="_Toc112251739"/>
      <w:bookmarkEnd w:id="27"/>
    </w:p>
    <w:p w14:paraId="7A6F51A8" w14:textId="750B584B" w:rsidR="00481654" w:rsidRPr="00507631" w:rsidRDefault="00481654" w:rsidP="00507631">
      <w:pPr>
        <w:pStyle w:val="Nadpis2"/>
      </w:pPr>
      <w:bookmarkStart w:id="28" w:name="_Toc112251740"/>
      <w:r w:rsidRPr="00507631">
        <w:t>Soulad projektu s principy zajišťujícími rovnost, začlenění a nediskriminaci</w:t>
      </w:r>
      <w:bookmarkEnd w:id="28"/>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29" w:name="_Toc112251741"/>
      <w:r w:rsidRPr="00481654">
        <w:t>Soulad projektu s principy udržitelného rozvoje</w:t>
      </w:r>
      <w:bookmarkEnd w:id="29"/>
    </w:p>
    <w:p w14:paraId="7C13070A"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klima:</w:t>
      </w:r>
    </w:p>
    <w:p w14:paraId="54E09F76"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výsledky Dokumentace k prověřování z hlediska klimatického dopadu, zejména popis, že projektem nedojde ke zvýšení emisí skleníkových plynů a bude zajištěna klimatická odolnost 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30" w:name="_Toc112251742"/>
      <w:r w:rsidRPr="006D444E">
        <w:t xml:space="preserve">Výstupy </w:t>
      </w:r>
      <w:r w:rsidR="0069486F">
        <w:t xml:space="preserve">a výsledky </w:t>
      </w:r>
      <w:r w:rsidRPr="006D444E">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4CE2526" w14:textId="77777777" w:rsidR="0087154C" w:rsidRDefault="0087154C">
      <w:pPr>
        <w:rPr>
          <w:rFonts w:ascii="Arial" w:hAnsi="Arial" w:cs="Arial"/>
          <w:b/>
          <w:bCs/>
        </w:rPr>
      </w:pPr>
      <w:r>
        <w:rPr>
          <w:rFonts w:ascii="Arial" w:hAnsi="Arial" w:cs="Arial"/>
          <w:b/>
          <w:bCs/>
        </w:rPr>
        <w:br w:type="page"/>
      </w:r>
    </w:p>
    <w:p w14:paraId="1BF838D3" w14:textId="26AEA3C9"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1" w:name="_Toc112251743"/>
      <w:r>
        <w:t>Způsob stanovení cen</w:t>
      </w:r>
      <w:bookmarkEnd w:id="31"/>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Nad rámec rozpočtu projektu, který je zpracováván v MS2021+ a povinné přílohy žádosti o 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77777777" w:rsidR="00481654" w:rsidRP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3"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4" w:name="_Hlk106710774"/>
      <w:r w:rsidRPr="00481654">
        <w:rPr>
          <w:rFonts w:ascii="Arial" w:hAnsi="Arial" w:cs="Arial"/>
          <w:i/>
          <w:iCs/>
        </w:rPr>
        <w:t>kap. 3.3.4</w:t>
      </w:r>
      <w:bookmarkEnd w:id="34"/>
      <w:r w:rsidRPr="00481654">
        <w:rPr>
          <w:rFonts w:ascii="Arial" w:hAnsi="Arial" w:cs="Arial"/>
          <w:i/>
          <w:iCs/>
        </w:rPr>
        <w:t xml:space="preserve">). </w:t>
      </w:r>
    </w:p>
    <w:bookmarkEnd w:id="33"/>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VZ / hash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7A691836" w14:textId="77777777" w:rsidR="00481654" w:rsidRPr="00481654" w:rsidRDefault="00481654" w:rsidP="00481654">
      <w:pPr>
        <w:spacing w:before="120"/>
        <w:rPr>
          <w:rFonts w:ascii="Arial" w:hAnsi="Arial" w:cs="Arial"/>
        </w:rPr>
      </w:pPr>
      <w:r w:rsidRPr="00481654">
        <w:rPr>
          <w:rFonts w:ascii="Arial" w:hAnsi="Arial" w:cs="Arial"/>
        </w:rPr>
        <w:t xml:space="preserve">Komentář ke stanovení ceny do rozpočtu (pokud je relevantní). </w:t>
      </w:r>
    </w:p>
    <w:p w14:paraId="339AF02D" w14:textId="77777777" w:rsidR="00481654" w:rsidRDefault="00481654" w:rsidP="00781C2D">
      <w:pPr>
        <w:rPr>
          <w:rFonts w:ascii="Arial" w:hAnsi="Arial" w:cs="Arial"/>
        </w:rPr>
      </w:pPr>
    </w:p>
    <w:p w14:paraId="4DC6F85C" w14:textId="4373268E" w:rsidR="00781C2D" w:rsidRPr="00C321D5" w:rsidRDefault="00781C2D" w:rsidP="00781C2D">
      <w:pPr>
        <w:rPr>
          <w:rFonts w:ascii="Arial" w:hAnsi="Arial" w:cs="Arial"/>
        </w:rPr>
      </w:pPr>
      <w:r w:rsidRPr="00C321D5">
        <w:rPr>
          <w:rFonts w:ascii="Arial" w:hAnsi="Arial" w:cs="Arial"/>
        </w:rPr>
        <w:t xml:space="preserve"> </w:t>
      </w:r>
    </w:p>
    <w:p w14:paraId="5F045134" w14:textId="0D2851E5" w:rsidR="00574DFF" w:rsidRPr="006D444E" w:rsidRDefault="00574DFF" w:rsidP="00120713">
      <w:pPr>
        <w:pStyle w:val="Nadpis1"/>
      </w:pPr>
      <w:bookmarkStart w:id="35" w:name="_Toc66785522"/>
      <w:bookmarkStart w:id="36" w:name="_Toc112251744"/>
      <w:r w:rsidRPr="006D444E">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1E1379EE" w:rsidR="002D49EE" w:rsidRDefault="00481654" w:rsidP="00120713">
      <w:pPr>
        <w:pStyle w:val="Nadpis1"/>
      </w:pPr>
      <w:bookmarkStart w:id="38" w:name="_Toc112251745"/>
      <w:bookmarkStart w:id="39" w:name="_Hlk104472782"/>
      <w:r>
        <w:t>Veřejná podpora</w:t>
      </w:r>
      <w:bookmarkEnd w:id="38"/>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40" w:name="_Toc73346733"/>
      <w:bookmarkStart w:id="41" w:name="_Toc112251746"/>
      <w:bookmarkEnd w:id="39"/>
      <w:r w:rsidRPr="00D41461">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2" w:name="_Toc112251747"/>
      <w:r w:rsidRPr="008C6ADB">
        <w:t>P</w:t>
      </w:r>
      <w:r w:rsidR="00481654">
        <w:t>řílohy</w:t>
      </w:r>
      <w:bookmarkEnd w:id="42"/>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5761D" w14:textId="77777777" w:rsidR="001A7472" w:rsidRDefault="001A7472" w:rsidP="00634381">
      <w:pPr>
        <w:spacing w:after="0" w:line="240" w:lineRule="auto"/>
      </w:pPr>
      <w:r>
        <w:separator/>
      </w:r>
    </w:p>
  </w:endnote>
  <w:endnote w:type="continuationSeparator" w:id="0">
    <w:p w14:paraId="7A62FD30" w14:textId="77777777" w:rsidR="001A7472" w:rsidRDefault="001A7472" w:rsidP="00634381">
      <w:pPr>
        <w:spacing w:after="0" w:line="240" w:lineRule="auto"/>
      </w:pPr>
      <w:r>
        <w:continuationSeparator/>
      </w:r>
    </w:p>
  </w:endnote>
  <w:endnote w:type="continuationNotice" w:id="1">
    <w:p w14:paraId="607C54BD" w14:textId="77777777" w:rsidR="001A7472" w:rsidRDefault="001A74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54329"/>
      <w:docPartObj>
        <w:docPartGallery w:val="Page Numbers (Bottom of Page)"/>
        <w:docPartUnique/>
      </w:docPartObj>
    </w:sdtPr>
    <w:sdtEndPr/>
    <w:sdtContent>
      <w:sdt>
        <w:sdtPr>
          <w:id w:val="848523738"/>
          <w:docPartObj>
            <w:docPartGallery w:val="Page Numbers (Top of Page)"/>
            <w:docPartUnique/>
          </w:docPartObj>
        </w:sdtPr>
        <w:sdtEndPr/>
        <w:sdtContent>
          <w:p w14:paraId="040873D3" w14:textId="56107885" w:rsidR="00E3461B" w:rsidRDefault="00E346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96D63">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6D63">
              <w:rPr>
                <w:b/>
                <w:bCs/>
                <w:noProof/>
              </w:rPr>
              <w:t>19</w:t>
            </w:r>
            <w:r>
              <w:rPr>
                <w:b/>
                <w:bCs/>
                <w:sz w:val="24"/>
                <w:szCs w:val="24"/>
              </w:rPr>
              <w:fldChar w:fldCharType="end"/>
            </w:r>
          </w:p>
        </w:sdtContent>
      </w:sdt>
    </w:sdtContent>
  </w:sdt>
  <w:p w14:paraId="6F4B6526" w14:textId="77777777" w:rsidR="00907322" w:rsidRDefault="009073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30CE" w14:textId="7560389A" w:rsidR="0077415E" w:rsidRDefault="0077415E">
    <w:pPr>
      <w:pStyle w:val="Zpat"/>
      <w:jc w:val="right"/>
    </w:pPr>
  </w:p>
  <w:p w14:paraId="7FD5EA90" w14:textId="77777777" w:rsidR="00907322" w:rsidRPr="00E40011" w:rsidRDefault="0090732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411018"/>
      <w:docPartObj>
        <w:docPartGallery w:val="Page Numbers (Bottom of Page)"/>
        <w:docPartUnique/>
      </w:docPartObj>
    </w:sdtPr>
    <w:sdtEndPr/>
    <w:sdtContent>
      <w:sdt>
        <w:sdtPr>
          <w:id w:val="-1769616900"/>
          <w:docPartObj>
            <w:docPartGallery w:val="Page Numbers (Top of Page)"/>
            <w:docPartUnique/>
          </w:docPartObj>
        </w:sdtPr>
        <w:sdtEndPr/>
        <w:sdtContent>
          <w:p w14:paraId="390C791A" w14:textId="3512F9A2" w:rsidR="0077415E" w:rsidRDefault="0077415E">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96D63">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6D63">
              <w:rPr>
                <w:b/>
                <w:bCs/>
                <w:noProof/>
              </w:rPr>
              <w:t>19</w:t>
            </w:r>
            <w:r>
              <w:rPr>
                <w:b/>
                <w:bCs/>
                <w:sz w:val="24"/>
                <w:szCs w:val="24"/>
              </w:rPr>
              <w:fldChar w:fldCharType="end"/>
            </w:r>
          </w:p>
        </w:sdtContent>
      </w:sdt>
    </w:sdtContent>
  </w:sdt>
  <w:p w14:paraId="2DD644DA" w14:textId="77777777" w:rsidR="0077415E" w:rsidRPr="00E40011" w:rsidRDefault="0077415E">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06E17" w14:textId="77777777" w:rsidR="001A7472" w:rsidRDefault="001A7472" w:rsidP="00634381">
      <w:pPr>
        <w:spacing w:after="0" w:line="240" w:lineRule="auto"/>
      </w:pPr>
      <w:r>
        <w:separator/>
      </w:r>
    </w:p>
  </w:footnote>
  <w:footnote w:type="continuationSeparator" w:id="0">
    <w:p w14:paraId="2BBEF1AB" w14:textId="77777777" w:rsidR="001A7472" w:rsidRDefault="001A7472" w:rsidP="00634381">
      <w:pPr>
        <w:spacing w:after="0" w:line="240" w:lineRule="auto"/>
      </w:pPr>
      <w:r>
        <w:continuationSeparator/>
      </w:r>
    </w:p>
  </w:footnote>
  <w:footnote w:type="continuationNotice" w:id="1">
    <w:p w14:paraId="4E671820" w14:textId="77777777" w:rsidR="001A7472" w:rsidRDefault="001A7472">
      <w:pPr>
        <w:spacing w:after="0" w:line="240" w:lineRule="auto"/>
      </w:pPr>
    </w:p>
  </w:footnote>
  <w:footnote w:id="2">
    <w:p w14:paraId="428572C3" w14:textId="77777777" w:rsidR="00907322" w:rsidRDefault="00907322"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907322" w:rsidRPr="005731B8" w:rsidRDefault="00907322"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907322" w:rsidRDefault="00907322"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907322" w:rsidRDefault="00907322" w:rsidP="00481654">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0F10FFE5" w14:textId="374EBC90" w:rsidR="00907322" w:rsidRPr="00FF0E8C" w:rsidRDefault="00907322"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321C6994" w:rsidR="00907322" w:rsidRDefault="00907322" w:rsidP="008A17FD">
    <w:pPr>
      <w:pStyle w:val="Zhlav"/>
      <w:jc w:val="center"/>
    </w:pPr>
  </w:p>
  <w:p w14:paraId="4449436B" w14:textId="77777777" w:rsidR="00907322" w:rsidRDefault="009073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FD84" w14:textId="4E87F859" w:rsidR="00907322" w:rsidRDefault="0090732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1187" w14:textId="514F4E77" w:rsidR="00907322" w:rsidRDefault="0090732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70B1096" w:rsidR="00907322" w:rsidRDefault="00907322">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4"/>
  </w:num>
  <w:num w:numId="5">
    <w:abstractNumId w:val="0"/>
  </w:num>
  <w:num w:numId="6">
    <w:abstractNumId w:val="11"/>
  </w:num>
  <w:num w:numId="7">
    <w:abstractNumId w:val="5"/>
  </w:num>
  <w:num w:numId="8">
    <w:abstractNumId w:val="6"/>
  </w:num>
  <w:num w:numId="9">
    <w:abstractNumId w:val="2"/>
  </w:num>
  <w:num w:numId="10">
    <w:abstractNumId w:val="7"/>
  </w:num>
  <w:num w:numId="11">
    <w:abstractNumId w:val="9"/>
  </w:num>
  <w:num w:numId="12">
    <w:abstractNumId w:val="8"/>
  </w:num>
  <w:num w:numId="13">
    <w:abstractNumId w:val="13"/>
  </w:num>
  <w:num w:numId="14">
    <w:abstractNumId w:val="14"/>
  </w:num>
  <w:num w:numId="15">
    <w:abstractNumId w:val="3"/>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6D63"/>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472"/>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1FE7"/>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324A"/>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5F35"/>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7C1C5-9460-4F5A-B7BF-CCBE2F0B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19</Pages>
  <Words>4850</Words>
  <Characters>28618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98</cp:revision>
  <cp:lastPrinted>2022-04-14T06:45:00Z</cp:lastPrinted>
  <dcterms:created xsi:type="dcterms:W3CDTF">2022-04-25T09:24:00Z</dcterms:created>
  <dcterms:modified xsi:type="dcterms:W3CDTF">2023-03-30T08:16:00Z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