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6A25F" w14:textId="77777777" w:rsidR="003C5DF4" w:rsidRDefault="003C5DF4" w:rsidP="00B01CF8">
      <w:pPr>
        <w:pStyle w:val="Nadpis1"/>
        <w:pageBreakBefore/>
        <w:numPr>
          <w:ilvl w:val="0"/>
          <w:numId w:val="0"/>
        </w:numPr>
        <w:ind w:left="360" w:hanging="360"/>
        <w:jc w:val="center"/>
      </w:pPr>
      <w:r>
        <w:rPr>
          <w:noProof/>
        </w:rPr>
        <w:drawing>
          <wp:inline distT="0" distB="0" distL="0" distR="0" wp14:anchorId="54A8039F" wp14:editId="4C9FC2F4">
            <wp:extent cx="5753100" cy="12477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247775"/>
                    </a:xfrm>
                    <a:prstGeom prst="rect">
                      <a:avLst/>
                    </a:prstGeom>
                    <a:noFill/>
                  </pic:spPr>
                </pic:pic>
              </a:graphicData>
            </a:graphic>
          </wp:inline>
        </w:drawing>
      </w:r>
    </w:p>
    <w:p w14:paraId="3DCFFB97" w14:textId="77777777" w:rsidR="003C5DF4" w:rsidRPr="003C5DF4" w:rsidRDefault="003C5DF4" w:rsidP="003C5DF4"/>
    <w:p w14:paraId="6EF3AB0A" w14:textId="77777777" w:rsidR="003C5DF4" w:rsidRDefault="003C5DF4" w:rsidP="003C5DF4">
      <w:pPr>
        <w:jc w:val="center"/>
        <w:rPr>
          <w:b/>
          <w:sz w:val="36"/>
          <w:szCs w:val="36"/>
        </w:rPr>
      </w:pPr>
    </w:p>
    <w:p w14:paraId="14F5A103" w14:textId="77777777" w:rsidR="003C5DF4" w:rsidRDefault="003C5DF4" w:rsidP="003C5DF4">
      <w:pPr>
        <w:jc w:val="center"/>
        <w:rPr>
          <w:b/>
          <w:sz w:val="36"/>
          <w:szCs w:val="36"/>
        </w:rPr>
      </w:pPr>
    </w:p>
    <w:p w14:paraId="2E2EA5AA" w14:textId="77777777" w:rsidR="003C5DF4" w:rsidRDefault="003C5DF4" w:rsidP="003C5DF4">
      <w:pPr>
        <w:jc w:val="center"/>
        <w:rPr>
          <w:b/>
          <w:sz w:val="36"/>
          <w:szCs w:val="36"/>
        </w:rPr>
      </w:pPr>
    </w:p>
    <w:p w14:paraId="4E963FBA" w14:textId="77777777" w:rsidR="003C5DF4" w:rsidRDefault="003C5DF4" w:rsidP="003C5DF4">
      <w:pPr>
        <w:jc w:val="center"/>
        <w:rPr>
          <w:b/>
          <w:sz w:val="36"/>
          <w:szCs w:val="36"/>
        </w:rPr>
      </w:pPr>
    </w:p>
    <w:p w14:paraId="75179BA8" w14:textId="77777777" w:rsidR="003C5DF4" w:rsidRPr="003C5DF4" w:rsidRDefault="003C5DF4" w:rsidP="003C5DF4">
      <w:pPr>
        <w:pStyle w:val="Titulnstrana"/>
        <w:rPr>
          <w:sz w:val="36"/>
          <w:szCs w:val="36"/>
        </w:rPr>
      </w:pPr>
    </w:p>
    <w:p w14:paraId="25BB7B1D" w14:textId="77777777" w:rsidR="003C5DF4" w:rsidRPr="003C5DF4" w:rsidRDefault="003C5DF4" w:rsidP="003C5DF4">
      <w:pPr>
        <w:pStyle w:val="Titulnstrana"/>
        <w:rPr>
          <w:sz w:val="36"/>
          <w:szCs w:val="36"/>
        </w:rPr>
      </w:pPr>
      <w:r w:rsidRPr="003C5DF4">
        <w:rPr>
          <w:sz w:val="36"/>
          <w:szCs w:val="36"/>
        </w:rPr>
        <w:t xml:space="preserve">Návrh realokace </w:t>
      </w:r>
      <w:r w:rsidR="00990210">
        <w:rPr>
          <w:sz w:val="36"/>
          <w:szCs w:val="36"/>
        </w:rPr>
        <w:t>ESIF v souvislosti s</w:t>
      </w:r>
      <w:r w:rsidR="001459AE">
        <w:rPr>
          <w:sz w:val="36"/>
          <w:szCs w:val="36"/>
        </w:rPr>
        <w:t xml:space="preserve"> realizací </w:t>
      </w:r>
      <w:r w:rsidR="001334C7">
        <w:rPr>
          <w:sz w:val="36"/>
          <w:szCs w:val="36"/>
        </w:rPr>
        <w:t xml:space="preserve">projektů </w:t>
      </w:r>
      <w:r w:rsidR="00990210">
        <w:rPr>
          <w:sz w:val="36"/>
          <w:szCs w:val="36"/>
        </w:rPr>
        <w:t xml:space="preserve">digitalizace stavebního řízení </w:t>
      </w:r>
      <w:r w:rsidR="0022026B">
        <w:rPr>
          <w:sz w:val="36"/>
          <w:szCs w:val="36"/>
        </w:rPr>
        <w:t>a územního plánování v České republice</w:t>
      </w:r>
    </w:p>
    <w:p w14:paraId="246EBD69" w14:textId="77777777" w:rsidR="003C5DF4" w:rsidRPr="003C5DF4" w:rsidRDefault="003C5DF4" w:rsidP="003C5DF4">
      <w:pPr>
        <w:tabs>
          <w:tab w:val="left" w:pos="6105"/>
        </w:tabs>
        <w:jc w:val="center"/>
        <w:rPr>
          <w:b/>
          <w:sz w:val="36"/>
          <w:szCs w:val="36"/>
        </w:rPr>
      </w:pPr>
    </w:p>
    <w:p w14:paraId="0FE0D5BC" w14:textId="77777777" w:rsidR="003C5DF4" w:rsidRDefault="003C5DF4" w:rsidP="003C5DF4">
      <w:pPr>
        <w:spacing w:line="240" w:lineRule="auto"/>
        <w:jc w:val="center"/>
        <w:rPr>
          <w:rFonts w:eastAsia="Calibri"/>
          <w:sz w:val="28"/>
          <w:szCs w:val="28"/>
        </w:rPr>
      </w:pPr>
    </w:p>
    <w:p w14:paraId="3F744126" w14:textId="77777777" w:rsidR="003C5DF4" w:rsidRDefault="003C5DF4" w:rsidP="003C5DF4">
      <w:pPr>
        <w:spacing w:line="240" w:lineRule="auto"/>
        <w:jc w:val="center"/>
        <w:rPr>
          <w:rFonts w:eastAsia="Calibri"/>
          <w:sz w:val="28"/>
          <w:szCs w:val="28"/>
        </w:rPr>
      </w:pPr>
    </w:p>
    <w:p w14:paraId="69F41CF4" w14:textId="77777777" w:rsidR="003C5DF4" w:rsidRDefault="003C5DF4" w:rsidP="003C5DF4">
      <w:pPr>
        <w:spacing w:line="240" w:lineRule="auto"/>
        <w:jc w:val="center"/>
        <w:rPr>
          <w:rFonts w:eastAsia="Calibri"/>
          <w:sz w:val="28"/>
          <w:szCs w:val="28"/>
        </w:rPr>
      </w:pPr>
    </w:p>
    <w:p w14:paraId="5507A7CA" w14:textId="77777777" w:rsidR="003C5DF4" w:rsidRDefault="003C5DF4" w:rsidP="003C5DF4">
      <w:pPr>
        <w:spacing w:line="240" w:lineRule="auto"/>
        <w:jc w:val="center"/>
        <w:rPr>
          <w:rFonts w:eastAsia="Calibri"/>
          <w:sz w:val="28"/>
          <w:szCs w:val="28"/>
        </w:rPr>
      </w:pPr>
    </w:p>
    <w:p w14:paraId="21BCC07C" w14:textId="77777777" w:rsidR="003C5DF4" w:rsidRDefault="003C5DF4" w:rsidP="003C5DF4">
      <w:pPr>
        <w:spacing w:line="240" w:lineRule="auto"/>
        <w:jc w:val="center"/>
        <w:rPr>
          <w:rFonts w:eastAsia="Calibri"/>
          <w:sz w:val="28"/>
          <w:szCs w:val="28"/>
        </w:rPr>
      </w:pPr>
    </w:p>
    <w:p w14:paraId="61310F31" w14:textId="77777777" w:rsidR="003C5DF4" w:rsidRDefault="003C5DF4" w:rsidP="003C5DF4">
      <w:pPr>
        <w:spacing w:line="240" w:lineRule="auto"/>
        <w:jc w:val="center"/>
        <w:rPr>
          <w:rFonts w:eastAsia="Calibri"/>
          <w:sz w:val="28"/>
          <w:szCs w:val="28"/>
        </w:rPr>
      </w:pPr>
    </w:p>
    <w:p w14:paraId="3220A2D8" w14:textId="77777777" w:rsidR="003C5DF4" w:rsidRDefault="003C5DF4" w:rsidP="003C5DF4">
      <w:pPr>
        <w:spacing w:line="240" w:lineRule="auto"/>
        <w:jc w:val="center"/>
        <w:rPr>
          <w:rFonts w:eastAsia="Calibri"/>
          <w:sz w:val="28"/>
          <w:szCs w:val="28"/>
        </w:rPr>
      </w:pPr>
    </w:p>
    <w:p w14:paraId="2913FC5B" w14:textId="77777777" w:rsidR="003C5DF4" w:rsidRDefault="003C5DF4" w:rsidP="003C5DF4">
      <w:pPr>
        <w:spacing w:line="240" w:lineRule="auto"/>
        <w:jc w:val="center"/>
        <w:rPr>
          <w:rFonts w:eastAsia="Calibri"/>
          <w:sz w:val="28"/>
          <w:szCs w:val="28"/>
        </w:rPr>
      </w:pPr>
    </w:p>
    <w:p w14:paraId="7EC4F843" w14:textId="77777777" w:rsidR="003C5DF4" w:rsidRDefault="003C5DF4" w:rsidP="003C5DF4">
      <w:pPr>
        <w:spacing w:line="240" w:lineRule="auto"/>
        <w:jc w:val="center"/>
        <w:rPr>
          <w:rFonts w:eastAsia="Calibri"/>
          <w:sz w:val="28"/>
          <w:szCs w:val="28"/>
        </w:rPr>
      </w:pPr>
    </w:p>
    <w:p w14:paraId="65750DEF" w14:textId="77777777" w:rsidR="003C5DF4" w:rsidRDefault="003C5DF4" w:rsidP="003C5DF4">
      <w:pPr>
        <w:spacing w:line="240" w:lineRule="auto"/>
        <w:jc w:val="center"/>
        <w:rPr>
          <w:rFonts w:eastAsia="Calibri"/>
          <w:sz w:val="28"/>
          <w:szCs w:val="28"/>
        </w:rPr>
      </w:pPr>
    </w:p>
    <w:p w14:paraId="56A483BB" w14:textId="77777777" w:rsidR="003C5DF4" w:rsidRDefault="003C5DF4" w:rsidP="003C5DF4">
      <w:pPr>
        <w:spacing w:line="240" w:lineRule="auto"/>
        <w:jc w:val="center"/>
        <w:rPr>
          <w:rFonts w:eastAsia="Calibri"/>
          <w:sz w:val="28"/>
          <w:szCs w:val="28"/>
        </w:rPr>
      </w:pPr>
    </w:p>
    <w:p w14:paraId="005E8B15" w14:textId="77777777" w:rsidR="003C5DF4" w:rsidRDefault="003C5DF4" w:rsidP="003C5DF4">
      <w:pPr>
        <w:spacing w:line="240" w:lineRule="auto"/>
        <w:jc w:val="center"/>
        <w:rPr>
          <w:rFonts w:eastAsia="Calibri"/>
          <w:sz w:val="28"/>
          <w:szCs w:val="28"/>
        </w:rPr>
      </w:pPr>
    </w:p>
    <w:p w14:paraId="460A588E" w14:textId="39558BD9" w:rsidR="003C5DF4" w:rsidRPr="000701E9" w:rsidRDefault="00081DCF" w:rsidP="003C5DF4">
      <w:pPr>
        <w:pStyle w:val="Titulnstrana"/>
        <w:rPr>
          <w:b w:val="0"/>
        </w:rPr>
      </w:pPr>
      <w:r>
        <w:rPr>
          <w:b w:val="0"/>
        </w:rPr>
        <w:t>Srpen</w:t>
      </w:r>
      <w:r w:rsidRPr="000701E9">
        <w:rPr>
          <w:b w:val="0"/>
        </w:rPr>
        <w:t xml:space="preserve"> </w:t>
      </w:r>
      <w:r w:rsidR="003C5DF4" w:rsidRPr="000701E9">
        <w:rPr>
          <w:b w:val="0"/>
        </w:rPr>
        <w:t>201</w:t>
      </w:r>
      <w:r w:rsidR="00990210">
        <w:rPr>
          <w:b w:val="0"/>
        </w:rPr>
        <w:t>9</w:t>
      </w:r>
    </w:p>
    <w:p w14:paraId="15F414B5" w14:textId="77777777" w:rsidR="00CC5116" w:rsidRDefault="00CC5116" w:rsidP="00D0342E">
      <w:pPr>
        <w:spacing w:line="276" w:lineRule="auto"/>
        <w:rPr>
          <w:szCs w:val="20"/>
          <w:lang w:eastAsia="x-none"/>
        </w:rPr>
      </w:pPr>
    </w:p>
    <w:p w14:paraId="4FCB32CD" w14:textId="77777777" w:rsidR="003C5DF4" w:rsidRDefault="003C5DF4" w:rsidP="003C5DF4">
      <w:pPr>
        <w:pStyle w:val="Nadpis1"/>
      </w:pPr>
      <w:r>
        <w:lastRenderedPageBreak/>
        <w:t>Úvod</w:t>
      </w:r>
    </w:p>
    <w:p w14:paraId="4168D484" w14:textId="77777777" w:rsidR="00B501E4" w:rsidRDefault="0005002C" w:rsidP="005C0E7C">
      <w:pPr>
        <w:spacing w:line="276" w:lineRule="auto"/>
        <w:rPr>
          <w:szCs w:val="20"/>
          <w:lang w:eastAsia="x-none"/>
        </w:rPr>
      </w:pPr>
      <w:r>
        <w:rPr>
          <w:szCs w:val="20"/>
          <w:lang w:eastAsia="x-none"/>
        </w:rPr>
        <w:t xml:space="preserve">Oblast digitalizace stavebního řízení </w:t>
      </w:r>
      <w:r w:rsidR="003F5E03">
        <w:rPr>
          <w:szCs w:val="20"/>
          <w:lang w:eastAsia="x-none"/>
        </w:rPr>
        <w:t xml:space="preserve">a územního plánování </w:t>
      </w:r>
      <w:r w:rsidR="00DF74B2">
        <w:rPr>
          <w:szCs w:val="20"/>
          <w:lang w:eastAsia="x-none"/>
        </w:rPr>
        <w:t xml:space="preserve">je jednou ze základních </w:t>
      </w:r>
      <w:r>
        <w:rPr>
          <w:szCs w:val="20"/>
          <w:lang w:eastAsia="x-none"/>
        </w:rPr>
        <w:t>součást</w:t>
      </w:r>
      <w:r w:rsidR="00DF74B2">
        <w:rPr>
          <w:szCs w:val="20"/>
          <w:lang w:eastAsia="x-none"/>
        </w:rPr>
        <w:t>í</w:t>
      </w:r>
      <w:r>
        <w:rPr>
          <w:szCs w:val="20"/>
          <w:lang w:eastAsia="x-none"/>
        </w:rPr>
        <w:t xml:space="preserve"> </w:t>
      </w:r>
      <w:r w:rsidR="008253FA">
        <w:rPr>
          <w:szCs w:val="20"/>
          <w:lang w:eastAsia="x-none"/>
        </w:rPr>
        <w:br/>
        <w:t xml:space="preserve">tzv. </w:t>
      </w:r>
      <w:r>
        <w:rPr>
          <w:szCs w:val="20"/>
          <w:lang w:eastAsia="x-none"/>
        </w:rPr>
        <w:t>e</w:t>
      </w:r>
      <w:r w:rsidR="0075163F">
        <w:rPr>
          <w:szCs w:val="20"/>
          <w:lang w:eastAsia="x-none"/>
        </w:rPr>
        <w:t>G</w:t>
      </w:r>
      <w:r>
        <w:rPr>
          <w:szCs w:val="20"/>
          <w:lang w:eastAsia="x-none"/>
        </w:rPr>
        <w:t xml:space="preserve">overnmentu, tedy </w:t>
      </w:r>
      <w:r w:rsidRPr="0022026B">
        <w:rPr>
          <w:b/>
          <w:szCs w:val="20"/>
          <w:lang w:eastAsia="x-none"/>
        </w:rPr>
        <w:t>elektronizace veřejné správy</w:t>
      </w:r>
      <w:r>
        <w:rPr>
          <w:szCs w:val="20"/>
          <w:lang w:eastAsia="x-none"/>
        </w:rPr>
        <w:t xml:space="preserve">, jež </w:t>
      </w:r>
      <w:r w:rsidR="00DF74B2">
        <w:rPr>
          <w:szCs w:val="20"/>
          <w:lang w:eastAsia="x-none"/>
        </w:rPr>
        <w:t xml:space="preserve">představuje důležitý předpoklad </w:t>
      </w:r>
      <w:r w:rsidR="005C0E7C">
        <w:rPr>
          <w:szCs w:val="20"/>
          <w:lang w:eastAsia="x-none"/>
        </w:rPr>
        <w:t xml:space="preserve">jejího efektivního </w:t>
      </w:r>
      <w:r w:rsidR="008253FA">
        <w:rPr>
          <w:szCs w:val="20"/>
          <w:lang w:eastAsia="x-none"/>
        </w:rPr>
        <w:br/>
      </w:r>
      <w:r w:rsidR="003F5E03">
        <w:rPr>
          <w:szCs w:val="20"/>
          <w:lang w:eastAsia="x-none"/>
        </w:rPr>
        <w:t xml:space="preserve">a transparentního </w:t>
      </w:r>
      <w:r w:rsidR="005C0E7C">
        <w:rPr>
          <w:szCs w:val="20"/>
          <w:lang w:eastAsia="x-none"/>
        </w:rPr>
        <w:t xml:space="preserve">fungování. </w:t>
      </w:r>
      <w:r w:rsidR="003F5E03" w:rsidRPr="00B501E4">
        <w:rPr>
          <w:szCs w:val="20"/>
          <w:lang w:eastAsia="x-none"/>
        </w:rPr>
        <w:t>V České republice v současné době</w:t>
      </w:r>
      <w:r w:rsidR="00BE5380">
        <w:rPr>
          <w:szCs w:val="20"/>
          <w:lang w:eastAsia="x-none"/>
        </w:rPr>
        <w:t xml:space="preserve"> </w:t>
      </w:r>
      <w:r w:rsidR="003F5E03" w:rsidRPr="0022026B">
        <w:rPr>
          <w:b/>
          <w:szCs w:val="20"/>
          <w:lang w:eastAsia="x-none"/>
        </w:rPr>
        <w:t>neexistuje ucelený informační systém pro výkon stavebních agend</w:t>
      </w:r>
      <w:r w:rsidR="003F5E03" w:rsidRPr="00B501E4">
        <w:rPr>
          <w:szCs w:val="20"/>
          <w:lang w:eastAsia="x-none"/>
        </w:rPr>
        <w:t>, který by umožnil on-line dostupnost</w:t>
      </w:r>
      <w:r w:rsidR="00D606E5">
        <w:rPr>
          <w:szCs w:val="20"/>
          <w:lang w:eastAsia="x-none"/>
        </w:rPr>
        <w:t xml:space="preserve"> všech potřebných informací</w:t>
      </w:r>
      <w:r w:rsidR="00A039C4">
        <w:rPr>
          <w:szCs w:val="20"/>
          <w:lang w:eastAsia="x-none"/>
        </w:rPr>
        <w:t xml:space="preserve"> </w:t>
      </w:r>
      <w:r w:rsidR="00D606E5">
        <w:rPr>
          <w:szCs w:val="20"/>
          <w:lang w:eastAsia="x-none"/>
        </w:rPr>
        <w:t xml:space="preserve">a </w:t>
      </w:r>
      <w:r w:rsidR="00CA2C44">
        <w:rPr>
          <w:szCs w:val="20"/>
          <w:lang w:eastAsia="x-none"/>
        </w:rPr>
        <w:t xml:space="preserve">zefektivnění </w:t>
      </w:r>
      <w:r w:rsidR="00D606E5">
        <w:rPr>
          <w:szCs w:val="20"/>
          <w:lang w:eastAsia="x-none"/>
        </w:rPr>
        <w:t>souvisejících procesů.</w:t>
      </w:r>
      <w:r w:rsidR="003F5E03" w:rsidRPr="00B501E4">
        <w:rPr>
          <w:szCs w:val="20"/>
          <w:lang w:eastAsia="x-none"/>
        </w:rPr>
        <w:t xml:space="preserve"> </w:t>
      </w:r>
      <w:r w:rsidR="00B501E4">
        <w:rPr>
          <w:szCs w:val="20"/>
          <w:lang w:eastAsia="x-none"/>
        </w:rPr>
        <w:t xml:space="preserve"> </w:t>
      </w:r>
    </w:p>
    <w:p w14:paraId="6DAD90F6" w14:textId="77777777" w:rsidR="003579C0" w:rsidRDefault="003579C0" w:rsidP="005F3400">
      <w:pPr>
        <w:spacing w:line="276" w:lineRule="auto"/>
        <w:rPr>
          <w:szCs w:val="20"/>
          <w:lang w:eastAsia="x-none"/>
        </w:rPr>
      </w:pPr>
      <w:r>
        <w:rPr>
          <w:szCs w:val="20"/>
          <w:lang w:eastAsia="x-none"/>
        </w:rPr>
        <w:t>Komplikovanost přípravy staveb, zdlouhavé</w:t>
      </w:r>
      <w:r w:rsidR="00C94425">
        <w:rPr>
          <w:szCs w:val="20"/>
          <w:lang w:eastAsia="x-none"/>
        </w:rPr>
        <w:t xml:space="preserve"> procesy umisťování a povolování staveb v ČR </w:t>
      </w:r>
      <w:r w:rsidR="00485FC4">
        <w:rPr>
          <w:szCs w:val="20"/>
          <w:lang w:eastAsia="x-none"/>
        </w:rPr>
        <w:t>a spojená administrativní zátěž negativně ovlivňuje podnikatelské prostředí a konkurenceschopnost ekonomiky, jak vyplývá z řady analýz, např. Doing Bussiness</w:t>
      </w:r>
      <w:r w:rsidR="00485FC4" w:rsidRPr="00C94425">
        <w:rPr>
          <w:szCs w:val="20"/>
          <w:lang w:eastAsia="x-none"/>
        </w:rPr>
        <w:t xml:space="preserve"> </w:t>
      </w:r>
      <w:r w:rsidR="00485FC4">
        <w:rPr>
          <w:szCs w:val="20"/>
          <w:lang w:eastAsia="x-none"/>
        </w:rPr>
        <w:t>(Světová banka)</w:t>
      </w:r>
      <w:r w:rsidR="00C94425">
        <w:rPr>
          <w:szCs w:val="20"/>
          <w:lang w:eastAsia="x-none"/>
        </w:rPr>
        <w:t xml:space="preserve">, </w:t>
      </w:r>
      <w:r w:rsidR="00485FC4">
        <w:rPr>
          <w:szCs w:val="20"/>
          <w:lang w:eastAsia="x-none"/>
        </w:rPr>
        <w:t>Global Competitiveness report (Světové ekonomické fórum), aj.</w:t>
      </w:r>
      <w:r w:rsidR="00C94425">
        <w:rPr>
          <w:szCs w:val="20"/>
          <w:lang w:eastAsia="x-none"/>
        </w:rPr>
        <w:t xml:space="preserve"> </w:t>
      </w:r>
    </w:p>
    <w:p w14:paraId="369F125F" w14:textId="77777777" w:rsidR="005F3400" w:rsidRDefault="005F3400" w:rsidP="005F3400">
      <w:pPr>
        <w:spacing w:line="276" w:lineRule="auto"/>
        <w:rPr>
          <w:szCs w:val="20"/>
          <w:lang w:eastAsia="x-none"/>
        </w:rPr>
      </w:pPr>
      <w:r w:rsidRPr="002873D6">
        <w:rPr>
          <w:szCs w:val="20"/>
          <w:lang w:eastAsia="x-none"/>
        </w:rPr>
        <w:t xml:space="preserve">Na nedostatečný pokrok digitalizace veřejné správy </w:t>
      </w:r>
      <w:r>
        <w:rPr>
          <w:szCs w:val="20"/>
          <w:lang w:eastAsia="x-none"/>
        </w:rPr>
        <w:t xml:space="preserve">v oblasti </w:t>
      </w:r>
      <w:r w:rsidR="00CA2C44">
        <w:rPr>
          <w:szCs w:val="20"/>
          <w:lang w:eastAsia="x-none"/>
        </w:rPr>
        <w:t xml:space="preserve">umisťování a </w:t>
      </w:r>
      <w:r>
        <w:rPr>
          <w:szCs w:val="20"/>
          <w:lang w:eastAsia="x-none"/>
        </w:rPr>
        <w:t xml:space="preserve">povolování staveb </w:t>
      </w:r>
      <w:r w:rsidRPr="002873D6">
        <w:rPr>
          <w:szCs w:val="20"/>
          <w:lang w:eastAsia="x-none"/>
        </w:rPr>
        <w:t xml:space="preserve">poukazuje opakovaně i </w:t>
      </w:r>
      <w:r>
        <w:rPr>
          <w:szCs w:val="20"/>
          <w:lang w:eastAsia="x-none"/>
        </w:rPr>
        <w:t xml:space="preserve">Rada </w:t>
      </w:r>
      <w:r w:rsidRPr="002873D6">
        <w:rPr>
          <w:szCs w:val="20"/>
          <w:lang w:eastAsia="x-none"/>
        </w:rPr>
        <w:t>Evropská</w:t>
      </w:r>
      <w:r>
        <w:rPr>
          <w:szCs w:val="20"/>
          <w:lang w:eastAsia="x-none"/>
        </w:rPr>
        <w:t xml:space="preserve"> unie</w:t>
      </w:r>
      <w:r w:rsidRPr="002873D6">
        <w:rPr>
          <w:szCs w:val="20"/>
          <w:lang w:eastAsia="x-none"/>
        </w:rPr>
        <w:t xml:space="preserve">, např. </w:t>
      </w:r>
      <w:r>
        <w:rPr>
          <w:szCs w:val="20"/>
          <w:lang w:eastAsia="x-none"/>
        </w:rPr>
        <w:t xml:space="preserve">naposledy </w:t>
      </w:r>
      <w:r w:rsidRPr="002873D6">
        <w:rPr>
          <w:szCs w:val="20"/>
          <w:lang w:eastAsia="x-none"/>
        </w:rPr>
        <w:t>prostřednictvím Specifických</w:t>
      </w:r>
      <w:r>
        <w:rPr>
          <w:szCs w:val="20"/>
          <w:lang w:eastAsia="x-none"/>
        </w:rPr>
        <w:t xml:space="preserve"> doporučení Rady pro rok 2019 (dále SDR), jež jsou vydávána jako součást Evropského semestru. Zde Rada doporučuje České republice </w:t>
      </w:r>
      <w:r w:rsidRPr="00097DCB">
        <w:rPr>
          <w:szCs w:val="20"/>
          <w:lang w:eastAsia="x-none"/>
        </w:rPr>
        <w:t xml:space="preserve">zaměřit se na digitální infrastrukturu a snížení administrativní zátěže pro investice, vč. zrychlení povolovacích procesů pro infrastrukturní stavby. </w:t>
      </w:r>
      <w:r>
        <w:rPr>
          <w:szCs w:val="20"/>
          <w:lang w:eastAsia="x-none"/>
        </w:rPr>
        <w:t xml:space="preserve"> </w:t>
      </w:r>
    </w:p>
    <w:p w14:paraId="0F909AA9" w14:textId="77777777" w:rsidR="005F3400" w:rsidRDefault="00382448" w:rsidP="005F3400">
      <w:pPr>
        <w:spacing w:line="276" w:lineRule="auto"/>
        <w:rPr>
          <w:szCs w:val="20"/>
          <w:lang w:eastAsia="x-none"/>
        </w:rPr>
      </w:pPr>
      <w:r>
        <w:rPr>
          <w:szCs w:val="20"/>
          <w:lang w:eastAsia="x-none"/>
        </w:rPr>
        <w:t xml:space="preserve">Současně existuje řada </w:t>
      </w:r>
      <w:r w:rsidR="00BE5380">
        <w:rPr>
          <w:szCs w:val="20"/>
          <w:lang w:eastAsia="x-none"/>
        </w:rPr>
        <w:t xml:space="preserve">vzájemně provázaných </w:t>
      </w:r>
      <w:r>
        <w:rPr>
          <w:szCs w:val="20"/>
          <w:lang w:eastAsia="x-none"/>
        </w:rPr>
        <w:t>problémů v oblasti rozvoje vysokorychlostního internetu, jako nedostatky ve sdíleném</w:t>
      </w:r>
      <w:r w:rsidR="008A3571" w:rsidRPr="008A3571">
        <w:rPr>
          <w:szCs w:val="20"/>
          <w:lang w:eastAsia="x-none"/>
        </w:rPr>
        <w:t xml:space="preserve"> využívání</w:t>
      </w:r>
      <w:r w:rsidR="008A3571">
        <w:rPr>
          <w:szCs w:val="20"/>
          <w:lang w:eastAsia="x-none"/>
        </w:rPr>
        <w:t xml:space="preserve"> </w:t>
      </w:r>
      <w:r w:rsidR="008A3571" w:rsidRPr="008A3571">
        <w:rPr>
          <w:szCs w:val="20"/>
          <w:lang w:eastAsia="x-none"/>
        </w:rPr>
        <w:t>fyzické infrastruktury</w:t>
      </w:r>
      <w:r w:rsidR="008A3571">
        <w:rPr>
          <w:szCs w:val="20"/>
          <w:lang w:eastAsia="x-none"/>
        </w:rPr>
        <w:t xml:space="preserve"> </w:t>
      </w:r>
      <w:r w:rsidR="005F3400" w:rsidRPr="005F3400">
        <w:rPr>
          <w:szCs w:val="20"/>
          <w:lang w:eastAsia="x-none"/>
        </w:rPr>
        <w:t>elektronických komunikací</w:t>
      </w:r>
      <w:r w:rsidR="00BE5380">
        <w:rPr>
          <w:szCs w:val="20"/>
          <w:lang w:eastAsia="x-none"/>
        </w:rPr>
        <w:t xml:space="preserve"> dle směrnice 2014/61</w:t>
      </w:r>
      <w:r>
        <w:rPr>
          <w:szCs w:val="20"/>
          <w:lang w:eastAsia="x-none"/>
        </w:rPr>
        <w:t>, povinnost zajistit</w:t>
      </w:r>
      <w:r w:rsidR="00BE5380">
        <w:rPr>
          <w:szCs w:val="20"/>
          <w:lang w:eastAsia="x-none"/>
        </w:rPr>
        <w:t xml:space="preserve"> zeměpisné mapování dosahu sítí elektronických komunikací dle směrnice 2018/1972 a </w:t>
      </w:r>
      <w:r>
        <w:rPr>
          <w:szCs w:val="20"/>
          <w:lang w:eastAsia="x-none"/>
        </w:rPr>
        <w:t>potřeba zlepšit mapování pro vyhodnocování potřeb intervencí z ESIF pro podporu budování vysokorychlostních sítí elektronických komunikací</w:t>
      </w:r>
      <w:r w:rsidR="00BE5380">
        <w:rPr>
          <w:szCs w:val="20"/>
          <w:lang w:eastAsia="x-none"/>
        </w:rPr>
        <w:t>.</w:t>
      </w:r>
      <w:r>
        <w:rPr>
          <w:szCs w:val="20"/>
          <w:lang w:eastAsia="x-none"/>
        </w:rPr>
        <w:t xml:space="preserve"> </w:t>
      </w:r>
    </w:p>
    <w:p w14:paraId="3989F832" w14:textId="77777777" w:rsidR="00D606E5" w:rsidRDefault="002873D6" w:rsidP="002C275E">
      <w:pPr>
        <w:spacing w:line="276" w:lineRule="auto"/>
        <w:rPr>
          <w:rFonts w:cstheme="minorHAnsi"/>
          <w:bCs/>
          <w:szCs w:val="28"/>
        </w:rPr>
      </w:pPr>
      <w:r w:rsidRPr="002C275E">
        <w:rPr>
          <w:szCs w:val="20"/>
          <w:lang w:eastAsia="x-none"/>
        </w:rPr>
        <w:t xml:space="preserve">Z výše uvedených důvodů </w:t>
      </w:r>
      <w:r w:rsidR="00DF74B2" w:rsidRPr="00342D60">
        <w:rPr>
          <w:b/>
          <w:szCs w:val="20"/>
          <w:lang w:eastAsia="x-none"/>
        </w:rPr>
        <w:t>MMR</w:t>
      </w:r>
      <w:r w:rsidR="00DF74B2" w:rsidRPr="0022026B">
        <w:rPr>
          <w:b/>
          <w:szCs w:val="20"/>
          <w:lang w:eastAsia="x-none"/>
        </w:rPr>
        <w:t xml:space="preserve"> připravilo koncepci digitalizace</w:t>
      </w:r>
      <w:r w:rsidR="00990275" w:rsidRPr="0022026B">
        <w:rPr>
          <w:b/>
          <w:szCs w:val="20"/>
          <w:lang w:eastAsia="x-none"/>
        </w:rPr>
        <w:t xml:space="preserve"> stavebního řízení</w:t>
      </w:r>
      <w:r w:rsidRPr="0022026B">
        <w:rPr>
          <w:b/>
          <w:szCs w:val="20"/>
          <w:lang w:eastAsia="x-none"/>
        </w:rPr>
        <w:t xml:space="preserve"> a územního plánování (dále DSŘ)</w:t>
      </w:r>
      <w:r w:rsidR="00BD3FF4">
        <w:rPr>
          <w:szCs w:val="20"/>
          <w:lang w:eastAsia="x-none"/>
        </w:rPr>
        <w:t>. J</w:t>
      </w:r>
      <w:r w:rsidR="002C275E">
        <w:rPr>
          <w:szCs w:val="20"/>
          <w:lang w:eastAsia="x-none"/>
        </w:rPr>
        <w:t>e</w:t>
      </w:r>
      <w:r w:rsidR="00342D60">
        <w:rPr>
          <w:szCs w:val="20"/>
          <w:lang w:eastAsia="x-none"/>
        </w:rPr>
        <w:t>jím</w:t>
      </w:r>
      <w:r w:rsidR="002C275E">
        <w:rPr>
          <w:szCs w:val="20"/>
          <w:lang w:eastAsia="x-none"/>
        </w:rPr>
        <w:t xml:space="preserve"> cílem je</w:t>
      </w:r>
      <w:r w:rsidR="009137B0">
        <w:rPr>
          <w:szCs w:val="20"/>
          <w:lang w:eastAsia="x-none"/>
        </w:rPr>
        <w:t xml:space="preserve"> zjednodušit opatřování podkladů před zahájením řízení, zajistit vedení elektronického správního spisu s veškerými dokumenty a zjednodušit podání prostřednictvím interaktivních formulářů, umožnit získáv</w:t>
      </w:r>
      <w:r w:rsidR="00BD3FF4">
        <w:rPr>
          <w:szCs w:val="20"/>
          <w:lang w:eastAsia="x-none"/>
        </w:rPr>
        <w:t>ání</w:t>
      </w:r>
      <w:r w:rsidR="009137B0">
        <w:rPr>
          <w:szCs w:val="20"/>
          <w:lang w:eastAsia="x-none"/>
        </w:rPr>
        <w:t xml:space="preserve"> informac</w:t>
      </w:r>
      <w:r w:rsidR="00BD3FF4">
        <w:rPr>
          <w:szCs w:val="20"/>
          <w:lang w:eastAsia="x-none"/>
        </w:rPr>
        <w:t>í</w:t>
      </w:r>
      <w:r w:rsidR="009137B0">
        <w:rPr>
          <w:szCs w:val="20"/>
          <w:lang w:eastAsia="x-none"/>
        </w:rPr>
        <w:t xml:space="preserve"> o stavu řízení, </w:t>
      </w:r>
      <w:bookmarkStart w:id="0" w:name="_MailAutoSig"/>
      <w:r w:rsidR="00BD3FF4">
        <w:rPr>
          <w:szCs w:val="20"/>
          <w:lang w:eastAsia="x-none"/>
        </w:rPr>
        <w:t xml:space="preserve">umožnit </w:t>
      </w:r>
      <w:r w:rsidR="009137B0">
        <w:rPr>
          <w:szCs w:val="20"/>
          <w:lang w:eastAsia="x-none"/>
        </w:rPr>
        <w:t>správ</w:t>
      </w:r>
      <w:r w:rsidR="00BD3FF4">
        <w:rPr>
          <w:szCs w:val="20"/>
          <w:lang w:eastAsia="x-none"/>
        </w:rPr>
        <w:t>u</w:t>
      </w:r>
      <w:r w:rsidR="009137B0">
        <w:rPr>
          <w:szCs w:val="20"/>
          <w:lang w:eastAsia="x-none"/>
        </w:rPr>
        <w:t xml:space="preserve"> projektových dokumentací staveb </w:t>
      </w:r>
      <w:r w:rsidR="009137B0" w:rsidRPr="00342D60">
        <w:rPr>
          <w:szCs w:val="20"/>
          <w:lang w:eastAsia="x-none"/>
        </w:rPr>
        <w:t xml:space="preserve">ve </w:t>
      </w:r>
      <w:r w:rsidR="00DF24C2" w:rsidRPr="00342D60">
        <w:rPr>
          <w:szCs w:val="20"/>
          <w:lang w:eastAsia="x-none"/>
        </w:rPr>
        <w:t>standardiz</w:t>
      </w:r>
      <w:r w:rsidR="009137B0" w:rsidRPr="00342D60">
        <w:rPr>
          <w:szCs w:val="20"/>
          <w:lang w:eastAsia="x-none"/>
        </w:rPr>
        <w:t>ovaných formátech</w:t>
      </w:r>
      <w:r w:rsidR="009137B0">
        <w:rPr>
          <w:szCs w:val="20"/>
          <w:lang w:eastAsia="x-none"/>
        </w:rPr>
        <w:t xml:space="preserve"> (pdf, dwg a BIM)</w:t>
      </w:r>
      <w:r w:rsidR="009137B0" w:rsidRPr="00342D60">
        <w:rPr>
          <w:szCs w:val="20"/>
          <w:lang w:eastAsia="x-none"/>
        </w:rPr>
        <w:t xml:space="preserve">, </w:t>
      </w:r>
      <w:r w:rsidR="00BD3FF4">
        <w:rPr>
          <w:szCs w:val="20"/>
          <w:lang w:eastAsia="x-none"/>
        </w:rPr>
        <w:t>aby bylo</w:t>
      </w:r>
      <w:r w:rsidR="009137B0" w:rsidRPr="00342D60">
        <w:rPr>
          <w:szCs w:val="20"/>
          <w:lang w:eastAsia="x-none"/>
        </w:rPr>
        <w:t xml:space="preserve"> možn</w:t>
      </w:r>
      <w:r w:rsidR="00BD3FF4">
        <w:rPr>
          <w:szCs w:val="20"/>
          <w:lang w:eastAsia="x-none"/>
        </w:rPr>
        <w:t xml:space="preserve">é </w:t>
      </w:r>
      <w:r w:rsidR="009137B0" w:rsidRPr="00342D60">
        <w:rPr>
          <w:szCs w:val="20"/>
          <w:lang w:eastAsia="x-none"/>
        </w:rPr>
        <w:t>jejich další využití</w:t>
      </w:r>
      <w:r w:rsidR="00DF24C2">
        <w:rPr>
          <w:szCs w:val="20"/>
          <w:lang w:eastAsia="x-none"/>
        </w:rPr>
        <w:t>,</w:t>
      </w:r>
      <w:r w:rsidR="000065E9">
        <w:rPr>
          <w:szCs w:val="20"/>
          <w:lang w:eastAsia="x-none"/>
        </w:rPr>
        <w:t xml:space="preserve"> </w:t>
      </w:r>
      <w:r w:rsidR="00DF24C2">
        <w:rPr>
          <w:szCs w:val="20"/>
          <w:lang w:eastAsia="x-none"/>
        </w:rPr>
        <w:t>umožn</w:t>
      </w:r>
      <w:r w:rsidR="00963C1A">
        <w:rPr>
          <w:szCs w:val="20"/>
          <w:lang w:eastAsia="x-none"/>
        </w:rPr>
        <w:t>it</w:t>
      </w:r>
      <w:r w:rsidR="00CD1778">
        <w:rPr>
          <w:szCs w:val="20"/>
          <w:lang w:eastAsia="x-none"/>
        </w:rPr>
        <w:t xml:space="preserve"> </w:t>
      </w:r>
      <w:r w:rsidR="00963C1A">
        <w:rPr>
          <w:szCs w:val="20"/>
          <w:lang w:eastAsia="x-none"/>
        </w:rPr>
        <w:t xml:space="preserve">oprávněným osobám </w:t>
      </w:r>
      <w:r w:rsidR="00CD1778">
        <w:rPr>
          <w:szCs w:val="20"/>
          <w:lang w:eastAsia="x-none"/>
        </w:rPr>
        <w:t xml:space="preserve">přístup k těmto </w:t>
      </w:r>
      <w:r w:rsidR="00963C1A">
        <w:rPr>
          <w:szCs w:val="20"/>
          <w:lang w:eastAsia="x-none"/>
        </w:rPr>
        <w:t xml:space="preserve">strukturovaným </w:t>
      </w:r>
      <w:r w:rsidR="00CD1778">
        <w:rPr>
          <w:szCs w:val="20"/>
          <w:lang w:eastAsia="x-none"/>
        </w:rPr>
        <w:t>datům</w:t>
      </w:r>
      <w:r w:rsidR="00963C1A">
        <w:rPr>
          <w:szCs w:val="20"/>
          <w:lang w:eastAsia="x-none"/>
        </w:rPr>
        <w:t xml:space="preserve"> pro využití pokročilejších funkcí</w:t>
      </w:r>
      <w:r w:rsidR="005E1568">
        <w:rPr>
          <w:szCs w:val="20"/>
          <w:lang w:eastAsia="x-none"/>
        </w:rPr>
        <w:t>, jež propojí data o územním plánování,</w:t>
      </w:r>
      <w:r w:rsidR="00903BEA">
        <w:rPr>
          <w:szCs w:val="20"/>
          <w:lang w:eastAsia="x-none"/>
        </w:rPr>
        <w:t xml:space="preserve"> data o území a infrastruktuře s daty</w:t>
      </w:r>
      <w:r w:rsidR="005E1568">
        <w:rPr>
          <w:szCs w:val="20"/>
          <w:lang w:eastAsia="x-none"/>
        </w:rPr>
        <w:t xml:space="preserve"> stavbách a řízeních</w:t>
      </w:r>
      <w:r w:rsidR="00CD1778">
        <w:rPr>
          <w:szCs w:val="20"/>
          <w:lang w:eastAsia="x-none"/>
        </w:rPr>
        <w:t>, a</w:t>
      </w:r>
      <w:r w:rsidR="00963C1A">
        <w:rPr>
          <w:szCs w:val="20"/>
          <w:lang w:eastAsia="x-none"/>
        </w:rPr>
        <w:t xml:space="preserve"> tak</w:t>
      </w:r>
      <w:r w:rsidR="00CD1778">
        <w:rPr>
          <w:szCs w:val="20"/>
          <w:lang w:eastAsia="x-none"/>
        </w:rPr>
        <w:t xml:space="preserve"> </w:t>
      </w:r>
      <w:r w:rsidR="00CA2C44" w:rsidRPr="00342D60">
        <w:rPr>
          <w:rFonts w:cstheme="minorHAnsi"/>
          <w:b/>
          <w:bCs/>
          <w:szCs w:val="28"/>
        </w:rPr>
        <w:t>zefektivn</w:t>
      </w:r>
      <w:r w:rsidR="00963C1A">
        <w:rPr>
          <w:rFonts w:cstheme="minorHAnsi"/>
          <w:b/>
          <w:bCs/>
          <w:szCs w:val="28"/>
        </w:rPr>
        <w:t xml:space="preserve">it </w:t>
      </w:r>
      <w:r w:rsidR="00D606E5" w:rsidRPr="00DF24C2">
        <w:rPr>
          <w:rFonts w:cstheme="minorHAnsi"/>
          <w:b/>
          <w:bCs/>
          <w:szCs w:val="28"/>
        </w:rPr>
        <w:t>proces</w:t>
      </w:r>
      <w:r w:rsidR="00963C1A">
        <w:rPr>
          <w:rFonts w:cstheme="minorHAnsi"/>
          <w:b/>
          <w:bCs/>
          <w:szCs w:val="28"/>
        </w:rPr>
        <w:t>y</w:t>
      </w:r>
      <w:r w:rsidR="00CA2C44">
        <w:rPr>
          <w:rFonts w:cstheme="minorHAnsi"/>
          <w:b/>
          <w:bCs/>
          <w:szCs w:val="28"/>
        </w:rPr>
        <w:t xml:space="preserve"> přípravy, umisťování a povolování staveb</w:t>
      </w:r>
      <w:bookmarkEnd w:id="0"/>
      <w:r w:rsidR="000065E9">
        <w:rPr>
          <w:rFonts w:cstheme="minorHAnsi"/>
          <w:bCs/>
          <w:szCs w:val="28"/>
        </w:rPr>
        <w:t xml:space="preserve">. Realizace </w:t>
      </w:r>
      <w:r w:rsidR="001334C7">
        <w:rPr>
          <w:rFonts w:cstheme="minorHAnsi"/>
          <w:bCs/>
          <w:szCs w:val="28"/>
        </w:rPr>
        <w:t xml:space="preserve">projektů </w:t>
      </w:r>
      <w:r w:rsidR="000065E9">
        <w:rPr>
          <w:rFonts w:cstheme="minorHAnsi"/>
          <w:bCs/>
          <w:szCs w:val="28"/>
        </w:rPr>
        <w:t>DSŘ</w:t>
      </w:r>
      <w:r w:rsidR="002C275E">
        <w:rPr>
          <w:rFonts w:cstheme="minorHAnsi"/>
          <w:bCs/>
          <w:szCs w:val="28"/>
        </w:rPr>
        <w:t xml:space="preserve"> </w:t>
      </w:r>
      <w:r w:rsidR="000065E9">
        <w:rPr>
          <w:rFonts w:cstheme="minorHAnsi"/>
          <w:bCs/>
          <w:szCs w:val="28"/>
        </w:rPr>
        <w:t>umožní mj.</w:t>
      </w:r>
      <w:r w:rsidR="002C275E">
        <w:rPr>
          <w:rFonts w:cstheme="minorHAnsi"/>
          <w:bCs/>
          <w:szCs w:val="28"/>
        </w:rPr>
        <w:t xml:space="preserve"> sdílení podkladů (</w:t>
      </w:r>
      <w:r w:rsidR="00D606E5" w:rsidRPr="00C86D8B">
        <w:rPr>
          <w:rFonts w:cstheme="minorHAnsi"/>
          <w:bCs/>
          <w:szCs w:val="28"/>
        </w:rPr>
        <w:t xml:space="preserve">projektové </w:t>
      </w:r>
      <w:r w:rsidR="00DF24C2">
        <w:rPr>
          <w:rFonts w:cstheme="minorHAnsi"/>
          <w:bCs/>
          <w:szCs w:val="28"/>
        </w:rPr>
        <w:t xml:space="preserve">či územně plánovací </w:t>
      </w:r>
      <w:r w:rsidR="00D606E5" w:rsidRPr="00C86D8B">
        <w:rPr>
          <w:rFonts w:cstheme="minorHAnsi"/>
          <w:bCs/>
          <w:szCs w:val="28"/>
        </w:rPr>
        <w:t>dokumentace a příslušných stanovisek</w:t>
      </w:r>
      <w:r w:rsidR="002C275E">
        <w:rPr>
          <w:rFonts w:cstheme="minorHAnsi"/>
          <w:bCs/>
          <w:szCs w:val="28"/>
        </w:rPr>
        <w:t>)</w:t>
      </w:r>
      <w:r w:rsidR="00D606E5" w:rsidRPr="00C86D8B">
        <w:rPr>
          <w:rFonts w:cstheme="minorHAnsi"/>
          <w:bCs/>
          <w:szCs w:val="28"/>
        </w:rPr>
        <w:t xml:space="preserve"> pro urychlení daného procesu a zvýš</w:t>
      </w:r>
      <w:r w:rsidR="000065E9">
        <w:rPr>
          <w:rFonts w:cstheme="minorHAnsi"/>
          <w:bCs/>
          <w:szCs w:val="28"/>
        </w:rPr>
        <w:t xml:space="preserve">enou transparentnost při jejich </w:t>
      </w:r>
      <w:r w:rsidR="00D606E5" w:rsidRPr="00C86D8B">
        <w:rPr>
          <w:rFonts w:cstheme="minorHAnsi"/>
          <w:bCs/>
          <w:szCs w:val="28"/>
        </w:rPr>
        <w:t xml:space="preserve">posuzování stavebním úřadem </w:t>
      </w:r>
      <w:r w:rsidR="00DF24C2">
        <w:rPr>
          <w:rFonts w:cstheme="minorHAnsi"/>
          <w:bCs/>
          <w:szCs w:val="28"/>
        </w:rPr>
        <w:t>či úřadem územního plánování</w:t>
      </w:r>
      <w:r w:rsidR="00D606E5" w:rsidRPr="00C86D8B">
        <w:rPr>
          <w:rFonts w:cstheme="minorHAnsi"/>
          <w:bCs/>
          <w:szCs w:val="28"/>
        </w:rPr>
        <w:t xml:space="preserve"> </w:t>
      </w:r>
      <w:r w:rsidR="00BD3FF4">
        <w:rPr>
          <w:rFonts w:cstheme="minorHAnsi"/>
          <w:bCs/>
          <w:szCs w:val="28"/>
        </w:rPr>
        <w:t xml:space="preserve">a </w:t>
      </w:r>
      <w:r w:rsidR="00D606E5" w:rsidRPr="00C86D8B">
        <w:rPr>
          <w:rFonts w:cstheme="minorHAnsi"/>
          <w:bCs/>
          <w:szCs w:val="28"/>
        </w:rPr>
        <w:t>vyjadřování se k nim z titulu dotčených orgánů.</w:t>
      </w:r>
    </w:p>
    <w:p w14:paraId="7D0375D8" w14:textId="2E453AC2" w:rsidR="00903BEA" w:rsidRDefault="00903BEA" w:rsidP="00903BEA">
      <w:pPr>
        <w:spacing w:line="276" w:lineRule="auto"/>
        <w:rPr>
          <w:szCs w:val="20"/>
          <w:lang w:eastAsia="x-none"/>
        </w:rPr>
      </w:pPr>
      <w:r>
        <w:rPr>
          <w:szCs w:val="20"/>
          <w:lang w:eastAsia="x-none"/>
        </w:rPr>
        <w:t xml:space="preserve">Nezbytnou podmínkou dosažení digitalizace stavebního řízení a územního plánování je mj. umožnit plošné využívání </w:t>
      </w:r>
      <w:r w:rsidRPr="0022026B">
        <w:rPr>
          <w:b/>
          <w:szCs w:val="20"/>
          <w:lang w:eastAsia="x-none"/>
        </w:rPr>
        <w:t>digitálních technických map</w:t>
      </w:r>
      <w:r>
        <w:rPr>
          <w:szCs w:val="20"/>
          <w:lang w:eastAsia="x-none"/>
        </w:rPr>
        <w:t xml:space="preserve"> </w:t>
      </w:r>
      <w:r w:rsidRPr="00410C4E">
        <w:rPr>
          <w:b/>
          <w:szCs w:val="20"/>
          <w:lang w:eastAsia="x-none"/>
        </w:rPr>
        <w:t>(dále DTM),</w:t>
      </w:r>
      <w:r>
        <w:rPr>
          <w:szCs w:val="20"/>
          <w:lang w:eastAsia="x-none"/>
        </w:rPr>
        <w:t xml:space="preserve"> které jsou vedeny za účelem </w:t>
      </w:r>
      <w:r w:rsidRPr="005C0E7C">
        <w:rPr>
          <w:szCs w:val="20"/>
          <w:lang w:eastAsia="x-none"/>
        </w:rPr>
        <w:t xml:space="preserve">shromažďování aktuálních informací o dopravní a technické infrastruktuře a dalších stavebních a některých přírodních objektech. Tyto informace </w:t>
      </w:r>
      <w:r>
        <w:rPr>
          <w:szCs w:val="20"/>
          <w:lang w:eastAsia="x-none"/>
        </w:rPr>
        <w:t xml:space="preserve">jsou </w:t>
      </w:r>
      <w:r w:rsidRPr="005C0E7C">
        <w:rPr>
          <w:szCs w:val="20"/>
          <w:lang w:eastAsia="x-none"/>
        </w:rPr>
        <w:t>pak využív</w:t>
      </w:r>
      <w:r>
        <w:rPr>
          <w:szCs w:val="20"/>
          <w:lang w:eastAsia="x-none"/>
        </w:rPr>
        <w:t>ány</w:t>
      </w:r>
      <w:r w:rsidRPr="005C0E7C">
        <w:rPr>
          <w:szCs w:val="20"/>
          <w:lang w:eastAsia="x-none"/>
        </w:rPr>
        <w:t xml:space="preserve"> </w:t>
      </w:r>
      <w:r>
        <w:rPr>
          <w:szCs w:val="20"/>
          <w:lang w:eastAsia="x-none"/>
        </w:rPr>
        <w:t xml:space="preserve">obcemi, městy a kraji </w:t>
      </w:r>
      <w:r w:rsidRPr="005C0E7C">
        <w:rPr>
          <w:szCs w:val="20"/>
          <w:lang w:eastAsia="x-none"/>
        </w:rPr>
        <w:t>v územním plánování jako zdroj územně analytických podkladů</w:t>
      </w:r>
      <w:r>
        <w:rPr>
          <w:szCs w:val="20"/>
          <w:lang w:eastAsia="x-none"/>
        </w:rPr>
        <w:t xml:space="preserve"> při přípravě, umisťování a povolování staveb, </w:t>
      </w:r>
      <w:r w:rsidRPr="005C0E7C">
        <w:rPr>
          <w:szCs w:val="20"/>
          <w:lang w:eastAsia="x-none"/>
        </w:rPr>
        <w:t>při každodenní správě majetku a posuzování různých rozvojových záměrů</w:t>
      </w:r>
      <w:r>
        <w:rPr>
          <w:szCs w:val="20"/>
          <w:lang w:eastAsia="x-none"/>
        </w:rPr>
        <w:t xml:space="preserve">. Uživateli informací jsou všichni účastníci územního plánovaní a stavebního řízení, od občanů, podnikatelů, projektantů, po orgány veřejné správy a vlastníky infrastruktury. </w:t>
      </w:r>
      <w:r w:rsidR="004061EC">
        <w:rPr>
          <w:szCs w:val="20"/>
        </w:rPr>
        <w:t>Ú</w:t>
      </w:r>
      <w:r w:rsidR="004061EC" w:rsidRPr="00A649CC">
        <w:rPr>
          <w:szCs w:val="20"/>
        </w:rPr>
        <w:t>daje z DTM současně umožní přímý přístup k potřebným informacím pro výkon kompetencí jednotného informačního místa (JIM),</w:t>
      </w:r>
      <w:r w:rsidR="004061EC">
        <w:rPr>
          <w:szCs w:val="20"/>
        </w:rPr>
        <w:t xml:space="preserve"> </w:t>
      </w:r>
      <w:r w:rsidR="004061EC" w:rsidRPr="00A649CC">
        <w:rPr>
          <w:szCs w:val="20"/>
        </w:rPr>
        <w:t>poskytuje informace o dostupnosti fyzické infrastruktury</w:t>
      </w:r>
      <w:r w:rsidR="004061EC">
        <w:rPr>
          <w:szCs w:val="20"/>
        </w:rPr>
        <w:t xml:space="preserve">. Funkci JIM </w:t>
      </w:r>
      <w:r w:rsidR="004061EC" w:rsidRPr="00A649CC">
        <w:rPr>
          <w:szCs w:val="20"/>
        </w:rPr>
        <w:t>podle zákona č. 194/2017 Sb., o opatřeních ke snížení nákladů na zavádění vysokorychlostních sítí elektronických komunikací a o změně některých souvisejících zákonů</w:t>
      </w:r>
      <w:r w:rsidR="004061EC">
        <w:rPr>
          <w:szCs w:val="20"/>
        </w:rPr>
        <w:t xml:space="preserve">, vykonává ČTÚ. </w:t>
      </w:r>
      <w:r>
        <w:rPr>
          <w:szCs w:val="20"/>
          <w:lang w:eastAsia="x-none"/>
        </w:rPr>
        <w:t xml:space="preserve">Ačkoli v České republice zavedla digitální technické mapy většina měst, krajů a některé obce, jejich plnému využití </w:t>
      </w:r>
      <w:r w:rsidRPr="00DF74B2">
        <w:rPr>
          <w:szCs w:val="20"/>
          <w:lang w:eastAsia="x-none"/>
        </w:rPr>
        <w:t xml:space="preserve">zejména v územním a stavebním řízení brání skutečnost, že </w:t>
      </w:r>
      <w:r>
        <w:rPr>
          <w:szCs w:val="20"/>
          <w:lang w:eastAsia="x-none"/>
        </w:rPr>
        <w:t>nejsou standardizované,</w:t>
      </w:r>
      <w:r w:rsidRPr="00DF74B2">
        <w:rPr>
          <w:szCs w:val="20"/>
          <w:lang w:eastAsia="x-none"/>
        </w:rPr>
        <w:t xml:space="preserve"> nejsou k dispozici plošně na celém území státu</w:t>
      </w:r>
      <w:r>
        <w:rPr>
          <w:szCs w:val="20"/>
          <w:lang w:eastAsia="x-none"/>
        </w:rPr>
        <w:t>, datové zdroje jsou roztříštěné</w:t>
      </w:r>
      <w:r w:rsidR="00D862EF">
        <w:rPr>
          <w:szCs w:val="20"/>
          <w:lang w:eastAsia="x-none"/>
        </w:rPr>
        <w:t>, nejsou aktuální,</w:t>
      </w:r>
      <w:r>
        <w:rPr>
          <w:szCs w:val="20"/>
          <w:lang w:eastAsia="x-none"/>
        </w:rPr>
        <w:t xml:space="preserve"> k datům </w:t>
      </w:r>
      <w:r w:rsidR="00D862EF">
        <w:rPr>
          <w:szCs w:val="20"/>
          <w:lang w:eastAsia="x-none"/>
        </w:rPr>
        <w:t xml:space="preserve">chybí </w:t>
      </w:r>
      <w:r>
        <w:rPr>
          <w:szCs w:val="20"/>
          <w:lang w:eastAsia="x-none"/>
        </w:rPr>
        <w:t xml:space="preserve">jednotný přístup, </w:t>
      </w:r>
      <w:r w:rsidR="00D862EF">
        <w:rPr>
          <w:szCs w:val="20"/>
          <w:lang w:eastAsia="x-none"/>
        </w:rPr>
        <w:t xml:space="preserve">data nejsou úplná a </w:t>
      </w:r>
      <w:r w:rsidRPr="00DF74B2">
        <w:rPr>
          <w:szCs w:val="20"/>
          <w:lang w:eastAsia="x-none"/>
        </w:rPr>
        <w:t xml:space="preserve">chybí </w:t>
      </w:r>
      <w:r w:rsidR="00D862EF">
        <w:rPr>
          <w:szCs w:val="20"/>
          <w:lang w:eastAsia="x-none"/>
        </w:rPr>
        <w:t xml:space="preserve">právní </w:t>
      </w:r>
      <w:r w:rsidRPr="00DF74B2">
        <w:rPr>
          <w:szCs w:val="20"/>
          <w:lang w:eastAsia="x-none"/>
        </w:rPr>
        <w:t xml:space="preserve">úprava povinností správců dopravní a technické infrastruktury při předávání údajů pro </w:t>
      </w:r>
      <w:r w:rsidR="00D862EF">
        <w:rPr>
          <w:szCs w:val="20"/>
          <w:lang w:eastAsia="x-none"/>
        </w:rPr>
        <w:t xml:space="preserve">aktualizaci. MMR proto ve spolupráci s ČÚZK a MPO </w:t>
      </w:r>
      <w:r w:rsidR="005D6F80" w:rsidRPr="00342D60">
        <w:rPr>
          <w:b/>
          <w:szCs w:val="20"/>
          <w:lang w:eastAsia="x-none"/>
        </w:rPr>
        <w:t xml:space="preserve">připravilo </w:t>
      </w:r>
      <w:r w:rsidR="00D862EF" w:rsidRPr="00342D60">
        <w:rPr>
          <w:b/>
          <w:szCs w:val="20"/>
          <w:lang w:eastAsia="x-none"/>
        </w:rPr>
        <w:t xml:space="preserve">potřebnou koncepci tvorby </w:t>
      </w:r>
      <w:r w:rsidR="005D6F80" w:rsidRPr="00342D60">
        <w:rPr>
          <w:b/>
          <w:szCs w:val="20"/>
          <w:lang w:eastAsia="x-none"/>
        </w:rPr>
        <w:t>DTM</w:t>
      </w:r>
      <w:r w:rsidR="00D862EF">
        <w:rPr>
          <w:szCs w:val="20"/>
          <w:lang w:eastAsia="x-none"/>
        </w:rPr>
        <w:t xml:space="preserve">, návrh </w:t>
      </w:r>
      <w:r w:rsidR="00C420FA">
        <w:rPr>
          <w:szCs w:val="20"/>
          <w:lang w:eastAsia="x-none"/>
        </w:rPr>
        <w:t xml:space="preserve">financování a </w:t>
      </w:r>
      <w:r w:rsidR="00D862EF">
        <w:rPr>
          <w:szCs w:val="20"/>
          <w:lang w:eastAsia="x-none"/>
        </w:rPr>
        <w:t>legislativy</w:t>
      </w:r>
      <w:r w:rsidR="00C420FA">
        <w:rPr>
          <w:szCs w:val="20"/>
          <w:lang w:eastAsia="x-none"/>
        </w:rPr>
        <w:t>, které jsou v současné době projednávány v parlamentu</w:t>
      </w:r>
      <w:r w:rsidRPr="00DF74B2">
        <w:rPr>
          <w:szCs w:val="20"/>
          <w:lang w:eastAsia="x-none"/>
        </w:rPr>
        <w:t xml:space="preserve">. </w:t>
      </w:r>
    </w:p>
    <w:p w14:paraId="08CCDDF4" w14:textId="77777777" w:rsidR="002C275E" w:rsidRDefault="002C275E" w:rsidP="002C275E">
      <w:pPr>
        <w:spacing w:line="276" w:lineRule="auto"/>
        <w:rPr>
          <w:rFonts w:cstheme="minorHAnsi"/>
          <w:bCs/>
          <w:szCs w:val="28"/>
        </w:rPr>
      </w:pPr>
      <w:r>
        <w:rPr>
          <w:rFonts w:cstheme="minorHAnsi"/>
          <w:bCs/>
          <w:szCs w:val="28"/>
        </w:rPr>
        <w:t xml:space="preserve">Pro realizaci </w:t>
      </w:r>
      <w:r w:rsidRPr="006752F4">
        <w:rPr>
          <w:rFonts w:cstheme="minorHAnsi"/>
          <w:b/>
          <w:bCs/>
          <w:szCs w:val="28"/>
        </w:rPr>
        <w:t xml:space="preserve">projektů z oblasti </w:t>
      </w:r>
      <w:r w:rsidR="0094216D" w:rsidRPr="006752F4">
        <w:rPr>
          <w:rFonts w:cstheme="minorHAnsi"/>
          <w:b/>
          <w:bCs/>
          <w:szCs w:val="28"/>
        </w:rPr>
        <w:t>e</w:t>
      </w:r>
      <w:r w:rsidR="0075163F">
        <w:rPr>
          <w:rFonts w:cstheme="minorHAnsi"/>
          <w:b/>
          <w:bCs/>
          <w:szCs w:val="28"/>
        </w:rPr>
        <w:t>G</w:t>
      </w:r>
      <w:r w:rsidR="0094216D" w:rsidRPr="006752F4">
        <w:rPr>
          <w:rFonts w:cstheme="minorHAnsi"/>
          <w:b/>
          <w:bCs/>
          <w:szCs w:val="28"/>
        </w:rPr>
        <w:t>overnmentu</w:t>
      </w:r>
      <w:r w:rsidR="0094216D">
        <w:rPr>
          <w:rFonts w:cstheme="minorHAnsi"/>
          <w:bCs/>
          <w:szCs w:val="28"/>
        </w:rPr>
        <w:t xml:space="preserve"> je možné</w:t>
      </w:r>
      <w:r>
        <w:rPr>
          <w:rFonts w:cstheme="minorHAnsi"/>
          <w:bCs/>
          <w:szCs w:val="28"/>
        </w:rPr>
        <w:t xml:space="preserve"> v České </w:t>
      </w:r>
      <w:r w:rsidR="0094216D">
        <w:rPr>
          <w:rFonts w:cstheme="minorHAnsi"/>
          <w:bCs/>
          <w:szCs w:val="28"/>
        </w:rPr>
        <w:t>republice využít</w:t>
      </w:r>
      <w:r>
        <w:rPr>
          <w:rFonts w:cstheme="minorHAnsi"/>
          <w:bCs/>
          <w:szCs w:val="28"/>
        </w:rPr>
        <w:t xml:space="preserve"> Evropské strukturální </w:t>
      </w:r>
      <w:r w:rsidR="008253FA">
        <w:rPr>
          <w:rFonts w:cstheme="minorHAnsi"/>
          <w:bCs/>
          <w:szCs w:val="28"/>
        </w:rPr>
        <w:br/>
      </w:r>
      <w:r>
        <w:rPr>
          <w:rFonts w:cstheme="minorHAnsi"/>
          <w:bCs/>
          <w:szCs w:val="28"/>
        </w:rPr>
        <w:t>a investiční fondy (</w:t>
      </w:r>
      <w:r w:rsidR="0094216D">
        <w:rPr>
          <w:rFonts w:cstheme="minorHAnsi"/>
          <w:bCs/>
          <w:szCs w:val="28"/>
        </w:rPr>
        <w:t xml:space="preserve">dále </w:t>
      </w:r>
      <w:r w:rsidR="005B77BF">
        <w:rPr>
          <w:rFonts w:cstheme="minorHAnsi"/>
          <w:bCs/>
          <w:szCs w:val="28"/>
        </w:rPr>
        <w:t>ESIF), a to</w:t>
      </w:r>
      <w:r>
        <w:rPr>
          <w:rFonts w:cstheme="minorHAnsi"/>
          <w:bCs/>
          <w:szCs w:val="28"/>
        </w:rPr>
        <w:t xml:space="preserve"> </w:t>
      </w:r>
      <w:r w:rsidR="0094216D">
        <w:rPr>
          <w:rFonts w:cstheme="minorHAnsi"/>
          <w:bCs/>
          <w:szCs w:val="28"/>
        </w:rPr>
        <w:t>prostředky alokované do Integrovaného</w:t>
      </w:r>
      <w:r>
        <w:rPr>
          <w:rFonts w:cstheme="minorHAnsi"/>
          <w:bCs/>
          <w:szCs w:val="28"/>
        </w:rPr>
        <w:t xml:space="preserve"> regionální</w:t>
      </w:r>
      <w:r w:rsidR="0094216D">
        <w:rPr>
          <w:rFonts w:cstheme="minorHAnsi"/>
          <w:bCs/>
          <w:szCs w:val="28"/>
        </w:rPr>
        <w:t>ho</w:t>
      </w:r>
      <w:r>
        <w:rPr>
          <w:rFonts w:cstheme="minorHAnsi"/>
          <w:bCs/>
          <w:szCs w:val="28"/>
        </w:rPr>
        <w:t xml:space="preserve"> operační</w:t>
      </w:r>
      <w:r w:rsidR="0094216D">
        <w:rPr>
          <w:rFonts w:cstheme="minorHAnsi"/>
          <w:bCs/>
          <w:szCs w:val="28"/>
        </w:rPr>
        <w:t>ho</w:t>
      </w:r>
      <w:r>
        <w:rPr>
          <w:rFonts w:cstheme="minorHAnsi"/>
          <w:bCs/>
          <w:szCs w:val="28"/>
        </w:rPr>
        <w:t xml:space="preserve"> program</w:t>
      </w:r>
      <w:r w:rsidR="0094216D">
        <w:rPr>
          <w:rFonts w:cstheme="minorHAnsi"/>
          <w:bCs/>
          <w:szCs w:val="28"/>
        </w:rPr>
        <w:t>u</w:t>
      </w:r>
      <w:r>
        <w:rPr>
          <w:rFonts w:cstheme="minorHAnsi"/>
          <w:bCs/>
          <w:szCs w:val="28"/>
        </w:rPr>
        <w:t xml:space="preserve"> </w:t>
      </w:r>
      <w:r>
        <w:rPr>
          <w:rFonts w:cstheme="minorHAnsi"/>
          <w:bCs/>
          <w:szCs w:val="28"/>
        </w:rPr>
        <w:lastRenderedPageBreak/>
        <w:t>(</w:t>
      </w:r>
      <w:r w:rsidR="0094216D">
        <w:rPr>
          <w:rFonts w:cstheme="minorHAnsi"/>
          <w:bCs/>
          <w:szCs w:val="28"/>
        </w:rPr>
        <w:t xml:space="preserve">dále </w:t>
      </w:r>
      <w:r w:rsidR="005B77BF">
        <w:rPr>
          <w:rFonts w:cstheme="minorHAnsi"/>
          <w:bCs/>
          <w:szCs w:val="28"/>
        </w:rPr>
        <w:t>IROP). Projekt</w:t>
      </w:r>
      <w:r w:rsidR="001334C7">
        <w:rPr>
          <w:rFonts w:cstheme="minorHAnsi"/>
          <w:bCs/>
          <w:szCs w:val="28"/>
        </w:rPr>
        <w:t>y</w:t>
      </w:r>
      <w:r w:rsidR="005B77BF">
        <w:rPr>
          <w:rFonts w:cstheme="minorHAnsi"/>
          <w:bCs/>
          <w:szCs w:val="28"/>
        </w:rPr>
        <w:t xml:space="preserve"> DSŘ tak věcně spad</w:t>
      </w:r>
      <w:r w:rsidR="001334C7">
        <w:rPr>
          <w:rFonts w:cstheme="minorHAnsi"/>
          <w:bCs/>
          <w:szCs w:val="28"/>
        </w:rPr>
        <w:t>ají</w:t>
      </w:r>
      <w:r w:rsidR="005B77BF">
        <w:rPr>
          <w:rFonts w:cstheme="minorHAnsi"/>
          <w:bCs/>
          <w:szCs w:val="28"/>
        </w:rPr>
        <w:t xml:space="preserve"> do IROP, avšak na oblast e</w:t>
      </w:r>
      <w:r w:rsidR="0075163F">
        <w:rPr>
          <w:rFonts w:cstheme="minorHAnsi"/>
          <w:bCs/>
          <w:szCs w:val="28"/>
        </w:rPr>
        <w:t>G</w:t>
      </w:r>
      <w:r w:rsidR="005B77BF">
        <w:rPr>
          <w:rFonts w:cstheme="minorHAnsi"/>
          <w:bCs/>
          <w:szCs w:val="28"/>
        </w:rPr>
        <w:t xml:space="preserve">overnmentu jsou prostředky již vyčerpány. </w:t>
      </w:r>
      <w:r w:rsidR="005D6F80">
        <w:rPr>
          <w:rFonts w:cstheme="minorHAnsi"/>
          <w:bCs/>
          <w:szCs w:val="28"/>
        </w:rPr>
        <w:t>Realizace</w:t>
      </w:r>
      <w:r w:rsidR="005B77BF">
        <w:rPr>
          <w:rFonts w:cstheme="minorHAnsi"/>
          <w:bCs/>
          <w:szCs w:val="28"/>
        </w:rPr>
        <w:t xml:space="preserve"> </w:t>
      </w:r>
      <w:r w:rsidR="005D6F80">
        <w:rPr>
          <w:rFonts w:cstheme="minorHAnsi"/>
          <w:bCs/>
          <w:szCs w:val="28"/>
        </w:rPr>
        <w:t>DTM</w:t>
      </w:r>
      <w:r w:rsidR="00E2060F">
        <w:rPr>
          <w:rFonts w:cstheme="minorHAnsi"/>
          <w:bCs/>
          <w:szCs w:val="28"/>
        </w:rPr>
        <w:t xml:space="preserve">, která je </w:t>
      </w:r>
      <w:r w:rsidR="00363EF2">
        <w:rPr>
          <w:rFonts w:cstheme="minorHAnsi"/>
          <w:bCs/>
          <w:szCs w:val="28"/>
        </w:rPr>
        <w:t>komplementární k</w:t>
      </w:r>
      <w:r w:rsidR="00E2060F">
        <w:rPr>
          <w:rFonts w:cstheme="minorHAnsi"/>
          <w:bCs/>
          <w:szCs w:val="28"/>
        </w:rPr>
        <w:t xml:space="preserve"> digitalizac</w:t>
      </w:r>
      <w:r w:rsidR="00363EF2">
        <w:rPr>
          <w:rFonts w:cstheme="minorHAnsi"/>
          <w:bCs/>
          <w:szCs w:val="28"/>
        </w:rPr>
        <w:t>i</w:t>
      </w:r>
      <w:r w:rsidR="00E2060F">
        <w:rPr>
          <w:rFonts w:cstheme="minorHAnsi"/>
          <w:bCs/>
          <w:szCs w:val="28"/>
        </w:rPr>
        <w:t xml:space="preserve"> stavebního řízení,</w:t>
      </w:r>
      <w:r w:rsidR="00B848A4">
        <w:rPr>
          <w:rFonts w:cstheme="minorHAnsi"/>
          <w:bCs/>
          <w:szCs w:val="28"/>
        </w:rPr>
        <w:t xml:space="preserve"> bude financován</w:t>
      </w:r>
      <w:r w:rsidR="0019689E">
        <w:rPr>
          <w:rFonts w:cstheme="minorHAnsi"/>
          <w:bCs/>
          <w:szCs w:val="28"/>
        </w:rPr>
        <w:t>a</w:t>
      </w:r>
      <w:r w:rsidR="0094216D">
        <w:rPr>
          <w:rFonts w:cstheme="minorHAnsi"/>
          <w:bCs/>
          <w:szCs w:val="28"/>
        </w:rPr>
        <w:t xml:space="preserve"> z</w:t>
      </w:r>
      <w:r w:rsidR="005B77BF">
        <w:rPr>
          <w:rFonts w:cstheme="minorHAnsi"/>
          <w:bCs/>
          <w:szCs w:val="28"/>
        </w:rPr>
        <w:t xml:space="preserve"> Operačního programu podnikání a inovace (dále </w:t>
      </w:r>
      <w:r w:rsidR="0094216D">
        <w:rPr>
          <w:rFonts w:cstheme="minorHAnsi"/>
          <w:bCs/>
          <w:szCs w:val="28"/>
        </w:rPr>
        <w:t>OPPIK</w:t>
      </w:r>
      <w:r w:rsidR="005B77BF">
        <w:rPr>
          <w:rFonts w:cstheme="minorHAnsi"/>
          <w:bCs/>
          <w:szCs w:val="28"/>
        </w:rPr>
        <w:t>). Pro pokrytí projekt</w:t>
      </w:r>
      <w:r w:rsidR="00363EF2">
        <w:rPr>
          <w:rFonts w:cstheme="minorHAnsi"/>
          <w:bCs/>
          <w:szCs w:val="28"/>
        </w:rPr>
        <w:t>ů</w:t>
      </w:r>
      <w:r w:rsidR="005B77BF">
        <w:rPr>
          <w:rFonts w:cstheme="minorHAnsi"/>
          <w:bCs/>
          <w:szCs w:val="28"/>
        </w:rPr>
        <w:t xml:space="preserve"> DSŘ </w:t>
      </w:r>
      <w:r w:rsidR="00B848A4">
        <w:rPr>
          <w:rFonts w:cstheme="minorHAnsi"/>
          <w:bCs/>
          <w:szCs w:val="28"/>
        </w:rPr>
        <w:t xml:space="preserve">je </w:t>
      </w:r>
      <w:r w:rsidR="00B848A4" w:rsidRPr="006752F4">
        <w:rPr>
          <w:rFonts w:cstheme="minorHAnsi"/>
          <w:b/>
          <w:bCs/>
          <w:szCs w:val="28"/>
        </w:rPr>
        <w:t>navržena realokace</w:t>
      </w:r>
      <w:r w:rsidR="00B848A4">
        <w:rPr>
          <w:rFonts w:cstheme="minorHAnsi"/>
          <w:bCs/>
          <w:szCs w:val="28"/>
        </w:rPr>
        <w:t xml:space="preserve"> nedočerpaných prostředků z OP PIK (oblast vysokorychlostního internetu) do oblasti e</w:t>
      </w:r>
      <w:r w:rsidR="0075163F">
        <w:rPr>
          <w:rFonts w:cstheme="minorHAnsi"/>
          <w:bCs/>
          <w:szCs w:val="28"/>
        </w:rPr>
        <w:t>G</w:t>
      </w:r>
      <w:r w:rsidR="00B848A4">
        <w:rPr>
          <w:rFonts w:cstheme="minorHAnsi"/>
          <w:bCs/>
          <w:szCs w:val="28"/>
        </w:rPr>
        <w:t xml:space="preserve">overnmentu v IROP. </w:t>
      </w:r>
    </w:p>
    <w:p w14:paraId="366B7E22" w14:textId="77777777" w:rsidR="00B848A4" w:rsidRPr="00C86D8B" w:rsidRDefault="00B848A4" w:rsidP="002C275E">
      <w:pPr>
        <w:spacing w:line="276" w:lineRule="auto"/>
        <w:rPr>
          <w:rFonts w:cstheme="minorHAnsi"/>
          <w:bCs/>
          <w:szCs w:val="28"/>
        </w:rPr>
      </w:pPr>
      <w:r>
        <w:rPr>
          <w:rFonts w:cstheme="minorHAnsi"/>
          <w:bCs/>
          <w:szCs w:val="28"/>
        </w:rPr>
        <w:t>Předkládaný materiál poskytuje detailnější informace k </w:t>
      </w:r>
      <w:r w:rsidR="001334C7">
        <w:rPr>
          <w:rFonts w:cstheme="minorHAnsi"/>
          <w:bCs/>
          <w:szCs w:val="28"/>
        </w:rPr>
        <w:t xml:space="preserve">plánovaným </w:t>
      </w:r>
      <w:r>
        <w:rPr>
          <w:rFonts w:cstheme="minorHAnsi"/>
          <w:bCs/>
          <w:szCs w:val="28"/>
        </w:rPr>
        <w:t>projekt</w:t>
      </w:r>
      <w:r w:rsidR="001334C7">
        <w:rPr>
          <w:rFonts w:cstheme="minorHAnsi"/>
          <w:bCs/>
          <w:szCs w:val="28"/>
        </w:rPr>
        <w:t>ům</w:t>
      </w:r>
      <w:r>
        <w:rPr>
          <w:rFonts w:cstheme="minorHAnsi"/>
          <w:bCs/>
          <w:szCs w:val="28"/>
        </w:rPr>
        <w:t xml:space="preserve"> DSŘ </w:t>
      </w:r>
      <w:r w:rsidR="0022026B">
        <w:rPr>
          <w:rFonts w:cstheme="minorHAnsi"/>
          <w:bCs/>
          <w:szCs w:val="28"/>
        </w:rPr>
        <w:t xml:space="preserve">a </w:t>
      </w:r>
      <w:r w:rsidR="0019689E">
        <w:rPr>
          <w:rFonts w:cstheme="minorHAnsi"/>
          <w:bCs/>
          <w:szCs w:val="28"/>
        </w:rPr>
        <w:t xml:space="preserve">k </w:t>
      </w:r>
      <w:r w:rsidR="0022026B">
        <w:rPr>
          <w:rFonts w:cstheme="minorHAnsi"/>
          <w:bCs/>
          <w:szCs w:val="28"/>
        </w:rPr>
        <w:t>možnostem</w:t>
      </w:r>
      <w:r>
        <w:rPr>
          <w:rFonts w:cstheme="minorHAnsi"/>
          <w:bCs/>
          <w:szCs w:val="28"/>
        </w:rPr>
        <w:t xml:space="preserve"> využití prostředků ESIF pro jeho financování. </w:t>
      </w:r>
      <w:r w:rsidR="00725448">
        <w:rPr>
          <w:rFonts w:cstheme="minorHAnsi"/>
          <w:bCs/>
          <w:szCs w:val="28"/>
        </w:rPr>
        <w:t>Materiál obsahuje návrh na realokaci prostředků ESIF z OP PIK do IROP.</w:t>
      </w:r>
      <w:r w:rsidR="00BD3FF4">
        <w:rPr>
          <w:rFonts w:cstheme="minorHAnsi"/>
          <w:bCs/>
          <w:szCs w:val="28"/>
        </w:rPr>
        <w:t xml:space="preserve"> Materiál připravilo MMR v součinnosti s dotčenými řídicími orgány OP PIK a IROP.</w:t>
      </w:r>
    </w:p>
    <w:p w14:paraId="54D2A36F" w14:textId="77777777" w:rsidR="00B01CF8" w:rsidRDefault="005D2A64" w:rsidP="00B01CF8">
      <w:pPr>
        <w:pStyle w:val="Nadpis1"/>
      </w:pPr>
      <w:r>
        <w:lastRenderedPageBreak/>
        <w:t>Projekt</w:t>
      </w:r>
      <w:r w:rsidR="001334C7">
        <w:t>y</w:t>
      </w:r>
      <w:r>
        <w:t xml:space="preserve"> digitalizace stavebního řízení</w:t>
      </w:r>
      <w:r w:rsidR="0019689E">
        <w:t xml:space="preserve"> a územního plánování</w:t>
      </w:r>
    </w:p>
    <w:p w14:paraId="2FD4C54C" w14:textId="77777777" w:rsidR="0019689E" w:rsidRDefault="0019689E" w:rsidP="0019689E">
      <w:pPr>
        <w:pStyle w:val="Nadpis2"/>
      </w:pPr>
      <w:r>
        <w:t xml:space="preserve">Popis </w:t>
      </w:r>
      <w:r w:rsidR="001334C7">
        <w:t>projektů</w:t>
      </w:r>
    </w:p>
    <w:p w14:paraId="10A1C4A3" w14:textId="1AB24259" w:rsidR="004D0AE0" w:rsidRPr="00452279" w:rsidRDefault="00DF24C2" w:rsidP="00CE5A0A">
      <w:pPr>
        <w:pStyle w:val="Nadpis411"/>
        <w:rPr>
          <w:i w:val="0"/>
          <w:sz w:val="20"/>
          <w:szCs w:val="20"/>
        </w:rPr>
      </w:pPr>
      <w:r w:rsidRPr="00452279">
        <w:rPr>
          <w:i w:val="0"/>
          <w:sz w:val="20"/>
          <w:szCs w:val="20"/>
        </w:rPr>
        <w:t>Předmětem projekt</w:t>
      </w:r>
      <w:r w:rsidR="001334C7">
        <w:rPr>
          <w:i w:val="0"/>
          <w:sz w:val="20"/>
          <w:szCs w:val="20"/>
        </w:rPr>
        <w:t>ů</w:t>
      </w:r>
      <w:r w:rsidRPr="00452279">
        <w:rPr>
          <w:i w:val="0"/>
          <w:sz w:val="20"/>
          <w:szCs w:val="20"/>
        </w:rPr>
        <w:t xml:space="preserve"> </w:t>
      </w:r>
      <w:r w:rsidR="00425FB0" w:rsidRPr="00452279">
        <w:rPr>
          <w:i w:val="0"/>
          <w:sz w:val="20"/>
          <w:szCs w:val="20"/>
        </w:rPr>
        <w:t xml:space="preserve">DSŘ bude </w:t>
      </w:r>
      <w:r w:rsidR="00425FB0" w:rsidRPr="00452279">
        <w:rPr>
          <w:b/>
          <w:i w:val="0"/>
          <w:sz w:val="20"/>
          <w:szCs w:val="20"/>
        </w:rPr>
        <w:t xml:space="preserve">realizace </w:t>
      </w:r>
      <w:r w:rsidR="00325AF6" w:rsidRPr="00452279">
        <w:rPr>
          <w:b/>
          <w:i w:val="0"/>
          <w:sz w:val="20"/>
          <w:szCs w:val="20"/>
        </w:rPr>
        <w:t>5 informačních systémů</w:t>
      </w:r>
      <w:r w:rsidR="00325AF6" w:rsidRPr="00452279">
        <w:rPr>
          <w:i w:val="0"/>
          <w:sz w:val="20"/>
          <w:szCs w:val="20"/>
        </w:rPr>
        <w:t>. Základní část bude tvořena Integrační platformou digitalizace stavebního řízení a územního plánování, jejíž součástí bude mj. Portál stavebníka, Registr evidenčních čísel staveb a rozhraní na další info</w:t>
      </w:r>
      <w:r w:rsidR="00C35422" w:rsidRPr="00452279">
        <w:rPr>
          <w:i w:val="0"/>
          <w:sz w:val="20"/>
          <w:szCs w:val="20"/>
        </w:rPr>
        <w:t>rmační systémy veřejné správy</w:t>
      </w:r>
      <w:r w:rsidR="00325AF6" w:rsidRPr="00452279">
        <w:rPr>
          <w:i w:val="0"/>
          <w:sz w:val="20"/>
          <w:szCs w:val="20"/>
        </w:rPr>
        <w:t xml:space="preserve">. Na ni budou navazovat čtyři samostatné informační systémy: Informační systém rozhodnutí, kolaudací a vyjádření dotčených orgánů, Informační systém pro správu projektových dokumentací, Informační systém pro územní plánování, </w:t>
      </w:r>
      <w:r w:rsidR="008253FA">
        <w:rPr>
          <w:i w:val="0"/>
          <w:sz w:val="20"/>
          <w:szCs w:val="20"/>
        </w:rPr>
        <w:br/>
      </w:r>
      <w:r w:rsidR="00325AF6" w:rsidRPr="00452279">
        <w:rPr>
          <w:i w:val="0"/>
          <w:sz w:val="20"/>
          <w:szCs w:val="20"/>
        </w:rPr>
        <w:t>tzv. Národní geoportál územního plánování</w:t>
      </w:r>
      <w:r w:rsidR="002F6E7F" w:rsidRPr="00452279">
        <w:rPr>
          <w:i w:val="0"/>
          <w:sz w:val="20"/>
          <w:szCs w:val="20"/>
        </w:rPr>
        <w:t xml:space="preserve"> </w:t>
      </w:r>
      <w:r w:rsidR="00325AF6" w:rsidRPr="00452279">
        <w:rPr>
          <w:i w:val="0"/>
          <w:sz w:val="20"/>
          <w:szCs w:val="20"/>
        </w:rPr>
        <w:t>a Informační systém Digitální mapy veřejné správy</w:t>
      </w:r>
      <w:r w:rsidR="00C35422" w:rsidRPr="00452279">
        <w:rPr>
          <w:i w:val="0"/>
          <w:sz w:val="20"/>
          <w:szCs w:val="20"/>
        </w:rPr>
        <w:t xml:space="preserve"> (dále</w:t>
      </w:r>
      <w:r w:rsidR="00325AF6" w:rsidRPr="00452279">
        <w:rPr>
          <w:i w:val="0"/>
          <w:sz w:val="20"/>
          <w:szCs w:val="20"/>
        </w:rPr>
        <w:t xml:space="preserve"> </w:t>
      </w:r>
      <w:r w:rsidR="00D43B4F">
        <w:rPr>
          <w:i w:val="0"/>
          <w:sz w:val="20"/>
          <w:szCs w:val="20"/>
        </w:rPr>
        <w:t xml:space="preserve">IS </w:t>
      </w:r>
      <w:r w:rsidR="00325AF6" w:rsidRPr="00452279">
        <w:rPr>
          <w:i w:val="0"/>
          <w:sz w:val="20"/>
          <w:szCs w:val="20"/>
        </w:rPr>
        <w:t>DMVS), kter</w:t>
      </w:r>
      <w:r w:rsidR="00F9085A">
        <w:rPr>
          <w:i w:val="0"/>
          <w:sz w:val="20"/>
          <w:szCs w:val="20"/>
        </w:rPr>
        <w:t>ý</w:t>
      </w:r>
      <w:r w:rsidR="00325AF6" w:rsidRPr="00452279">
        <w:rPr>
          <w:i w:val="0"/>
          <w:sz w:val="20"/>
          <w:szCs w:val="20"/>
        </w:rPr>
        <w:t xml:space="preserve"> je tvořen propojením katastrální mapy, ortofotomapy a digitálních technických </w:t>
      </w:r>
      <w:r w:rsidR="00325AF6" w:rsidRPr="00342D60">
        <w:rPr>
          <w:i w:val="0"/>
          <w:sz w:val="20"/>
          <w:szCs w:val="20"/>
        </w:rPr>
        <w:t>map</w:t>
      </w:r>
      <w:r w:rsidR="00C35422" w:rsidRPr="00452279">
        <w:rPr>
          <w:i w:val="0"/>
          <w:sz w:val="20"/>
          <w:szCs w:val="20"/>
        </w:rPr>
        <w:t xml:space="preserve"> (dále DTM)</w:t>
      </w:r>
      <w:r w:rsidR="00325AF6" w:rsidRPr="00452279">
        <w:rPr>
          <w:i w:val="0"/>
          <w:sz w:val="20"/>
          <w:szCs w:val="20"/>
        </w:rPr>
        <w:t xml:space="preserve">. </w:t>
      </w:r>
      <w:r w:rsidR="00885C59">
        <w:rPr>
          <w:i w:val="0"/>
          <w:sz w:val="20"/>
          <w:szCs w:val="20"/>
        </w:rPr>
        <w:t>Těchto pět</w:t>
      </w:r>
      <w:r w:rsidR="004D0AE0" w:rsidRPr="00452279">
        <w:rPr>
          <w:i w:val="0"/>
          <w:sz w:val="20"/>
          <w:szCs w:val="20"/>
        </w:rPr>
        <w:t xml:space="preserve"> informační</w:t>
      </w:r>
      <w:r w:rsidR="00885C59">
        <w:rPr>
          <w:i w:val="0"/>
          <w:sz w:val="20"/>
          <w:szCs w:val="20"/>
        </w:rPr>
        <w:t>ch</w:t>
      </w:r>
      <w:r w:rsidR="004D0AE0" w:rsidRPr="00452279">
        <w:rPr>
          <w:i w:val="0"/>
          <w:sz w:val="20"/>
          <w:szCs w:val="20"/>
        </w:rPr>
        <w:t xml:space="preserve"> </w:t>
      </w:r>
      <w:r w:rsidR="00885C59" w:rsidRPr="00452279">
        <w:rPr>
          <w:i w:val="0"/>
          <w:sz w:val="20"/>
          <w:szCs w:val="20"/>
        </w:rPr>
        <w:t>systém</w:t>
      </w:r>
      <w:r w:rsidR="00885C59">
        <w:rPr>
          <w:i w:val="0"/>
          <w:sz w:val="20"/>
          <w:szCs w:val="20"/>
        </w:rPr>
        <w:t>ů</w:t>
      </w:r>
      <w:r w:rsidR="00885C59" w:rsidRPr="00452279">
        <w:rPr>
          <w:i w:val="0"/>
          <w:sz w:val="20"/>
          <w:szCs w:val="20"/>
        </w:rPr>
        <w:t xml:space="preserve"> </w:t>
      </w:r>
      <w:r w:rsidR="004D0AE0" w:rsidRPr="00452279">
        <w:rPr>
          <w:i w:val="0"/>
          <w:sz w:val="20"/>
          <w:szCs w:val="20"/>
        </w:rPr>
        <w:t xml:space="preserve">dohromady vytvoří soustavu, která umožní digitalizaci procesů stavebních agend. </w:t>
      </w:r>
    </w:p>
    <w:p w14:paraId="29015465" w14:textId="77777777" w:rsidR="00425FB0" w:rsidRPr="00452279" w:rsidRDefault="00C35422" w:rsidP="00CE5A0A">
      <w:pPr>
        <w:pStyle w:val="Nadpis411"/>
        <w:rPr>
          <w:i w:val="0"/>
          <w:sz w:val="20"/>
          <w:szCs w:val="20"/>
        </w:rPr>
      </w:pPr>
      <w:r w:rsidRPr="00452279">
        <w:rPr>
          <w:i w:val="0"/>
          <w:sz w:val="20"/>
          <w:szCs w:val="20"/>
        </w:rPr>
        <w:t>B</w:t>
      </w:r>
      <w:r w:rsidR="00425FB0" w:rsidRPr="00452279">
        <w:rPr>
          <w:i w:val="0"/>
          <w:sz w:val="20"/>
          <w:szCs w:val="20"/>
        </w:rPr>
        <w:t xml:space="preserve">líže viz </w:t>
      </w:r>
      <w:r w:rsidR="00DF24C2" w:rsidRPr="00452279">
        <w:rPr>
          <w:i w:val="0"/>
          <w:sz w:val="20"/>
          <w:szCs w:val="20"/>
        </w:rPr>
        <w:t xml:space="preserve">níže uvedené </w:t>
      </w:r>
      <w:r w:rsidR="00425FB0" w:rsidRPr="00452279">
        <w:rPr>
          <w:i w:val="0"/>
          <w:sz w:val="20"/>
          <w:szCs w:val="20"/>
        </w:rPr>
        <w:t>s</w:t>
      </w:r>
      <w:r w:rsidR="00200218" w:rsidRPr="00452279">
        <w:rPr>
          <w:i w:val="0"/>
          <w:sz w:val="20"/>
          <w:szCs w:val="20"/>
        </w:rPr>
        <w:t>ché</w:t>
      </w:r>
      <w:r w:rsidR="00425FB0" w:rsidRPr="00452279">
        <w:rPr>
          <w:i w:val="0"/>
          <w:sz w:val="20"/>
          <w:szCs w:val="20"/>
        </w:rPr>
        <w:t>ma</w:t>
      </w:r>
      <w:r w:rsidR="00AD203E">
        <w:rPr>
          <w:i w:val="0"/>
          <w:sz w:val="20"/>
          <w:szCs w:val="20"/>
        </w:rPr>
        <w:t xml:space="preserve">. Bližší specifikace projektů DSŘ, tj. všech pěti informačních systémů je uveden v </w:t>
      </w:r>
      <w:r w:rsidR="00AD203E">
        <w:rPr>
          <w:sz w:val="20"/>
          <w:szCs w:val="20"/>
        </w:rPr>
        <w:t>příloze</w:t>
      </w:r>
      <w:r w:rsidR="00DF24C2" w:rsidRPr="008253FA">
        <w:rPr>
          <w:sz w:val="20"/>
          <w:szCs w:val="20"/>
        </w:rPr>
        <w:t xml:space="preserve"> materiálu Popis projekt</w:t>
      </w:r>
      <w:r w:rsidR="001334C7" w:rsidRPr="008253FA">
        <w:rPr>
          <w:sz w:val="20"/>
          <w:szCs w:val="20"/>
        </w:rPr>
        <w:t>ů</w:t>
      </w:r>
      <w:r w:rsidR="00DF24C2" w:rsidRPr="008253FA">
        <w:rPr>
          <w:sz w:val="20"/>
          <w:szCs w:val="20"/>
        </w:rPr>
        <w:t xml:space="preserve"> DSŘ</w:t>
      </w:r>
      <w:r w:rsidR="00DF24C2" w:rsidRPr="00452279">
        <w:rPr>
          <w:i w:val="0"/>
          <w:sz w:val="20"/>
          <w:szCs w:val="20"/>
        </w:rPr>
        <w:t>.</w:t>
      </w:r>
    </w:p>
    <w:p w14:paraId="330F5C7E" w14:textId="2FA51AB9" w:rsidR="00325AF6" w:rsidRPr="005821E4" w:rsidRDefault="00F8260E" w:rsidP="00CE5A0A">
      <w:pPr>
        <w:pStyle w:val="Nadpis411"/>
      </w:pPr>
      <w:r>
        <w:rPr>
          <w:noProof/>
          <w:lang w:eastAsia="cs-CZ"/>
        </w:rPr>
        <w:drawing>
          <wp:inline distT="0" distB="0" distL="0" distR="0" wp14:anchorId="72AB62F3" wp14:editId="33FFEE60">
            <wp:extent cx="5364081" cy="4003638"/>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25" r="5166"/>
                    <a:stretch/>
                  </pic:blipFill>
                  <pic:spPr bwMode="auto">
                    <a:xfrm>
                      <a:off x="0" y="0"/>
                      <a:ext cx="5379210" cy="4014930"/>
                    </a:xfrm>
                    <a:prstGeom prst="rect">
                      <a:avLst/>
                    </a:prstGeom>
                    <a:noFill/>
                    <a:ln>
                      <a:noFill/>
                    </a:ln>
                    <a:extLst>
                      <a:ext uri="{53640926-AAD7-44D8-BBD7-CCE9431645EC}">
                        <a14:shadowObscured xmlns:a14="http://schemas.microsoft.com/office/drawing/2010/main"/>
                      </a:ext>
                    </a:extLst>
                  </pic:spPr>
                </pic:pic>
              </a:graphicData>
            </a:graphic>
          </wp:inline>
        </w:drawing>
      </w:r>
    </w:p>
    <w:p w14:paraId="6F5C1148" w14:textId="77777777" w:rsidR="00932824" w:rsidRPr="00CE5A0A" w:rsidRDefault="00932824" w:rsidP="00CE5A0A">
      <w:pPr>
        <w:pStyle w:val="Nadpis411"/>
      </w:pPr>
      <w:r w:rsidRPr="00CE5A0A">
        <w:t xml:space="preserve">Pozn: </w:t>
      </w:r>
      <w:r w:rsidR="00325AF6" w:rsidRPr="00CE5A0A">
        <w:t>NIA</w:t>
      </w:r>
      <w:r w:rsidR="00CE5A0A" w:rsidRPr="00CE5A0A">
        <w:t xml:space="preserve"> – Národní identitní autorita</w:t>
      </w:r>
      <w:r w:rsidR="00325AF6" w:rsidRPr="00CE5A0A">
        <w:t xml:space="preserve">; ISZR </w:t>
      </w:r>
      <w:r w:rsidR="00B15EE7" w:rsidRPr="00CE5A0A">
        <w:t>– Informační systém základních registrů</w:t>
      </w:r>
      <w:r w:rsidR="00325AF6" w:rsidRPr="00CE5A0A">
        <w:t xml:space="preserve">; ISKN </w:t>
      </w:r>
      <w:r w:rsidR="00B15EE7" w:rsidRPr="00CE5A0A">
        <w:t>– Informační systém katastru nemovitostí</w:t>
      </w:r>
      <w:r w:rsidR="00325AF6" w:rsidRPr="00CE5A0A">
        <w:t xml:space="preserve">; ISDS </w:t>
      </w:r>
      <w:r w:rsidR="00B15EE7" w:rsidRPr="00CE5A0A">
        <w:t>–</w:t>
      </w:r>
      <w:r w:rsidR="00325AF6" w:rsidRPr="00CE5A0A">
        <w:t xml:space="preserve"> </w:t>
      </w:r>
      <w:r w:rsidR="00B15EE7" w:rsidRPr="00CE5A0A">
        <w:t>Informační systém datových schránek</w:t>
      </w:r>
    </w:p>
    <w:p w14:paraId="3A0FEA3F" w14:textId="77777777" w:rsidR="00437FE2" w:rsidRPr="003114E8" w:rsidRDefault="00437FE2" w:rsidP="003114E8">
      <w:pPr>
        <w:spacing w:line="276" w:lineRule="auto"/>
        <w:rPr>
          <w:szCs w:val="20"/>
          <w:lang w:eastAsia="x-none"/>
        </w:rPr>
      </w:pPr>
      <w:r w:rsidRPr="003114E8">
        <w:rPr>
          <w:szCs w:val="20"/>
          <w:lang w:eastAsia="x-none"/>
        </w:rPr>
        <w:t xml:space="preserve">Navrhované </w:t>
      </w:r>
      <w:r w:rsidR="001D1154">
        <w:rPr>
          <w:szCs w:val="20"/>
          <w:lang w:eastAsia="x-none"/>
        </w:rPr>
        <w:t xml:space="preserve">je </w:t>
      </w:r>
      <w:r w:rsidRPr="003114E8">
        <w:rPr>
          <w:szCs w:val="20"/>
          <w:lang w:eastAsia="x-none"/>
        </w:rPr>
        <w:t xml:space="preserve">řešení, které je tvořeno </w:t>
      </w:r>
      <w:r w:rsidRPr="003114E8">
        <w:rPr>
          <w:b/>
          <w:szCs w:val="20"/>
          <w:lang w:eastAsia="x-none"/>
        </w:rPr>
        <w:t>jednotlivými funkčními celky</w:t>
      </w:r>
      <w:r w:rsidR="00EF63E9">
        <w:rPr>
          <w:szCs w:val="20"/>
          <w:lang w:eastAsia="x-none"/>
        </w:rPr>
        <w:t xml:space="preserve"> </w:t>
      </w:r>
      <w:r w:rsidR="00EF63E9" w:rsidRPr="005821E4">
        <w:rPr>
          <w:rFonts w:cstheme="minorHAnsi"/>
          <w:b/>
        </w:rPr>
        <w:t>– Informačními systémy veřejné správy</w:t>
      </w:r>
      <w:r w:rsidR="00EF63E9" w:rsidRPr="005821E4">
        <w:rPr>
          <w:rFonts w:cstheme="minorHAnsi"/>
        </w:rPr>
        <w:t>, které mohou fungovat i samostatně. To</w:t>
      </w:r>
      <w:r w:rsidRPr="003114E8">
        <w:rPr>
          <w:szCs w:val="20"/>
          <w:lang w:eastAsia="x-none"/>
        </w:rPr>
        <w:t xml:space="preserve"> umožňuje postupné budování a spouštění celého konceptu do praxe. Tuto modularitu lze také využít při prioritizaci jednotlivých komponent, např. v závislosti na skutečném vybudování dnes neexistujících komponent navrhovaného řešení (např. digitální </w:t>
      </w:r>
      <w:r w:rsidR="00EF63E9">
        <w:rPr>
          <w:szCs w:val="20"/>
          <w:lang w:eastAsia="x-none"/>
        </w:rPr>
        <w:t>mapa</w:t>
      </w:r>
      <w:r w:rsidRPr="003114E8">
        <w:rPr>
          <w:szCs w:val="20"/>
          <w:lang w:eastAsia="x-none"/>
        </w:rPr>
        <w:t xml:space="preserve"> </w:t>
      </w:r>
      <w:r w:rsidR="00EF63E9">
        <w:rPr>
          <w:szCs w:val="20"/>
          <w:lang w:eastAsia="x-none"/>
        </w:rPr>
        <w:t>veřejné správy</w:t>
      </w:r>
      <w:r w:rsidRPr="003114E8">
        <w:rPr>
          <w:szCs w:val="20"/>
          <w:lang w:eastAsia="x-none"/>
        </w:rPr>
        <w:t xml:space="preserve">) nebo zaměřením se na nejproblematičtější oblasti povolování staveb, které způsobují největší zdržení nebo komplikace průběhu řízení. </w:t>
      </w:r>
    </w:p>
    <w:p w14:paraId="0F9A4CBB" w14:textId="77777777" w:rsidR="00437FE2" w:rsidRPr="00C86D8B" w:rsidRDefault="00437FE2" w:rsidP="003114E8">
      <w:pPr>
        <w:spacing w:line="276" w:lineRule="auto"/>
        <w:rPr>
          <w:rFonts w:cstheme="minorHAnsi"/>
        </w:rPr>
      </w:pPr>
      <w:r w:rsidRPr="00C86D8B">
        <w:rPr>
          <w:rFonts w:cstheme="minorHAnsi"/>
        </w:rPr>
        <w:t xml:space="preserve">Tato modularita také umožní případné dílčí korekce funkčních a technických požadavků na navrhované řešení, které mohou v budoucnu vyplynout z jednotlivých realizačních projektů. </w:t>
      </w:r>
    </w:p>
    <w:p w14:paraId="2D7E4D3E" w14:textId="77777777" w:rsidR="00437FE2" w:rsidRDefault="00437FE2" w:rsidP="003114E8">
      <w:pPr>
        <w:spacing w:line="276" w:lineRule="auto"/>
        <w:rPr>
          <w:rFonts w:cstheme="minorHAnsi"/>
        </w:rPr>
      </w:pPr>
      <w:r w:rsidRPr="00C86D8B">
        <w:rPr>
          <w:rFonts w:cstheme="minorHAnsi"/>
        </w:rPr>
        <w:lastRenderedPageBreak/>
        <w:t>Celý systém sestávající z jednotlivých komponent je navržen tak, aby mohl být průběžně upravován podle požadavků nové legislativy a praktických potřeb uživatelů.</w:t>
      </w:r>
    </w:p>
    <w:p w14:paraId="61661CE9" w14:textId="77777777" w:rsidR="00900845" w:rsidRDefault="00B06FFE" w:rsidP="00342D60">
      <w:pPr>
        <w:spacing w:line="276" w:lineRule="auto"/>
        <w:rPr>
          <w:rFonts w:cstheme="minorBidi"/>
        </w:rPr>
      </w:pPr>
      <w:r>
        <w:rPr>
          <w:rFonts w:cstheme="minorBidi"/>
        </w:rPr>
        <w:t>V </w:t>
      </w:r>
      <w:r w:rsidR="00F60B05">
        <w:rPr>
          <w:rFonts w:cstheme="minorBidi"/>
        </w:rPr>
        <w:t>etapě</w:t>
      </w:r>
      <w:r>
        <w:rPr>
          <w:rFonts w:cstheme="minorBidi"/>
        </w:rPr>
        <w:t xml:space="preserve"> </w:t>
      </w:r>
      <w:r w:rsidR="0064749C">
        <w:rPr>
          <w:rFonts w:cstheme="minorBidi"/>
        </w:rPr>
        <w:t>navazující</w:t>
      </w:r>
      <w:r>
        <w:rPr>
          <w:rFonts w:cstheme="minorBidi"/>
        </w:rPr>
        <w:t xml:space="preserve"> </w:t>
      </w:r>
      <w:r w:rsidR="0064749C">
        <w:rPr>
          <w:rFonts w:cstheme="minorBidi"/>
        </w:rPr>
        <w:t>na realizaci</w:t>
      </w:r>
      <w:r>
        <w:rPr>
          <w:rFonts w:cstheme="minorBidi"/>
        </w:rPr>
        <w:t xml:space="preserve"> </w:t>
      </w:r>
      <w:r w:rsidR="00A3778B" w:rsidRPr="79E5BB9A">
        <w:rPr>
          <w:rFonts w:cstheme="minorBidi"/>
        </w:rPr>
        <w:t>projekt</w:t>
      </w:r>
      <w:r w:rsidR="0064749C">
        <w:rPr>
          <w:rFonts w:cstheme="minorBidi"/>
        </w:rPr>
        <w:t>ů</w:t>
      </w:r>
      <w:r w:rsidR="00A3778B" w:rsidRPr="79E5BB9A">
        <w:rPr>
          <w:rFonts w:cstheme="minorBidi"/>
        </w:rPr>
        <w:t xml:space="preserve"> DSŘ bude </w:t>
      </w:r>
      <w:r>
        <w:rPr>
          <w:rFonts w:cstheme="minorBidi"/>
        </w:rPr>
        <w:t>realizováno</w:t>
      </w:r>
      <w:r w:rsidR="00B71CC4">
        <w:rPr>
          <w:rFonts w:cstheme="minorBidi"/>
        </w:rPr>
        <w:t xml:space="preserve"> v budoucím programovém období:</w:t>
      </w:r>
      <w:r>
        <w:rPr>
          <w:rFonts w:cstheme="minorBidi"/>
        </w:rPr>
        <w:t xml:space="preserve"> </w:t>
      </w:r>
    </w:p>
    <w:p w14:paraId="25700B3C" w14:textId="77777777" w:rsidR="00A3778B" w:rsidRPr="008253FA" w:rsidRDefault="00A3778B" w:rsidP="008253FA">
      <w:pPr>
        <w:pStyle w:val="Odstavecseseznamem"/>
        <w:numPr>
          <w:ilvl w:val="0"/>
          <w:numId w:val="23"/>
        </w:numPr>
        <w:spacing w:line="276" w:lineRule="auto"/>
        <w:rPr>
          <w:rFonts w:ascii="Arial" w:hAnsi="Arial" w:cs="Arial"/>
        </w:rPr>
      </w:pPr>
      <w:r w:rsidRPr="008253FA">
        <w:rPr>
          <w:rFonts w:ascii="Arial" w:hAnsi="Arial" w:cs="Arial"/>
          <w:b/>
          <w:bCs/>
        </w:rPr>
        <w:t xml:space="preserve">doplnění potřebného materiálního vybavení stavebních úřadů a úřadů </w:t>
      </w:r>
      <w:r w:rsidR="79E5BB9A" w:rsidRPr="008253FA">
        <w:rPr>
          <w:rFonts w:ascii="Arial" w:hAnsi="Arial" w:cs="Arial"/>
          <w:b/>
          <w:bCs/>
        </w:rPr>
        <w:t>územního plánování</w:t>
      </w:r>
      <w:r w:rsidRPr="008253FA">
        <w:rPr>
          <w:rFonts w:ascii="Arial" w:hAnsi="Arial" w:cs="Arial"/>
        </w:rPr>
        <w:t>.</w:t>
      </w:r>
      <w:r w:rsidR="00B06FFE" w:rsidRPr="008253FA">
        <w:rPr>
          <w:rFonts w:ascii="Arial" w:hAnsi="Arial" w:cs="Arial"/>
        </w:rPr>
        <w:t xml:space="preserve"> </w:t>
      </w:r>
      <w:r w:rsidR="000F6FB1">
        <w:rPr>
          <w:rFonts w:ascii="Arial" w:hAnsi="Arial" w:cs="Arial"/>
        </w:rPr>
        <w:br/>
      </w:r>
      <w:r w:rsidR="00B06FFE" w:rsidRPr="008253FA">
        <w:rPr>
          <w:rFonts w:ascii="Arial" w:hAnsi="Arial" w:cs="Arial"/>
        </w:rPr>
        <w:t xml:space="preserve">A to na základě specifikace požadavků </w:t>
      </w:r>
      <w:r w:rsidRPr="008253FA">
        <w:rPr>
          <w:rFonts w:ascii="Arial" w:hAnsi="Arial" w:cs="Arial"/>
        </w:rPr>
        <w:t>na technické vybavení úřadů (PC, sítě, tisk, apod.), analýz současného vybavení</w:t>
      </w:r>
      <w:r w:rsidR="00B06FFE" w:rsidRPr="008253FA">
        <w:rPr>
          <w:rFonts w:ascii="Arial" w:hAnsi="Arial" w:cs="Arial"/>
        </w:rPr>
        <w:t xml:space="preserve">, </w:t>
      </w:r>
      <w:r w:rsidRPr="008253FA">
        <w:rPr>
          <w:rFonts w:ascii="Arial" w:hAnsi="Arial" w:cs="Arial"/>
        </w:rPr>
        <w:t>identifik</w:t>
      </w:r>
      <w:r w:rsidR="00B06FFE" w:rsidRPr="008253FA">
        <w:rPr>
          <w:rFonts w:ascii="Arial" w:hAnsi="Arial" w:cs="Arial"/>
        </w:rPr>
        <w:t>ace</w:t>
      </w:r>
      <w:r w:rsidRPr="008253FA">
        <w:rPr>
          <w:rFonts w:ascii="Arial" w:hAnsi="Arial" w:cs="Arial"/>
        </w:rPr>
        <w:t xml:space="preserve"> potřeb doplnění tohoto vybavení</w:t>
      </w:r>
      <w:r w:rsidR="00B06FFE" w:rsidRPr="008253FA">
        <w:rPr>
          <w:rFonts w:ascii="Arial" w:hAnsi="Arial" w:cs="Arial"/>
        </w:rPr>
        <w:t xml:space="preserve"> a v návaznosti na proces rekodifikace stavebního práva a uspořádání stavebních úřadů formou Nejvyššího stavebního úřadu</w:t>
      </w:r>
      <w:r w:rsidR="00895538" w:rsidRPr="008253FA">
        <w:rPr>
          <w:rFonts w:ascii="Arial" w:hAnsi="Arial" w:cs="Arial"/>
        </w:rPr>
        <w:t xml:space="preserve"> (</w:t>
      </w:r>
      <w:r w:rsidR="001D1154">
        <w:rPr>
          <w:rFonts w:ascii="Arial" w:hAnsi="Arial" w:cs="Arial"/>
        </w:rPr>
        <w:t xml:space="preserve">dále </w:t>
      </w:r>
      <w:r w:rsidR="00895538" w:rsidRPr="008253FA">
        <w:rPr>
          <w:rFonts w:ascii="Arial" w:hAnsi="Arial" w:cs="Arial"/>
        </w:rPr>
        <w:t>NSÚ)</w:t>
      </w:r>
      <w:r w:rsidR="00B06FFE" w:rsidRPr="008253FA">
        <w:rPr>
          <w:rFonts w:ascii="Arial" w:hAnsi="Arial" w:cs="Arial"/>
        </w:rPr>
        <w:t xml:space="preserve">. </w:t>
      </w:r>
    </w:p>
    <w:p w14:paraId="566BC88C" w14:textId="798A6C42" w:rsidR="00900845" w:rsidRPr="008253FA" w:rsidRDefault="00A43D9A" w:rsidP="008253FA">
      <w:pPr>
        <w:pStyle w:val="Odstavecseseznamem"/>
        <w:numPr>
          <w:ilvl w:val="0"/>
          <w:numId w:val="23"/>
        </w:numPr>
        <w:spacing w:line="276" w:lineRule="auto"/>
        <w:rPr>
          <w:rFonts w:ascii="Arial" w:hAnsi="Arial" w:cs="Arial"/>
        </w:rPr>
      </w:pPr>
      <w:r>
        <w:rPr>
          <w:rFonts w:ascii="Arial" w:hAnsi="Arial" w:cs="Arial"/>
          <w:b/>
        </w:rPr>
        <w:t>standardizace</w:t>
      </w:r>
      <w:r w:rsidR="00900845" w:rsidRPr="008253FA">
        <w:rPr>
          <w:rFonts w:ascii="Arial" w:hAnsi="Arial" w:cs="Arial"/>
          <w:b/>
        </w:rPr>
        <w:t xml:space="preserve"> územních plánů podle jednotné metodiky</w:t>
      </w:r>
      <w:r w:rsidR="00900845" w:rsidRPr="008253FA">
        <w:rPr>
          <w:rFonts w:ascii="Arial" w:hAnsi="Arial" w:cs="Arial"/>
        </w:rPr>
        <w:t xml:space="preserve"> pro celé území ČR.</w:t>
      </w:r>
    </w:p>
    <w:p w14:paraId="7FF99532" w14:textId="77777777" w:rsidR="00C35422" w:rsidRPr="00C86D8B" w:rsidRDefault="00C35422" w:rsidP="003114E8">
      <w:pPr>
        <w:spacing w:line="276" w:lineRule="auto"/>
        <w:rPr>
          <w:rFonts w:cstheme="minorHAnsi"/>
        </w:rPr>
      </w:pPr>
    </w:p>
    <w:p w14:paraId="24DDA669" w14:textId="77777777" w:rsidR="0019689E" w:rsidRDefault="0019689E" w:rsidP="0019689E">
      <w:pPr>
        <w:pStyle w:val="Nadpis2"/>
      </w:pPr>
      <w:r>
        <w:t xml:space="preserve">Přínosy </w:t>
      </w:r>
      <w:r w:rsidR="001334C7">
        <w:t>projektů</w:t>
      </w:r>
    </w:p>
    <w:p w14:paraId="6645DEBD" w14:textId="77777777" w:rsidR="0019689E" w:rsidRPr="0019689E" w:rsidRDefault="008B1025" w:rsidP="00430FF6">
      <w:r>
        <w:t xml:space="preserve">Realizace </w:t>
      </w:r>
      <w:r w:rsidR="001334C7">
        <w:t xml:space="preserve">projektů </w:t>
      </w:r>
      <w:r>
        <w:t xml:space="preserve">digitalizace stavebního řízení a územního plánování </w:t>
      </w:r>
      <w:r w:rsidR="00431FC5">
        <w:t>v návaznosti na projekt</w:t>
      </w:r>
      <w:r w:rsidR="001334C7">
        <w:t>y</w:t>
      </w:r>
      <w:r w:rsidR="00431FC5">
        <w:t xml:space="preserve"> DTM </w:t>
      </w:r>
      <w:r>
        <w:t>se pojí s následujícími přínosy:</w:t>
      </w:r>
    </w:p>
    <w:p w14:paraId="217ED546" w14:textId="77777777" w:rsidR="0005002C" w:rsidRPr="0005002C" w:rsidRDefault="0005002C" w:rsidP="0005002C">
      <w:pPr>
        <w:numPr>
          <w:ilvl w:val="0"/>
          <w:numId w:val="11"/>
        </w:numPr>
        <w:spacing w:line="240" w:lineRule="auto"/>
        <w:rPr>
          <w:szCs w:val="20"/>
        </w:rPr>
      </w:pPr>
      <w:r w:rsidRPr="0005002C">
        <w:rPr>
          <w:szCs w:val="20"/>
        </w:rPr>
        <w:t xml:space="preserve">významně přispěje ke </w:t>
      </w:r>
      <w:r w:rsidRPr="0005002C">
        <w:rPr>
          <w:b/>
          <w:bCs/>
          <w:szCs w:val="20"/>
        </w:rPr>
        <w:t>zjednodušení a zrychlení přípravy, umisťování a povolování staveb</w:t>
      </w:r>
      <w:r w:rsidR="000F3C61">
        <w:rPr>
          <w:b/>
          <w:bCs/>
          <w:szCs w:val="20"/>
        </w:rPr>
        <w:t>;</w:t>
      </w:r>
    </w:p>
    <w:p w14:paraId="19C8A564" w14:textId="77777777" w:rsidR="008B1025" w:rsidRPr="00342D60" w:rsidRDefault="008B1025" w:rsidP="00431FC5">
      <w:pPr>
        <w:numPr>
          <w:ilvl w:val="0"/>
          <w:numId w:val="11"/>
        </w:numPr>
        <w:spacing w:line="240" w:lineRule="auto"/>
        <w:rPr>
          <w:szCs w:val="20"/>
        </w:rPr>
      </w:pPr>
      <w:r>
        <w:rPr>
          <w:szCs w:val="20"/>
        </w:rPr>
        <w:t xml:space="preserve">sjednotí, doplní a zpřístupní dosud roztříštěná, neúplná a nepřesná data o veškeré technické infrastruktuře na území celé ČR, a tak </w:t>
      </w:r>
      <w:r w:rsidRPr="0005002C">
        <w:rPr>
          <w:szCs w:val="20"/>
        </w:rPr>
        <w:t xml:space="preserve">poskytne </w:t>
      </w:r>
      <w:r w:rsidRPr="0005002C">
        <w:rPr>
          <w:b/>
          <w:bCs/>
          <w:szCs w:val="20"/>
        </w:rPr>
        <w:t xml:space="preserve">informace pro sdílení fyzické infrastruktury </w:t>
      </w:r>
      <w:r w:rsidR="008253FA">
        <w:rPr>
          <w:b/>
          <w:bCs/>
          <w:szCs w:val="20"/>
        </w:rPr>
        <w:br/>
      </w:r>
      <w:r w:rsidRPr="0005002C">
        <w:rPr>
          <w:b/>
          <w:bCs/>
          <w:szCs w:val="20"/>
        </w:rPr>
        <w:t xml:space="preserve">a umožní tak koordinaci stavebních prací </w:t>
      </w:r>
      <w:r w:rsidRPr="0005002C">
        <w:rPr>
          <w:szCs w:val="20"/>
        </w:rPr>
        <w:t xml:space="preserve">ve smyslu zákona č. 194/2017 Sb. </w:t>
      </w:r>
      <w:r w:rsidRPr="000F3C61">
        <w:rPr>
          <w:i/>
          <w:szCs w:val="20"/>
        </w:rPr>
        <w:t>o opatřeních ke snížení nákladů na zavádění vysokorychlostních sítí elektronických komunikací</w:t>
      </w:r>
      <w:r w:rsidR="00431FC5" w:rsidRPr="00342D60">
        <w:rPr>
          <w:szCs w:val="20"/>
        </w:rPr>
        <w:t xml:space="preserve">, který implementuje směrnici Evropského Parlamentu a Rady 2014/61/EU o opatřeních ke snížení nákladů na budování vysokorychlostních sítí elektronických komunikací. Současný stav implementace této směrnice hodnotila </w:t>
      </w:r>
      <w:r w:rsidR="00431FC5" w:rsidRPr="00342D60">
        <w:rPr>
          <w:i/>
          <w:szCs w:val="20"/>
        </w:rPr>
        <w:t>Zpráva Komise Evropskému parlamentu a Rad</w:t>
      </w:r>
      <w:r w:rsidR="00342D60" w:rsidRPr="00342D60">
        <w:rPr>
          <w:i/>
          <w:szCs w:val="20"/>
        </w:rPr>
        <w:t>y z 28.</w:t>
      </w:r>
      <w:r w:rsidR="00342D60">
        <w:rPr>
          <w:i/>
          <w:szCs w:val="20"/>
        </w:rPr>
        <w:t xml:space="preserve"> </w:t>
      </w:r>
      <w:r w:rsidR="00342D60" w:rsidRPr="00342D60">
        <w:rPr>
          <w:i/>
          <w:szCs w:val="20"/>
        </w:rPr>
        <w:t>6.</w:t>
      </w:r>
      <w:r w:rsidR="00342D60">
        <w:rPr>
          <w:i/>
          <w:szCs w:val="20"/>
        </w:rPr>
        <w:t xml:space="preserve"> </w:t>
      </w:r>
      <w:r w:rsidR="00342D60" w:rsidRPr="00342D60">
        <w:rPr>
          <w:i/>
          <w:szCs w:val="20"/>
        </w:rPr>
        <w:t xml:space="preserve">2018 č. COM(2018)492 </w:t>
      </w:r>
      <w:r w:rsidR="00431FC5" w:rsidRPr="00342D60">
        <w:rPr>
          <w:i/>
          <w:szCs w:val="20"/>
        </w:rPr>
        <w:t>final</w:t>
      </w:r>
      <w:r w:rsidR="00431FC5" w:rsidRPr="00342D60">
        <w:rPr>
          <w:szCs w:val="20"/>
        </w:rPr>
        <w:t>, jež obsahuje také doporučení, týkající se zajištění mapování jakožto předpokladu sdíleného využívání fyzické infrastruktury</w:t>
      </w:r>
      <w:r w:rsidR="000F3C61">
        <w:rPr>
          <w:i/>
          <w:szCs w:val="20"/>
        </w:rPr>
        <w:t>;</w:t>
      </w:r>
    </w:p>
    <w:p w14:paraId="417DA154" w14:textId="0E02C7EE" w:rsidR="00431FC5" w:rsidRDefault="00431FC5" w:rsidP="00431FC5">
      <w:pPr>
        <w:numPr>
          <w:ilvl w:val="0"/>
          <w:numId w:val="11"/>
        </w:numPr>
        <w:spacing w:line="240" w:lineRule="auto"/>
        <w:rPr>
          <w:szCs w:val="20"/>
        </w:rPr>
      </w:pPr>
      <w:r w:rsidRPr="00431FC5">
        <w:rPr>
          <w:szCs w:val="20"/>
        </w:rPr>
        <w:t xml:space="preserve">je </w:t>
      </w:r>
      <w:r w:rsidR="001F47A4">
        <w:rPr>
          <w:b/>
          <w:szCs w:val="20"/>
        </w:rPr>
        <w:t>zvyšuje efektivitu</w:t>
      </w:r>
      <w:r w:rsidRPr="00431FC5">
        <w:rPr>
          <w:szCs w:val="20"/>
        </w:rPr>
        <w:t xml:space="preserve"> </w:t>
      </w:r>
      <w:r w:rsidR="001F47A4">
        <w:rPr>
          <w:szCs w:val="20"/>
        </w:rPr>
        <w:t xml:space="preserve">naplňování </w:t>
      </w:r>
      <w:r w:rsidRPr="00431FC5">
        <w:rPr>
          <w:szCs w:val="20"/>
        </w:rPr>
        <w:t xml:space="preserve">požadavku </w:t>
      </w:r>
      <w:r>
        <w:rPr>
          <w:szCs w:val="20"/>
        </w:rPr>
        <w:t>s</w:t>
      </w:r>
      <w:r w:rsidRPr="00431FC5">
        <w:rPr>
          <w:szCs w:val="20"/>
        </w:rPr>
        <w:t>měrnice Evropského parlamentu a Rady č. 2018/1972, kterou se stanoví evropský kodex pro elektronické komunikace</w:t>
      </w:r>
      <w:r w:rsidR="000D21C7">
        <w:rPr>
          <w:szCs w:val="20"/>
        </w:rPr>
        <w:t xml:space="preserve"> (dále Kodex)</w:t>
      </w:r>
      <w:r w:rsidR="000D61B7">
        <w:rPr>
          <w:szCs w:val="20"/>
        </w:rPr>
        <w:t>, která</w:t>
      </w:r>
      <w:r w:rsidRPr="00431FC5">
        <w:rPr>
          <w:szCs w:val="20"/>
        </w:rPr>
        <w:t xml:space="preserve"> v čl. 22 stanoví, že do 21. prosince 2023 bude provedeno </w:t>
      </w:r>
      <w:r w:rsidRPr="00342D60">
        <w:rPr>
          <w:b/>
          <w:szCs w:val="20"/>
        </w:rPr>
        <w:t>zeměpisné mapování dosahu sítí elektronických komunikací</w:t>
      </w:r>
      <w:r w:rsidRPr="00431FC5">
        <w:rPr>
          <w:szCs w:val="20"/>
        </w:rPr>
        <w:t xml:space="preserve"> umožňujících poskytování širokopásmového připojení</w:t>
      </w:r>
      <w:r>
        <w:rPr>
          <w:szCs w:val="20"/>
        </w:rPr>
        <w:t>;</w:t>
      </w:r>
      <w:r w:rsidRPr="00431FC5">
        <w:rPr>
          <w:szCs w:val="20"/>
        </w:rPr>
        <w:t xml:space="preserve"> </w:t>
      </w:r>
    </w:p>
    <w:p w14:paraId="0BA2EF9B" w14:textId="77777777" w:rsidR="008B1025" w:rsidRPr="008B1025" w:rsidRDefault="008B1025" w:rsidP="008B1025">
      <w:pPr>
        <w:numPr>
          <w:ilvl w:val="0"/>
          <w:numId w:val="11"/>
        </w:numPr>
        <w:spacing w:line="240" w:lineRule="auto"/>
        <w:rPr>
          <w:szCs w:val="20"/>
        </w:rPr>
      </w:pPr>
      <w:r>
        <w:rPr>
          <w:szCs w:val="20"/>
        </w:rPr>
        <w:t>povede ke</w:t>
      </w:r>
      <w:r w:rsidRPr="0005002C">
        <w:rPr>
          <w:szCs w:val="20"/>
        </w:rPr>
        <w:t xml:space="preserve"> </w:t>
      </w:r>
      <w:r w:rsidRPr="0005002C">
        <w:rPr>
          <w:b/>
          <w:bCs/>
          <w:szCs w:val="20"/>
        </w:rPr>
        <w:t>snížení administrativní zátěže pro stavebníky</w:t>
      </w:r>
      <w:r w:rsidRPr="0005002C">
        <w:rPr>
          <w:szCs w:val="20"/>
        </w:rPr>
        <w:t xml:space="preserve"> při přípravě investic, zejména liniových, infrastrukturních staveb</w:t>
      </w:r>
      <w:r w:rsidR="000F3C61">
        <w:rPr>
          <w:szCs w:val="20"/>
        </w:rPr>
        <w:t>;</w:t>
      </w:r>
    </w:p>
    <w:p w14:paraId="04CEC9DB" w14:textId="77777777" w:rsidR="0083020A" w:rsidRPr="0083020A" w:rsidRDefault="00F90C15" w:rsidP="002628AD">
      <w:pPr>
        <w:numPr>
          <w:ilvl w:val="0"/>
          <w:numId w:val="11"/>
        </w:numPr>
        <w:spacing w:line="240" w:lineRule="auto"/>
        <w:rPr>
          <w:szCs w:val="20"/>
        </w:rPr>
      </w:pPr>
      <w:r>
        <w:rPr>
          <w:szCs w:val="20"/>
        </w:rPr>
        <w:t>jako základní součást e</w:t>
      </w:r>
      <w:r w:rsidR="0075163F">
        <w:rPr>
          <w:szCs w:val="20"/>
        </w:rPr>
        <w:t>G</w:t>
      </w:r>
      <w:r w:rsidR="0083020A" w:rsidRPr="0005002C">
        <w:rPr>
          <w:szCs w:val="20"/>
        </w:rPr>
        <w:t xml:space="preserve">overnmentu </w:t>
      </w:r>
      <w:r w:rsidR="0083020A">
        <w:rPr>
          <w:b/>
          <w:bCs/>
          <w:szCs w:val="20"/>
        </w:rPr>
        <w:t>posílí elektronizaci veřejné správy</w:t>
      </w:r>
      <w:r w:rsidR="0083020A" w:rsidRPr="0005002C">
        <w:rPr>
          <w:szCs w:val="20"/>
        </w:rPr>
        <w:t xml:space="preserve"> tím, že buduje centralizovaný systém umožňující sdílení dat, rozš</w:t>
      </w:r>
      <w:r w:rsidR="0083020A">
        <w:rPr>
          <w:szCs w:val="20"/>
        </w:rPr>
        <w:t>iřuje a propojuje datový fond veřejné správy</w:t>
      </w:r>
      <w:r w:rsidR="0083020A" w:rsidRPr="0005002C">
        <w:rPr>
          <w:szCs w:val="20"/>
        </w:rPr>
        <w:t xml:space="preserve"> a jeho využívání na principu sdílení již jednou pořízených dat</w:t>
      </w:r>
      <w:r w:rsidR="000F3C61">
        <w:rPr>
          <w:szCs w:val="20"/>
        </w:rPr>
        <w:t>;</w:t>
      </w:r>
      <w:r w:rsidR="002628AD">
        <w:rPr>
          <w:szCs w:val="20"/>
        </w:rPr>
        <w:t xml:space="preserve"> naplňuje tak </w:t>
      </w:r>
      <w:r w:rsidR="002628AD" w:rsidRPr="00342D60">
        <w:rPr>
          <w:i/>
          <w:szCs w:val="20"/>
        </w:rPr>
        <w:t>Akční plán pro eGovernment pro období 2016 – 2020</w:t>
      </w:r>
      <w:r w:rsidR="002628AD" w:rsidRPr="002628AD">
        <w:rPr>
          <w:szCs w:val="20"/>
        </w:rPr>
        <w:t xml:space="preserve"> </w:t>
      </w:r>
      <w:r w:rsidR="002628AD">
        <w:rPr>
          <w:szCs w:val="20"/>
        </w:rPr>
        <w:t xml:space="preserve">- </w:t>
      </w:r>
      <w:r w:rsidR="002628AD" w:rsidRPr="002628AD">
        <w:rPr>
          <w:szCs w:val="20"/>
        </w:rPr>
        <w:t>Urychlování digitální transformace veřejné správy</w:t>
      </w:r>
      <w:r w:rsidR="002628AD">
        <w:rPr>
          <w:szCs w:val="20"/>
        </w:rPr>
        <w:t xml:space="preserve"> dle sdělení Evropské komise </w:t>
      </w:r>
      <w:r w:rsidR="002628AD" w:rsidRPr="002628AD">
        <w:rPr>
          <w:szCs w:val="20"/>
        </w:rPr>
        <w:t>COM/2016/0179 final</w:t>
      </w:r>
      <w:r w:rsidR="002628AD">
        <w:rPr>
          <w:szCs w:val="20"/>
        </w:rPr>
        <w:t>;</w:t>
      </w:r>
    </w:p>
    <w:p w14:paraId="0C22810C" w14:textId="1BBCAFAF" w:rsidR="0083020A" w:rsidRPr="0083020A" w:rsidRDefault="0013097F" w:rsidP="002A6829">
      <w:pPr>
        <w:numPr>
          <w:ilvl w:val="0"/>
          <w:numId w:val="11"/>
        </w:numPr>
        <w:spacing w:line="240" w:lineRule="auto"/>
      </w:pPr>
      <w:r w:rsidRPr="002A6829">
        <w:rPr>
          <w:rFonts w:eastAsia="Arial"/>
        </w:rPr>
        <w:t xml:space="preserve">přispívá k </w:t>
      </w:r>
      <w:r w:rsidR="258BA7D1" w:rsidRPr="002A6829">
        <w:rPr>
          <w:rFonts w:eastAsia="Arial"/>
        </w:rPr>
        <w:t xml:space="preserve">(vytváří podmínky pro) </w:t>
      </w:r>
      <w:r w:rsidR="009676D2" w:rsidRPr="002A6829">
        <w:rPr>
          <w:rFonts w:eastAsia="Arial"/>
        </w:rPr>
        <w:t>napl</w:t>
      </w:r>
      <w:r w:rsidRPr="002A6829">
        <w:rPr>
          <w:rFonts w:eastAsia="Arial"/>
        </w:rPr>
        <w:t>nění</w:t>
      </w:r>
      <w:r w:rsidR="009676D2" w:rsidRPr="002A6829">
        <w:rPr>
          <w:rFonts w:eastAsia="Arial"/>
        </w:rPr>
        <w:t xml:space="preserve"> akční</w:t>
      </w:r>
      <w:r w:rsidRPr="002A6829">
        <w:rPr>
          <w:rFonts w:eastAsia="Arial"/>
        </w:rPr>
        <w:t>ho</w:t>
      </w:r>
      <w:r w:rsidR="009676D2" w:rsidRPr="002A6829">
        <w:rPr>
          <w:rFonts w:eastAsia="Arial"/>
        </w:rPr>
        <w:t xml:space="preserve"> plán</w:t>
      </w:r>
      <w:r w:rsidRPr="002A6829">
        <w:rPr>
          <w:rFonts w:eastAsia="Arial"/>
        </w:rPr>
        <w:t>u</w:t>
      </w:r>
      <w:r w:rsidR="009676D2" w:rsidRPr="002A6829" w:rsidDel="00431FC5">
        <w:rPr>
          <w:rFonts w:eastAsia="Arial"/>
        </w:rPr>
        <w:t xml:space="preserve"> </w:t>
      </w:r>
      <w:r w:rsidR="0083020A" w:rsidRPr="002A6829">
        <w:rPr>
          <w:rFonts w:eastAsia="Arial"/>
        </w:rPr>
        <w:t xml:space="preserve">pro </w:t>
      </w:r>
      <w:r w:rsidR="0083020A" w:rsidRPr="002A6829">
        <w:rPr>
          <w:rFonts w:eastAsia="Arial"/>
          <w:b/>
          <w:bCs/>
        </w:rPr>
        <w:t xml:space="preserve">zlepšení situace v oblasti rozvoje vysokorychlostního internetu </w:t>
      </w:r>
      <w:r w:rsidR="0083020A" w:rsidRPr="002A6829">
        <w:rPr>
          <w:rFonts w:eastAsia="Arial"/>
        </w:rPr>
        <w:t>v ČR,</w:t>
      </w:r>
      <w:r w:rsidR="009676D2" w:rsidRPr="002A6829">
        <w:rPr>
          <w:rFonts w:eastAsia="Arial"/>
        </w:rPr>
        <w:t xml:space="preserve"> jenž byl dohodnut na společném jednání čtyř generálních ředitelství Evropské komise, </w:t>
      </w:r>
      <w:r w:rsidR="006058DC" w:rsidRPr="002A6829">
        <w:rPr>
          <w:rFonts w:eastAsia="Arial"/>
        </w:rPr>
        <w:t>MMR</w:t>
      </w:r>
      <w:r w:rsidR="009676D2" w:rsidRPr="002A6829">
        <w:rPr>
          <w:rFonts w:eastAsia="Arial"/>
        </w:rPr>
        <w:t xml:space="preserve">, </w:t>
      </w:r>
      <w:r w:rsidR="006058DC" w:rsidRPr="002A6829">
        <w:rPr>
          <w:rFonts w:eastAsia="Arial"/>
        </w:rPr>
        <w:t xml:space="preserve">MPO </w:t>
      </w:r>
      <w:r w:rsidR="009676D2" w:rsidRPr="002A6829">
        <w:rPr>
          <w:rFonts w:eastAsia="Arial"/>
        </w:rPr>
        <w:t xml:space="preserve">a </w:t>
      </w:r>
      <w:r w:rsidR="006058DC" w:rsidRPr="002A6829">
        <w:rPr>
          <w:rFonts w:eastAsia="Arial"/>
        </w:rPr>
        <w:t xml:space="preserve">ČTÚ </w:t>
      </w:r>
      <w:r w:rsidR="009676D2" w:rsidRPr="002A6829">
        <w:rPr>
          <w:rFonts w:eastAsia="Arial"/>
        </w:rPr>
        <w:t>dne 12.</w:t>
      </w:r>
      <w:r w:rsidR="006058DC" w:rsidRPr="002A6829">
        <w:rPr>
          <w:rFonts w:eastAsia="Arial"/>
        </w:rPr>
        <w:t> </w:t>
      </w:r>
      <w:r w:rsidR="009676D2" w:rsidRPr="002A6829">
        <w:rPr>
          <w:rFonts w:eastAsia="Arial"/>
        </w:rPr>
        <w:t>6.</w:t>
      </w:r>
      <w:r w:rsidR="006058DC" w:rsidRPr="002A6829">
        <w:rPr>
          <w:rFonts w:eastAsia="Arial"/>
        </w:rPr>
        <w:t> </w:t>
      </w:r>
      <w:r w:rsidR="009676D2" w:rsidRPr="002A6829">
        <w:rPr>
          <w:rFonts w:eastAsia="Arial"/>
        </w:rPr>
        <w:t>2018 k problematice podpory budování vysokorychlostního internetu, při němž</w:t>
      </w:r>
      <w:r w:rsidR="00EA404D" w:rsidRPr="002A6829">
        <w:rPr>
          <w:rFonts w:eastAsia="Arial"/>
        </w:rPr>
        <w:t xml:space="preserve"> byla identifikována</w:t>
      </w:r>
      <w:r w:rsidR="0083020A" w:rsidRPr="002A6829">
        <w:rPr>
          <w:rFonts w:eastAsia="Arial"/>
        </w:rPr>
        <w:t xml:space="preserve"> </w:t>
      </w:r>
      <w:r w:rsidR="006058DC" w:rsidRPr="002A6829">
        <w:rPr>
          <w:rFonts w:eastAsia="Arial"/>
        </w:rPr>
        <w:t>p</w:t>
      </w:r>
      <w:r w:rsidR="00EA404D" w:rsidRPr="002A6829">
        <w:rPr>
          <w:rFonts w:eastAsia="Arial"/>
        </w:rPr>
        <w:t>otřeba</w:t>
      </w:r>
      <w:r w:rsidR="006058DC" w:rsidRPr="002A6829">
        <w:rPr>
          <w:rFonts w:eastAsia="Arial"/>
        </w:rPr>
        <w:t xml:space="preserve"> </w:t>
      </w:r>
      <w:r w:rsidR="006058DC" w:rsidRPr="002A6829">
        <w:rPr>
          <w:rFonts w:eastAsia="Arial"/>
          <w:b/>
          <w:bCs/>
        </w:rPr>
        <w:t>zlepš</w:t>
      </w:r>
      <w:r w:rsidR="00EA404D" w:rsidRPr="002A6829">
        <w:rPr>
          <w:rFonts w:eastAsia="Arial"/>
          <w:b/>
          <w:bCs/>
        </w:rPr>
        <w:t>it</w:t>
      </w:r>
      <w:r w:rsidR="000065E9" w:rsidRPr="002A6829">
        <w:rPr>
          <w:rFonts w:eastAsia="Arial"/>
        </w:rPr>
        <w:t xml:space="preserve"> </w:t>
      </w:r>
      <w:r w:rsidR="000065E9" w:rsidRPr="002A6829">
        <w:rPr>
          <w:rFonts w:eastAsia="Arial"/>
          <w:b/>
          <w:bCs/>
        </w:rPr>
        <w:t>mapování pro vyhodnocování potřeb intervencí z ESIF</w:t>
      </w:r>
      <w:r w:rsidR="00382448" w:rsidRPr="002A6829">
        <w:rPr>
          <w:rFonts w:eastAsia="Arial"/>
        </w:rPr>
        <w:t>;</w:t>
      </w:r>
    </w:p>
    <w:p w14:paraId="22BD5C76" w14:textId="77777777" w:rsidR="00834113" w:rsidRDefault="0005002C" w:rsidP="000065E9">
      <w:pPr>
        <w:numPr>
          <w:ilvl w:val="0"/>
          <w:numId w:val="11"/>
        </w:numPr>
        <w:spacing w:line="240" w:lineRule="auto"/>
        <w:rPr>
          <w:szCs w:val="20"/>
        </w:rPr>
      </w:pPr>
      <w:r w:rsidRPr="0034381F">
        <w:rPr>
          <w:b/>
          <w:bCs/>
          <w:szCs w:val="20"/>
        </w:rPr>
        <w:t>přispívají k bu</w:t>
      </w:r>
      <w:r w:rsidR="0034381F">
        <w:rPr>
          <w:b/>
          <w:bCs/>
          <w:szCs w:val="20"/>
        </w:rPr>
        <w:t xml:space="preserve">dování digitální infrastruktury a </w:t>
      </w:r>
      <w:r w:rsidR="000065E9">
        <w:rPr>
          <w:b/>
          <w:bCs/>
          <w:szCs w:val="20"/>
        </w:rPr>
        <w:t xml:space="preserve">k naplnění požadavků Rady EU uvedených </w:t>
      </w:r>
      <w:r w:rsidR="000F6FB1">
        <w:rPr>
          <w:b/>
          <w:bCs/>
          <w:szCs w:val="20"/>
        </w:rPr>
        <w:br/>
      </w:r>
      <w:r w:rsidR="000065E9">
        <w:rPr>
          <w:b/>
          <w:bCs/>
          <w:szCs w:val="20"/>
        </w:rPr>
        <w:t xml:space="preserve">v </w:t>
      </w:r>
      <w:r w:rsidR="000065E9" w:rsidRPr="0005002C">
        <w:rPr>
          <w:b/>
          <w:bCs/>
          <w:szCs w:val="20"/>
        </w:rPr>
        <w:t>SDR pro rok 2019</w:t>
      </w:r>
      <w:r w:rsidR="000065E9">
        <w:rPr>
          <w:rStyle w:val="Znakapoznpodarou"/>
          <w:b/>
          <w:bCs/>
        </w:rPr>
        <w:footnoteReference w:id="2"/>
      </w:r>
      <w:r w:rsidR="000065E9" w:rsidRPr="0005002C">
        <w:rPr>
          <w:szCs w:val="20"/>
        </w:rPr>
        <w:t>:</w:t>
      </w:r>
      <w:r w:rsidR="000065E9" w:rsidRPr="0005002C">
        <w:rPr>
          <w:b/>
          <w:bCs/>
          <w:szCs w:val="20"/>
        </w:rPr>
        <w:t xml:space="preserve"> </w:t>
      </w:r>
      <w:r w:rsidR="000065E9" w:rsidRPr="0005002C">
        <w:rPr>
          <w:i/>
          <w:iCs/>
          <w:szCs w:val="20"/>
        </w:rPr>
        <w:t>„zaměřit se na digitální infrastrukturu a snížit administrativní zátěž pro investice“</w:t>
      </w:r>
      <w:r w:rsidR="000065E9">
        <w:rPr>
          <w:szCs w:val="20"/>
        </w:rPr>
        <w:t>, jejichž naplnění je stěžejní pro přípravu</w:t>
      </w:r>
      <w:r w:rsidR="000065E9" w:rsidRPr="0005002C">
        <w:rPr>
          <w:szCs w:val="20"/>
        </w:rPr>
        <w:t xml:space="preserve"> programového období </w:t>
      </w:r>
      <w:r w:rsidR="000065E9">
        <w:rPr>
          <w:szCs w:val="20"/>
        </w:rPr>
        <w:t>ESIF po roce 2020</w:t>
      </w:r>
      <w:r w:rsidR="00834113">
        <w:rPr>
          <w:szCs w:val="20"/>
        </w:rPr>
        <w:t>;</w:t>
      </w:r>
    </w:p>
    <w:p w14:paraId="5590F00F" w14:textId="77777777" w:rsidR="0005002C" w:rsidRDefault="00834113" w:rsidP="000065E9">
      <w:pPr>
        <w:numPr>
          <w:ilvl w:val="0"/>
          <w:numId w:val="11"/>
        </w:numPr>
        <w:spacing w:line="240" w:lineRule="auto"/>
        <w:rPr>
          <w:szCs w:val="20"/>
        </w:rPr>
      </w:pPr>
      <w:r>
        <w:rPr>
          <w:szCs w:val="20"/>
        </w:rPr>
        <w:t>významně napomůže plnění požadavků vyplývajících ze směrnice Evropského parlamentu a Rady 2007/2ES, o zřízení infrastruktury pro prostorové informace v Evropském společenství (INSPIRE) v témat</w:t>
      </w:r>
      <w:r w:rsidR="00405DF5">
        <w:rPr>
          <w:szCs w:val="20"/>
        </w:rPr>
        <w:t>ech</w:t>
      </w:r>
      <w:r>
        <w:rPr>
          <w:szCs w:val="20"/>
        </w:rPr>
        <w:t xml:space="preserve"> </w:t>
      </w:r>
      <w:r w:rsidR="00405DF5">
        <w:rPr>
          <w:szCs w:val="20"/>
        </w:rPr>
        <w:t>V</w:t>
      </w:r>
      <w:r>
        <w:rPr>
          <w:szCs w:val="20"/>
        </w:rPr>
        <w:t xml:space="preserve">yužití území a </w:t>
      </w:r>
      <w:r w:rsidR="00405DF5">
        <w:rPr>
          <w:szCs w:val="20"/>
        </w:rPr>
        <w:t>Veřejné služby a služby veřejné správy</w:t>
      </w:r>
      <w:r w:rsidR="000065E9">
        <w:rPr>
          <w:szCs w:val="20"/>
        </w:rPr>
        <w:t>.</w:t>
      </w:r>
    </w:p>
    <w:p w14:paraId="704BAAC3" w14:textId="77777777" w:rsidR="000F3C61" w:rsidRPr="000F3C61" w:rsidRDefault="000F3C61" w:rsidP="000F3C61">
      <w:pPr>
        <w:spacing w:line="276" w:lineRule="auto"/>
        <w:rPr>
          <w:szCs w:val="20"/>
        </w:rPr>
      </w:pPr>
      <w:r w:rsidRPr="000F3C61">
        <w:rPr>
          <w:szCs w:val="20"/>
        </w:rPr>
        <w:t xml:space="preserve">Připravovaný koncept řešení </w:t>
      </w:r>
      <w:r w:rsidR="001334C7" w:rsidRPr="000F3C61">
        <w:rPr>
          <w:szCs w:val="20"/>
        </w:rPr>
        <w:t>projekt</w:t>
      </w:r>
      <w:r w:rsidR="001334C7">
        <w:rPr>
          <w:szCs w:val="20"/>
        </w:rPr>
        <w:t>ů</w:t>
      </w:r>
      <w:r w:rsidR="001334C7" w:rsidRPr="000F3C61">
        <w:rPr>
          <w:szCs w:val="20"/>
        </w:rPr>
        <w:t xml:space="preserve"> </w:t>
      </w:r>
      <w:r w:rsidRPr="000F3C61">
        <w:rPr>
          <w:szCs w:val="20"/>
        </w:rPr>
        <w:t xml:space="preserve">je </w:t>
      </w:r>
      <w:r w:rsidRPr="000F3C61">
        <w:rPr>
          <w:b/>
          <w:szCs w:val="20"/>
        </w:rPr>
        <w:t>v souladu se</w:t>
      </w:r>
      <w:r w:rsidRPr="000F3C61">
        <w:rPr>
          <w:szCs w:val="20"/>
        </w:rPr>
        <w:t xml:space="preserve"> </w:t>
      </w:r>
      <w:r w:rsidRPr="000F3C61">
        <w:rPr>
          <w:b/>
          <w:i/>
          <w:szCs w:val="20"/>
        </w:rPr>
        <w:t>Strategickým rámcem rozvoje veřejné správy České republiky pro období 2014-2020</w:t>
      </w:r>
      <w:r w:rsidRPr="000F3C61">
        <w:rPr>
          <w:szCs w:val="20"/>
        </w:rPr>
        <w:t>, neboť n</w:t>
      </w:r>
      <w:r>
        <w:rPr>
          <w:szCs w:val="20"/>
        </w:rPr>
        <w:t xml:space="preserve">aplňuje strategický cíl 3 – </w:t>
      </w:r>
      <w:r w:rsidRPr="000F3C61">
        <w:rPr>
          <w:i/>
          <w:szCs w:val="20"/>
        </w:rPr>
        <w:t>Zvýšení dostupnosti a transparentnosti veřejné správy prostřednictvím nástrojů e</w:t>
      </w:r>
      <w:r w:rsidR="0075163F">
        <w:rPr>
          <w:i/>
          <w:szCs w:val="20"/>
        </w:rPr>
        <w:t>G</w:t>
      </w:r>
      <w:r w:rsidRPr="000F3C61">
        <w:rPr>
          <w:i/>
          <w:szCs w:val="20"/>
        </w:rPr>
        <w:t>overnmentu</w:t>
      </w:r>
      <w:r>
        <w:rPr>
          <w:szCs w:val="20"/>
        </w:rPr>
        <w:t xml:space="preserve"> a specifický cíl</w:t>
      </w:r>
      <w:r w:rsidRPr="000F3C61">
        <w:rPr>
          <w:szCs w:val="20"/>
        </w:rPr>
        <w:t xml:space="preserve"> 3.1 − </w:t>
      </w:r>
      <w:r w:rsidRPr="000F3C61">
        <w:rPr>
          <w:i/>
          <w:szCs w:val="20"/>
        </w:rPr>
        <w:t xml:space="preserve">Dobudování </w:t>
      </w:r>
      <w:r w:rsidRPr="000F3C61">
        <w:rPr>
          <w:i/>
          <w:szCs w:val="20"/>
        </w:rPr>
        <w:lastRenderedPageBreak/>
        <w:t>funkčního rámce e</w:t>
      </w:r>
      <w:r w:rsidR="0075163F">
        <w:rPr>
          <w:i/>
          <w:szCs w:val="20"/>
        </w:rPr>
        <w:t>G</w:t>
      </w:r>
      <w:r w:rsidRPr="000F3C61">
        <w:rPr>
          <w:i/>
          <w:szCs w:val="20"/>
        </w:rPr>
        <w:t>overnmentu</w:t>
      </w:r>
      <w:r w:rsidRPr="000F3C61">
        <w:rPr>
          <w:szCs w:val="20"/>
        </w:rPr>
        <w:t xml:space="preserve">, a s vládou schválenou informační koncepcí České republiky </w:t>
      </w:r>
      <w:r w:rsidRPr="000F3C61">
        <w:rPr>
          <w:b/>
          <w:i/>
          <w:szCs w:val="20"/>
        </w:rPr>
        <w:t>Digitální Česko</w:t>
      </w:r>
      <w:r w:rsidRPr="000F3C61">
        <w:rPr>
          <w:szCs w:val="20"/>
        </w:rPr>
        <w:t>.</w:t>
      </w:r>
    </w:p>
    <w:p w14:paraId="1C4CC0BE" w14:textId="77777777" w:rsidR="0019689E" w:rsidRDefault="0019689E" w:rsidP="0019689E">
      <w:pPr>
        <w:pStyle w:val="Nadpis2"/>
      </w:pPr>
      <w:r>
        <w:t xml:space="preserve">Finanční potřeby </w:t>
      </w:r>
      <w:r w:rsidR="001334C7">
        <w:t xml:space="preserve">projektů </w:t>
      </w:r>
      <w:r w:rsidR="00663821">
        <w:t>a možné zdroje financování</w:t>
      </w:r>
    </w:p>
    <w:p w14:paraId="478AF81D" w14:textId="77777777" w:rsidR="002E01DC" w:rsidRDefault="002E01DC" w:rsidP="0019689E"/>
    <w:p w14:paraId="395D4821" w14:textId="68388C83" w:rsidR="00663821" w:rsidRPr="00C16BD2" w:rsidRDefault="00143BBC" w:rsidP="00663821">
      <w:pPr>
        <w:spacing w:after="0" w:line="240" w:lineRule="auto"/>
      </w:pPr>
      <w:r>
        <w:rPr>
          <w:b/>
        </w:rPr>
        <w:t>INVESTIČNÍ NÁROKY</w:t>
      </w:r>
      <w:r w:rsidR="00891BE7" w:rsidRPr="00DB461B">
        <w:rPr>
          <w:b/>
        </w:rPr>
        <w:t xml:space="preserve"> na realizaci projekt</w:t>
      </w:r>
      <w:r w:rsidR="00F61286">
        <w:rPr>
          <w:b/>
        </w:rPr>
        <w:t>ů</w:t>
      </w:r>
      <w:r w:rsidR="00891BE7" w:rsidRPr="00DB461B">
        <w:rPr>
          <w:b/>
        </w:rPr>
        <w:t xml:space="preserve"> digitalizace stavebního řízení a územního plánování </w:t>
      </w:r>
      <w:r w:rsidR="00F61286">
        <w:rPr>
          <w:b/>
        </w:rPr>
        <w:t>(</w:t>
      </w:r>
      <w:r w:rsidR="00D17142">
        <w:rPr>
          <w:b/>
        </w:rPr>
        <w:t xml:space="preserve">dále </w:t>
      </w:r>
      <w:r w:rsidR="00F61286">
        <w:rPr>
          <w:b/>
        </w:rPr>
        <w:t xml:space="preserve">DSŘ) </w:t>
      </w:r>
      <w:r w:rsidR="00891BE7" w:rsidRPr="00DB461B">
        <w:rPr>
          <w:b/>
        </w:rPr>
        <w:t xml:space="preserve">jsou vyčísleny </w:t>
      </w:r>
      <w:r w:rsidR="003114E8" w:rsidRPr="00DB461B">
        <w:rPr>
          <w:b/>
        </w:rPr>
        <w:t xml:space="preserve">celkově </w:t>
      </w:r>
      <w:r w:rsidR="00891BE7" w:rsidRPr="002A6829">
        <w:rPr>
          <w:b/>
        </w:rPr>
        <w:t>na</w:t>
      </w:r>
      <w:r w:rsidR="00891BE7" w:rsidRPr="002A6829">
        <w:t xml:space="preserve"> </w:t>
      </w:r>
      <w:r w:rsidR="00891BE7" w:rsidRPr="002A6829">
        <w:rPr>
          <w:b/>
        </w:rPr>
        <w:t>1</w:t>
      </w:r>
      <w:r w:rsidR="00932824" w:rsidRPr="002A6829">
        <w:rPr>
          <w:b/>
        </w:rPr>
        <w:t xml:space="preserve"> </w:t>
      </w:r>
      <w:r w:rsidR="00891BE7" w:rsidRPr="002A6829">
        <w:rPr>
          <w:b/>
        </w:rPr>
        <w:t>2</w:t>
      </w:r>
      <w:r w:rsidR="00A10437" w:rsidRPr="002A6829">
        <w:rPr>
          <w:b/>
        </w:rPr>
        <w:t>2</w:t>
      </w:r>
      <w:r w:rsidR="00891BE7" w:rsidRPr="002A6829">
        <w:rPr>
          <w:b/>
        </w:rPr>
        <w:t>2 mil Kč</w:t>
      </w:r>
      <w:r w:rsidR="0048628E" w:rsidRPr="002A6829">
        <w:rPr>
          <w:b/>
        </w:rPr>
        <w:t>.</w:t>
      </w:r>
      <w:r w:rsidR="0048628E">
        <w:rPr>
          <w:b/>
        </w:rPr>
        <w:t xml:space="preserve"> Část</w:t>
      </w:r>
      <w:r w:rsidR="00182CFA">
        <w:rPr>
          <w:b/>
        </w:rPr>
        <w:t>k</w:t>
      </w:r>
      <w:r w:rsidR="0048628E">
        <w:rPr>
          <w:b/>
        </w:rPr>
        <w:t xml:space="preserve">a představuje celkové způsobilé výdaje (dále </w:t>
      </w:r>
      <w:r w:rsidR="00B71CC4">
        <w:rPr>
          <w:b/>
        </w:rPr>
        <w:t>CZV)</w:t>
      </w:r>
      <w:r w:rsidR="74A7D421" w:rsidRPr="00C16BD2">
        <w:t>.</w:t>
      </w:r>
      <w:r w:rsidR="00663821" w:rsidRPr="00C16BD2">
        <w:t xml:space="preserve"> </w:t>
      </w:r>
      <w:r w:rsidR="00891BE7" w:rsidRPr="00C16BD2">
        <w:t xml:space="preserve"> </w:t>
      </w:r>
    </w:p>
    <w:p w14:paraId="4AA4DA6D" w14:textId="77777777" w:rsidR="003114E8" w:rsidRDefault="003114E8" w:rsidP="00663821">
      <w:pPr>
        <w:spacing w:after="0" w:line="240" w:lineRule="auto"/>
      </w:pPr>
    </w:p>
    <w:p w14:paraId="315C6988" w14:textId="77777777" w:rsidR="003114E8" w:rsidRDefault="003114E8" w:rsidP="00663821">
      <w:pPr>
        <w:spacing w:after="0" w:line="240" w:lineRule="auto"/>
      </w:pPr>
      <w:r>
        <w:t xml:space="preserve">Pro financování </w:t>
      </w:r>
      <w:r w:rsidR="001334C7">
        <w:t xml:space="preserve">projektů </w:t>
      </w:r>
      <w:r>
        <w:t>je možné využít zdroje ESIF, konkrétně prostředky alokované do OP PIK a IROP.</w:t>
      </w:r>
      <w:r w:rsidR="0027239F">
        <w:t xml:space="preserve"> Tyto prostředky je </w:t>
      </w:r>
      <w:r w:rsidR="0027239F" w:rsidRPr="0083504C">
        <w:t xml:space="preserve">nutné doplnit národním </w:t>
      </w:r>
      <w:r w:rsidR="0083504C" w:rsidRPr="0083504C">
        <w:t>spolu</w:t>
      </w:r>
      <w:r w:rsidR="0027239F" w:rsidRPr="0083504C">
        <w:t>financováním.</w:t>
      </w:r>
    </w:p>
    <w:p w14:paraId="41494964" w14:textId="77777777" w:rsidR="003114E8" w:rsidRDefault="003114E8" w:rsidP="00663821">
      <w:pPr>
        <w:spacing w:after="0" w:line="240" w:lineRule="auto"/>
      </w:pPr>
    </w:p>
    <w:p w14:paraId="33916A01" w14:textId="77777777" w:rsidR="003114E8" w:rsidRDefault="003114E8" w:rsidP="00663821">
      <w:pPr>
        <w:spacing w:after="0" w:line="240" w:lineRule="auto"/>
      </w:pPr>
      <w:r>
        <w:t xml:space="preserve">Za účelem optimalizace zdrojů financování pro realizaci </w:t>
      </w:r>
      <w:r w:rsidR="001334C7">
        <w:t xml:space="preserve">celého řešení budou </w:t>
      </w:r>
      <w:r w:rsidRPr="00FA76BD">
        <w:rPr>
          <w:b/>
        </w:rPr>
        <w:t>projekt</w:t>
      </w:r>
      <w:r w:rsidR="001334C7">
        <w:rPr>
          <w:b/>
        </w:rPr>
        <w:t>y</w:t>
      </w:r>
      <w:r w:rsidRPr="00FA76BD">
        <w:rPr>
          <w:b/>
        </w:rPr>
        <w:t xml:space="preserve"> DSŘ </w:t>
      </w:r>
      <w:r w:rsidR="00D17142">
        <w:rPr>
          <w:b/>
        </w:rPr>
        <w:t xml:space="preserve">předkládány do </w:t>
      </w:r>
      <w:r w:rsidRPr="00FA76BD">
        <w:rPr>
          <w:b/>
        </w:rPr>
        <w:t>operační</w:t>
      </w:r>
      <w:r w:rsidR="00D17142">
        <w:rPr>
          <w:b/>
        </w:rPr>
        <w:t>ch</w:t>
      </w:r>
      <w:r w:rsidRPr="00FA76BD">
        <w:rPr>
          <w:b/>
        </w:rPr>
        <w:t xml:space="preserve"> program</w:t>
      </w:r>
      <w:r w:rsidR="00D17142">
        <w:rPr>
          <w:b/>
        </w:rPr>
        <w:t>ů</w:t>
      </w:r>
      <w:r>
        <w:t xml:space="preserve"> </w:t>
      </w:r>
      <w:r w:rsidR="001334C7">
        <w:t>takto</w:t>
      </w:r>
      <w:r>
        <w:t>:</w:t>
      </w:r>
    </w:p>
    <w:p w14:paraId="6C9C78AF" w14:textId="77777777" w:rsidR="003114E8" w:rsidRDefault="003114E8" w:rsidP="00663821">
      <w:pPr>
        <w:spacing w:after="0" w:line="240" w:lineRule="auto"/>
      </w:pPr>
    </w:p>
    <w:p w14:paraId="49CEC6FD" w14:textId="1E604C7A" w:rsidR="003114E8" w:rsidRPr="0027239F" w:rsidRDefault="00891BE7" w:rsidP="0027239F">
      <w:pPr>
        <w:spacing w:line="276" w:lineRule="auto"/>
        <w:rPr>
          <w:szCs w:val="20"/>
        </w:rPr>
      </w:pPr>
      <w:r w:rsidRPr="00FA76BD">
        <w:rPr>
          <w:b/>
          <w:szCs w:val="20"/>
        </w:rPr>
        <w:t xml:space="preserve">Projekt </w:t>
      </w:r>
      <w:r w:rsidR="00882143">
        <w:rPr>
          <w:b/>
          <w:szCs w:val="20"/>
        </w:rPr>
        <w:t xml:space="preserve">IS </w:t>
      </w:r>
      <w:r w:rsidRPr="00FA76BD">
        <w:rPr>
          <w:b/>
          <w:szCs w:val="20"/>
        </w:rPr>
        <w:t>Digitální mapy veřejné správy (</w:t>
      </w:r>
      <w:r w:rsidR="00D17142">
        <w:rPr>
          <w:b/>
          <w:szCs w:val="20"/>
        </w:rPr>
        <w:t xml:space="preserve">dále </w:t>
      </w:r>
      <w:r w:rsidR="0013097F">
        <w:rPr>
          <w:b/>
          <w:szCs w:val="20"/>
        </w:rPr>
        <w:t xml:space="preserve">IS </w:t>
      </w:r>
      <w:r w:rsidRPr="00FA76BD">
        <w:rPr>
          <w:b/>
          <w:szCs w:val="20"/>
        </w:rPr>
        <w:t>DMVS)</w:t>
      </w:r>
      <w:r w:rsidRPr="0027239F">
        <w:rPr>
          <w:szCs w:val="20"/>
        </w:rPr>
        <w:t xml:space="preserve"> – potřeba </w:t>
      </w:r>
      <w:r w:rsidRPr="0027239F">
        <w:rPr>
          <w:b/>
          <w:szCs w:val="20"/>
        </w:rPr>
        <w:t>230 mil</w:t>
      </w:r>
      <w:r w:rsidR="00B71CC4">
        <w:rPr>
          <w:b/>
          <w:szCs w:val="20"/>
        </w:rPr>
        <w:t>.</w:t>
      </w:r>
      <w:r w:rsidRPr="0027239F">
        <w:rPr>
          <w:b/>
          <w:szCs w:val="20"/>
        </w:rPr>
        <w:t xml:space="preserve"> Kč</w:t>
      </w:r>
      <w:r w:rsidR="00B71CC4">
        <w:rPr>
          <w:b/>
          <w:szCs w:val="20"/>
        </w:rPr>
        <w:t xml:space="preserve"> (CZV)</w:t>
      </w:r>
      <w:r w:rsidRPr="0027239F">
        <w:rPr>
          <w:szCs w:val="20"/>
        </w:rPr>
        <w:t xml:space="preserve"> – žadatel ČÚZK</w:t>
      </w:r>
      <w:r w:rsidR="00932824">
        <w:rPr>
          <w:szCs w:val="20"/>
        </w:rPr>
        <w:t xml:space="preserve"> (Český </w:t>
      </w:r>
      <w:r w:rsidR="00E56ED6">
        <w:rPr>
          <w:szCs w:val="20"/>
        </w:rPr>
        <w:t xml:space="preserve">úřad </w:t>
      </w:r>
      <w:r w:rsidR="00932824">
        <w:rPr>
          <w:szCs w:val="20"/>
        </w:rPr>
        <w:t>zeměměřický a katastrální)</w:t>
      </w:r>
      <w:r w:rsidR="003114E8" w:rsidRPr="0027239F">
        <w:rPr>
          <w:szCs w:val="20"/>
        </w:rPr>
        <w:t xml:space="preserve"> – zdroj IROP</w:t>
      </w:r>
      <w:r w:rsidR="00E56ED6">
        <w:rPr>
          <w:szCs w:val="20"/>
        </w:rPr>
        <w:t>, nová výzva eGovernmentu</w:t>
      </w:r>
      <w:r w:rsidR="00987FB7">
        <w:rPr>
          <w:szCs w:val="20"/>
        </w:rPr>
        <w:t xml:space="preserve"> (z realokovaných prostředků)</w:t>
      </w:r>
      <w:r w:rsidR="00E56ED6">
        <w:rPr>
          <w:szCs w:val="20"/>
        </w:rPr>
        <w:t>.</w:t>
      </w:r>
    </w:p>
    <w:p w14:paraId="1CB4A3AA" w14:textId="77777777" w:rsidR="00E56ED6" w:rsidRDefault="003114E8" w:rsidP="0027239F">
      <w:pPr>
        <w:spacing w:line="276" w:lineRule="auto"/>
        <w:rPr>
          <w:szCs w:val="20"/>
        </w:rPr>
      </w:pPr>
      <w:r w:rsidRPr="00FA76BD">
        <w:rPr>
          <w:b/>
          <w:szCs w:val="20"/>
        </w:rPr>
        <w:t>Projekt</w:t>
      </w:r>
      <w:r w:rsidR="00E56ED6">
        <w:rPr>
          <w:b/>
          <w:szCs w:val="20"/>
        </w:rPr>
        <w:t>y</w:t>
      </w:r>
      <w:r w:rsidRPr="00FA76BD">
        <w:rPr>
          <w:b/>
          <w:szCs w:val="20"/>
        </w:rPr>
        <w:t xml:space="preserve"> DSŘ (</w:t>
      </w:r>
      <w:r w:rsidR="00891BE7" w:rsidRPr="00FA76BD">
        <w:rPr>
          <w:b/>
          <w:szCs w:val="20"/>
        </w:rPr>
        <w:t xml:space="preserve">jež </w:t>
      </w:r>
      <w:r w:rsidR="00E56ED6" w:rsidRPr="00FA76BD">
        <w:rPr>
          <w:b/>
          <w:szCs w:val="20"/>
        </w:rPr>
        <w:t>zahrnuj</w:t>
      </w:r>
      <w:r w:rsidR="00E56ED6">
        <w:rPr>
          <w:b/>
          <w:szCs w:val="20"/>
        </w:rPr>
        <w:t>í</w:t>
      </w:r>
      <w:r w:rsidR="00E56ED6" w:rsidRPr="00FA76BD">
        <w:rPr>
          <w:b/>
          <w:szCs w:val="20"/>
        </w:rPr>
        <w:t xml:space="preserve"> </w:t>
      </w:r>
      <w:r w:rsidR="00891BE7" w:rsidRPr="00FA76BD">
        <w:rPr>
          <w:b/>
          <w:szCs w:val="20"/>
        </w:rPr>
        <w:t>“ostatní“ komponenty DSŘ</w:t>
      </w:r>
      <w:r w:rsidRPr="00FA76BD">
        <w:rPr>
          <w:b/>
          <w:szCs w:val="20"/>
        </w:rPr>
        <w:t>)</w:t>
      </w:r>
      <w:r w:rsidR="00891BE7" w:rsidRPr="0027239F">
        <w:rPr>
          <w:szCs w:val="20"/>
        </w:rPr>
        <w:t xml:space="preserve"> – potřeba </w:t>
      </w:r>
      <w:r w:rsidR="00891BE7" w:rsidRPr="0027239F">
        <w:rPr>
          <w:b/>
          <w:szCs w:val="20"/>
        </w:rPr>
        <w:t>992 mil. Kč</w:t>
      </w:r>
      <w:r w:rsidR="00B71CC4">
        <w:rPr>
          <w:b/>
          <w:szCs w:val="20"/>
        </w:rPr>
        <w:t xml:space="preserve"> (CZV)</w:t>
      </w:r>
      <w:r w:rsidR="00891BE7" w:rsidRPr="0027239F">
        <w:rPr>
          <w:szCs w:val="20"/>
        </w:rPr>
        <w:t xml:space="preserve"> – žadatel MMR </w:t>
      </w:r>
      <w:r w:rsidRPr="0027239F">
        <w:rPr>
          <w:szCs w:val="20"/>
        </w:rPr>
        <w:t>– zdroj IROP</w:t>
      </w:r>
      <w:r w:rsidR="00E56ED6">
        <w:rPr>
          <w:szCs w:val="20"/>
        </w:rPr>
        <w:t>, nová výzva eGovernmentu</w:t>
      </w:r>
      <w:r w:rsidR="00987FB7">
        <w:rPr>
          <w:szCs w:val="20"/>
        </w:rPr>
        <w:t xml:space="preserve"> (z realokovaných prostředků)</w:t>
      </w:r>
      <w:r w:rsidR="00E56ED6">
        <w:rPr>
          <w:szCs w:val="20"/>
        </w:rPr>
        <w:t>.</w:t>
      </w:r>
    </w:p>
    <w:p w14:paraId="58F77CBC" w14:textId="77777777" w:rsidR="00246153" w:rsidRDefault="00246153" w:rsidP="0027239F">
      <w:pPr>
        <w:spacing w:line="276" w:lineRule="auto"/>
        <w:rPr>
          <w:szCs w:val="20"/>
        </w:rPr>
      </w:pPr>
    </w:p>
    <w:p w14:paraId="2979192E" w14:textId="5BBBA087" w:rsidR="00D17142" w:rsidRDefault="002232D6" w:rsidP="0027239F">
      <w:pPr>
        <w:spacing w:line="276" w:lineRule="auto"/>
        <w:rPr>
          <w:szCs w:val="20"/>
        </w:rPr>
      </w:pPr>
      <w:r>
        <w:rPr>
          <w:b/>
          <w:szCs w:val="20"/>
          <w:u w:val="single"/>
        </w:rPr>
        <w:t>KOMPLEMENTÁRNĚ</w:t>
      </w:r>
      <w:r w:rsidR="0027239F" w:rsidRPr="0027504E">
        <w:rPr>
          <w:b/>
          <w:szCs w:val="20"/>
        </w:rPr>
        <w:t xml:space="preserve"> budou realizovány </w:t>
      </w:r>
      <w:r w:rsidR="00D17142" w:rsidRPr="0027504E">
        <w:rPr>
          <w:b/>
          <w:szCs w:val="20"/>
        </w:rPr>
        <w:t>následující projekty</w:t>
      </w:r>
      <w:r w:rsidR="00D17142">
        <w:rPr>
          <w:szCs w:val="20"/>
        </w:rPr>
        <w:t>:</w:t>
      </w:r>
    </w:p>
    <w:p w14:paraId="25C7CE3B" w14:textId="6D3A8C32" w:rsidR="0027239F" w:rsidRDefault="0027239F" w:rsidP="002232D6">
      <w:pPr>
        <w:spacing w:line="276" w:lineRule="auto"/>
        <w:rPr>
          <w:szCs w:val="20"/>
        </w:rPr>
      </w:pPr>
      <w:r w:rsidRPr="0027239F">
        <w:rPr>
          <w:b/>
          <w:szCs w:val="20"/>
        </w:rPr>
        <w:t>Projekty Digitální technické mapy (</w:t>
      </w:r>
      <w:r w:rsidR="00D17142">
        <w:rPr>
          <w:b/>
          <w:szCs w:val="20"/>
        </w:rPr>
        <w:t xml:space="preserve">dále </w:t>
      </w:r>
      <w:r w:rsidRPr="0027239F">
        <w:rPr>
          <w:b/>
          <w:szCs w:val="20"/>
        </w:rPr>
        <w:t>DTM)</w:t>
      </w:r>
      <w:r w:rsidRPr="0027239F">
        <w:rPr>
          <w:szCs w:val="20"/>
        </w:rPr>
        <w:t xml:space="preserve"> – potřeba </w:t>
      </w:r>
      <w:r w:rsidR="007E00D9">
        <w:rPr>
          <w:b/>
          <w:szCs w:val="20"/>
        </w:rPr>
        <w:t xml:space="preserve">2 </w:t>
      </w:r>
      <w:r w:rsidR="000A058F">
        <w:rPr>
          <w:b/>
          <w:szCs w:val="20"/>
        </w:rPr>
        <w:t>353</w:t>
      </w:r>
      <w:r w:rsidR="000A058F" w:rsidRPr="0027239F">
        <w:rPr>
          <w:b/>
          <w:szCs w:val="20"/>
        </w:rPr>
        <w:t xml:space="preserve"> </w:t>
      </w:r>
      <w:r w:rsidRPr="0027239F">
        <w:rPr>
          <w:b/>
          <w:szCs w:val="20"/>
        </w:rPr>
        <w:t>mil</w:t>
      </w:r>
      <w:r w:rsidR="00B71CC4">
        <w:rPr>
          <w:b/>
          <w:szCs w:val="20"/>
        </w:rPr>
        <w:t>.</w:t>
      </w:r>
      <w:r w:rsidRPr="0027239F">
        <w:rPr>
          <w:b/>
          <w:szCs w:val="20"/>
        </w:rPr>
        <w:t xml:space="preserve"> Kč</w:t>
      </w:r>
      <w:r w:rsidR="00B71CC4">
        <w:rPr>
          <w:b/>
          <w:szCs w:val="20"/>
        </w:rPr>
        <w:t xml:space="preserve"> (</w:t>
      </w:r>
      <w:r w:rsidR="000A058F">
        <w:rPr>
          <w:b/>
          <w:szCs w:val="20"/>
        </w:rPr>
        <w:t>CZV</w:t>
      </w:r>
      <w:r w:rsidR="00B71CC4">
        <w:rPr>
          <w:b/>
          <w:szCs w:val="20"/>
        </w:rPr>
        <w:t>)</w:t>
      </w:r>
      <w:r w:rsidR="005354C1">
        <w:rPr>
          <w:szCs w:val="20"/>
        </w:rPr>
        <w:t xml:space="preserve">, kterou lze případně navýšit </w:t>
      </w:r>
      <w:r w:rsidRPr="0027239F">
        <w:rPr>
          <w:szCs w:val="20"/>
        </w:rPr>
        <w:t xml:space="preserve">- žadateli </w:t>
      </w:r>
      <w:r w:rsidRPr="0027239F">
        <w:rPr>
          <w:b/>
          <w:szCs w:val="20"/>
        </w:rPr>
        <w:t>kraje a vlastníci/správci veřejnoprávní dopravní a technické infrastruktury</w:t>
      </w:r>
      <w:r w:rsidRPr="0027239F">
        <w:rPr>
          <w:szCs w:val="20"/>
        </w:rPr>
        <w:t xml:space="preserve"> - zdroj OP PIK (výzva plánována na listopad 2019).</w:t>
      </w:r>
      <w:r w:rsidR="002232D6">
        <w:rPr>
          <w:szCs w:val="20"/>
        </w:rPr>
        <w:t xml:space="preserve"> Účel projektů DTM je popsán v tomto materiálu.</w:t>
      </w:r>
    </w:p>
    <w:p w14:paraId="7D3F8313" w14:textId="4D831F32" w:rsidR="00E56ED6" w:rsidRDefault="00E56ED6" w:rsidP="0027239F">
      <w:pPr>
        <w:spacing w:line="276" w:lineRule="auto"/>
        <w:rPr>
          <w:szCs w:val="20"/>
        </w:rPr>
      </w:pPr>
      <w:r w:rsidRPr="008253FA">
        <w:rPr>
          <w:b/>
          <w:szCs w:val="20"/>
        </w:rPr>
        <w:t xml:space="preserve">Projekt </w:t>
      </w:r>
      <w:r w:rsidR="004D705D">
        <w:rPr>
          <w:b/>
          <w:szCs w:val="20"/>
        </w:rPr>
        <w:t xml:space="preserve">informačního systému </w:t>
      </w:r>
      <w:r w:rsidR="0024627E">
        <w:rPr>
          <w:b/>
          <w:szCs w:val="20"/>
        </w:rPr>
        <w:t>mapování bílých, šedých, černých míst</w:t>
      </w:r>
      <w:r w:rsidR="00F60B05">
        <w:rPr>
          <w:b/>
          <w:szCs w:val="20"/>
        </w:rPr>
        <w:t xml:space="preserve"> (</w:t>
      </w:r>
      <w:r w:rsidR="00987FB7">
        <w:rPr>
          <w:b/>
          <w:szCs w:val="20"/>
        </w:rPr>
        <w:t xml:space="preserve">dále </w:t>
      </w:r>
      <w:r w:rsidR="004D705D">
        <w:rPr>
          <w:b/>
          <w:szCs w:val="20"/>
        </w:rPr>
        <w:t xml:space="preserve">IS </w:t>
      </w:r>
      <w:r w:rsidR="00F60B05">
        <w:rPr>
          <w:b/>
          <w:szCs w:val="20"/>
        </w:rPr>
        <w:t>Mapování VRI)</w:t>
      </w:r>
      <w:r>
        <w:rPr>
          <w:szCs w:val="20"/>
        </w:rPr>
        <w:t xml:space="preserve"> – potřeba </w:t>
      </w:r>
      <w:r w:rsidRPr="008253FA">
        <w:rPr>
          <w:b/>
          <w:szCs w:val="20"/>
        </w:rPr>
        <w:t>20 mil</w:t>
      </w:r>
      <w:r w:rsidR="00B71CC4">
        <w:rPr>
          <w:b/>
          <w:szCs w:val="20"/>
        </w:rPr>
        <w:t>.</w:t>
      </w:r>
      <w:r w:rsidRPr="008253FA">
        <w:rPr>
          <w:b/>
          <w:szCs w:val="20"/>
        </w:rPr>
        <w:t xml:space="preserve"> Kč</w:t>
      </w:r>
      <w:r w:rsidR="00B71CC4">
        <w:rPr>
          <w:b/>
          <w:szCs w:val="20"/>
        </w:rPr>
        <w:t xml:space="preserve"> (CZV)</w:t>
      </w:r>
      <w:r>
        <w:rPr>
          <w:szCs w:val="20"/>
        </w:rPr>
        <w:t xml:space="preserve"> – příjemcem Český telekomunikační úřad – zdroj IROP</w:t>
      </w:r>
      <w:r w:rsidR="008253FA">
        <w:rPr>
          <w:szCs w:val="20"/>
        </w:rPr>
        <w:t>, nová výzva eGovern</w:t>
      </w:r>
      <w:r>
        <w:rPr>
          <w:szCs w:val="20"/>
        </w:rPr>
        <w:t>mentu</w:t>
      </w:r>
      <w:r w:rsidR="00987FB7">
        <w:rPr>
          <w:szCs w:val="20"/>
        </w:rPr>
        <w:t xml:space="preserve"> (z realokovaných prostředků)</w:t>
      </w:r>
      <w:r>
        <w:rPr>
          <w:szCs w:val="20"/>
        </w:rPr>
        <w:t>.</w:t>
      </w:r>
    </w:p>
    <w:p w14:paraId="58D15018" w14:textId="77777777" w:rsidR="002232D6" w:rsidRDefault="002232D6" w:rsidP="002232D6">
      <w:pPr>
        <w:spacing w:line="276" w:lineRule="auto"/>
        <w:rPr>
          <w:szCs w:val="20"/>
        </w:rPr>
      </w:pPr>
      <w:r>
        <w:rPr>
          <w:szCs w:val="20"/>
        </w:rPr>
        <w:t xml:space="preserve">ČTÚ provádí od r. 2016 sběr dat o infrastruktuře a službách elektronických komunikací především na základě požadavků MPO. Vybrané ukazatele o existenci přípojek umožňujících poskytování služby vysokorychlostního přístupu k internetu (VRI) v </w:t>
      </w:r>
      <w:r w:rsidRPr="00573F31">
        <w:rPr>
          <w:szCs w:val="20"/>
        </w:rPr>
        <w:t xml:space="preserve">geografickém členění na adresní místa využívá MPO pro vymezení intervenčních oblastí pro podporu budování </w:t>
      </w:r>
      <w:r>
        <w:rPr>
          <w:szCs w:val="20"/>
        </w:rPr>
        <w:t xml:space="preserve">VRI </w:t>
      </w:r>
      <w:r w:rsidRPr="00573F31">
        <w:rPr>
          <w:szCs w:val="20"/>
        </w:rPr>
        <w:t>a následnou kontrolu pokrytí území případně plnění dotačních podmínek v</w:t>
      </w:r>
      <w:r>
        <w:rPr>
          <w:szCs w:val="20"/>
        </w:rPr>
        <w:t> </w:t>
      </w:r>
      <w:r w:rsidRPr="00573F31">
        <w:rPr>
          <w:szCs w:val="20"/>
        </w:rPr>
        <w:t>rámci OP PIK</w:t>
      </w:r>
      <w:r>
        <w:rPr>
          <w:szCs w:val="20"/>
        </w:rPr>
        <w:t>,</w:t>
      </w:r>
      <w:r w:rsidRPr="00573F31">
        <w:rPr>
          <w:szCs w:val="20"/>
        </w:rPr>
        <w:t xml:space="preserve"> Prioritní osa 4.1.</w:t>
      </w:r>
    </w:p>
    <w:p w14:paraId="70FA8CE5" w14:textId="77777777" w:rsidR="002232D6" w:rsidRDefault="002232D6" w:rsidP="002232D6">
      <w:pPr>
        <w:spacing w:line="276" w:lineRule="auto"/>
        <w:rPr>
          <w:szCs w:val="20"/>
        </w:rPr>
      </w:pPr>
      <w:r w:rsidRPr="00573F31">
        <w:rPr>
          <w:szCs w:val="20"/>
        </w:rPr>
        <w:t>ČTÚ současně vykonává funkci jednotného informačního místa podle zákona č. 194/2017 Sb., o opatřeních ke snížení nákladů na zavádění vysokorychlostních sítí elektronických komunikací</w:t>
      </w:r>
      <w:r>
        <w:rPr>
          <w:szCs w:val="20"/>
        </w:rPr>
        <w:t xml:space="preserve"> (jenž implementuje </w:t>
      </w:r>
      <w:r w:rsidRPr="001E6307">
        <w:rPr>
          <w:szCs w:val="20"/>
        </w:rPr>
        <w:t>směrnici</w:t>
      </w:r>
      <w:r>
        <w:rPr>
          <w:szCs w:val="20"/>
        </w:rPr>
        <w:t xml:space="preserve"> </w:t>
      </w:r>
      <w:r w:rsidRPr="00EB3CCC">
        <w:rPr>
          <w:szCs w:val="20"/>
        </w:rPr>
        <w:t>Evropského Parlamentu a Rady 2014/61/EU o opatřeních ke snížení nákladů na budování vysokorychlostních sítí elektronických komunikací</w:t>
      </w:r>
      <w:r>
        <w:rPr>
          <w:szCs w:val="20"/>
        </w:rPr>
        <w:t xml:space="preserve">). Jednotné informační místo </w:t>
      </w:r>
      <w:r w:rsidRPr="00573F31">
        <w:rPr>
          <w:szCs w:val="20"/>
        </w:rPr>
        <w:t xml:space="preserve">má podle § 3 </w:t>
      </w:r>
      <w:r>
        <w:rPr>
          <w:szCs w:val="20"/>
        </w:rPr>
        <w:t xml:space="preserve">tohoto zákona </w:t>
      </w:r>
      <w:r w:rsidRPr="00573F31">
        <w:rPr>
          <w:szCs w:val="20"/>
        </w:rPr>
        <w:t>poskytovat oprávněným osobám komplexní údaje o fyzické infrastruktuře.</w:t>
      </w:r>
      <w:r>
        <w:rPr>
          <w:szCs w:val="20"/>
        </w:rPr>
        <w:t xml:space="preserve"> </w:t>
      </w:r>
      <w:r w:rsidRPr="001E6307">
        <w:rPr>
          <w:szCs w:val="20"/>
        </w:rPr>
        <w:t>Současný stav implementace této směrnice hodnotila Zpráva Komise Evropskému parlamentu a Rady z 28. 6. 2018 č. COM(2018)492 final, jež obsahuje také doporučení, týkající se zajištění mapování jakožto předpokladu sdíleného využívání fyzické infrastruktury</w:t>
      </w:r>
      <w:r>
        <w:rPr>
          <w:szCs w:val="20"/>
        </w:rPr>
        <w:t>.</w:t>
      </w:r>
    </w:p>
    <w:p w14:paraId="56FC27C6" w14:textId="26C16538" w:rsidR="002232D6" w:rsidRDefault="002232D6" w:rsidP="002232D6">
      <w:pPr>
        <w:spacing w:line="276" w:lineRule="auto"/>
        <w:rPr>
          <w:szCs w:val="20"/>
        </w:rPr>
      </w:pPr>
      <w:r w:rsidRPr="00573F31">
        <w:rPr>
          <w:szCs w:val="20"/>
        </w:rPr>
        <w:t xml:space="preserve">Obě tyto kompetence ČTÚ jsou provázány s problematikou tvorby </w:t>
      </w:r>
      <w:r w:rsidRPr="00E2593C">
        <w:rPr>
          <w:szCs w:val="20"/>
        </w:rPr>
        <w:t xml:space="preserve">DTM </w:t>
      </w:r>
      <w:r w:rsidR="00882143" w:rsidRPr="00E2593C">
        <w:rPr>
          <w:szCs w:val="20"/>
        </w:rPr>
        <w:t xml:space="preserve">a </w:t>
      </w:r>
      <w:r w:rsidRPr="00E2593C">
        <w:rPr>
          <w:szCs w:val="20"/>
        </w:rPr>
        <w:t>DMVS</w:t>
      </w:r>
      <w:r w:rsidRPr="00573F31">
        <w:rPr>
          <w:szCs w:val="20"/>
        </w:rPr>
        <w:t xml:space="preserve"> a současně obě tyto kompetence směřují k</w:t>
      </w:r>
      <w:r>
        <w:rPr>
          <w:szCs w:val="20"/>
        </w:rPr>
        <w:t> </w:t>
      </w:r>
      <w:r w:rsidRPr="00573F31">
        <w:rPr>
          <w:szCs w:val="20"/>
        </w:rPr>
        <w:t>podpoře</w:t>
      </w:r>
      <w:r>
        <w:rPr>
          <w:szCs w:val="20"/>
        </w:rPr>
        <w:t xml:space="preserve"> </w:t>
      </w:r>
      <w:r w:rsidRPr="00573F31">
        <w:rPr>
          <w:szCs w:val="20"/>
        </w:rPr>
        <w:t xml:space="preserve">rozvoje </w:t>
      </w:r>
      <w:r>
        <w:rPr>
          <w:szCs w:val="20"/>
        </w:rPr>
        <w:t>VRI</w:t>
      </w:r>
      <w:r w:rsidRPr="00573F31">
        <w:rPr>
          <w:szCs w:val="20"/>
        </w:rPr>
        <w:t>.</w:t>
      </w:r>
      <w:r>
        <w:rPr>
          <w:szCs w:val="20"/>
        </w:rPr>
        <w:t xml:space="preserve"> </w:t>
      </w:r>
      <w:r w:rsidRPr="00573F31">
        <w:rPr>
          <w:szCs w:val="20"/>
        </w:rPr>
        <w:t>Předpokladem pro správné vymezení intervenčních oblastí a</w:t>
      </w:r>
      <w:r>
        <w:rPr>
          <w:szCs w:val="20"/>
        </w:rPr>
        <w:t> </w:t>
      </w:r>
      <w:r w:rsidRPr="00573F31">
        <w:rPr>
          <w:szCs w:val="20"/>
        </w:rPr>
        <w:t>obecně pro splnění všech</w:t>
      </w:r>
      <w:r>
        <w:rPr>
          <w:szCs w:val="20"/>
        </w:rPr>
        <w:t xml:space="preserve"> </w:t>
      </w:r>
      <w:r w:rsidRPr="00573F31">
        <w:rPr>
          <w:szCs w:val="20"/>
        </w:rPr>
        <w:t>podmínek spojených s poskytnutím podpory je sběr dat o pokrytí území sítěmi a</w:t>
      </w:r>
      <w:r>
        <w:rPr>
          <w:szCs w:val="20"/>
        </w:rPr>
        <w:t> </w:t>
      </w:r>
      <w:r w:rsidRPr="00573F31">
        <w:rPr>
          <w:szCs w:val="20"/>
        </w:rPr>
        <w:t>službami</w:t>
      </w:r>
      <w:r>
        <w:rPr>
          <w:szCs w:val="20"/>
        </w:rPr>
        <w:t xml:space="preserve"> </w:t>
      </w:r>
      <w:r w:rsidRPr="00573F31">
        <w:rPr>
          <w:szCs w:val="20"/>
        </w:rPr>
        <w:t>elektronických komunikací (mapování) a možnost efektivní kontroly a vyhodnocení sebraných</w:t>
      </w:r>
      <w:r>
        <w:rPr>
          <w:szCs w:val="20"/>
        </w:rPr>
        <w:t xml:space="preserve"> dat, a </w:t>
      </w:r>
      <w:r w:rsidRPr="00573F31">
        <w:rPr>
          <w:szCs w:val="20"/>
        </w:rPr>
        <w:t>to s využitím již dostupných informací v držení státní (veřejné) správy.</w:t>
      </w:r>
      <w:r>
        <w:rPr>
          <w:szCs w:val="20"/>
        </w:rPr>
        <w:t xml:space="preserve"> Inspirující jsou také zkušenosti</w:t>
      </w:r>
      <w:r w:rsidRPr="00691B49">
        <w:rPr>
          <w:szCs w:val="20"/>
        </w:rPr>
        <w:t xml:space="preserve"> z jiných členských států EU prezentovan</w:t>
      </w:r>
      <w:r>
        <w:rPr>
          <w:szCs w:val="20"/>
        </w:rPr>
        <w:t>é</w:t>
      </w:r>
      <w:r w:rsidRPr="00691B49">
        <w:rPr>
          <w:szCs w:val="20"/>
        </w:rPr>
        <w:t xml:space="preserve"> v rámci platformy Broadband Competence Offices</w:t>
      </w:r>
      <w:r>
        <w:rPr>
          <w:szCs w:val="20"/>
        </w:rPr>
        <w:t>.</w:t>
      </w:r>
    </w:p>
    <w:p w14:paraId="0EE9899E" w14:textId="794AE8B7" w:rsidR="002232D6" w:rsidRDefault="002232D6" w:rsidP="002232D6">
      <w:pPr>
        <w:spacing w:line="276" w:lineRule="auto"/>
        <w:rPr>
          <w:szCs w:val="20"/>
        </w:rPr>
      </w:pPr>
      <w:r>
        <w:rPr>
          <w:szCs w:val="20"/>
        </w:rPr>
        <w:t xml:space="preserve">ČTÚ </w:t>
      </w:r>
      <w:r w:rsidR="00D43B4F" w:rsidRPr="004A4916">
        <w:rPr>
          <w:szCs w:val="20"/>
        </w:rPr>
        <w:t>již realizuje</w:t>
      </w:r>
      <w:r w:rsidRPr="00EB3CCC">
        <w:rPr>
          <w:szCs w:val="20"/>
        </w:rPr>
        <w:t xml:space="preserve"> veřejnou zakázku na realizaci nového sy</w:t>
      </w:r>
      <w:r>
        <w:rPr>
          <w:szCs w:val="20"/>
        </w:rPr>
        <w:t>s</w:t>
      </w:r>
      <w:r w:rsidRPr="00EB3CCC">
        <w:rPr>
          <w:szCs w:val="20"/>
        </w:rPr>
        <w:t>tému sběru dat,</w:t>
      </w:r>
      <w:r>
        <w:rPr>
          <w:szCs w:val="20"/>
        </w:rPr>
        <w:t xml:space="preserve"> </w:t>
      </w:r>
      <w:r w:rsidRPr="00EB3CCC">
        <w:rPr>
          <w:szCs w:val="20"/>
        </w:rPr>
        <w:t>který b</w:t>
      </w:r>
      <w:r w:rsidR="00D43B4F">
        <w:rPr>
          <w:szCs w:val="20"/>
        </w:rPr>
        <w:t>ude</w:t>
      </w:r>
      <w:r w:rsidRPr="00EB3CCC">
        <w:rPr>
          <w:szCs w:val="20"/>
        </w:rPr>
        <w:t xml:space="preserve"> </w:t>
      </w:r>
      <w:r w:rsidR="00D43B4F">
        <w:rPr>
          <w:szCs w:val="20"/>
        </w:rPr>
        <w:t>základem pro</w:t>
      </w:r>
      <w:r w:rsidRPr="00EB3CCC">
        <w:rPr>
          <w:szCs w:val="20"/>
        </w:rPr>
        <w:t xml:space="preserve"> efektivní propojení stávajících a nově plánovaných nástrojů využívaných</w:t>
      </w:r>
      <w:r>
        <w:rPr>
          <w:szCs w:val="20"/>
        </w:rPr>
        <w:t xml:space="preserve"> </w:t>
      </w:r>
      <w:r w:rsidRPr="00EB3CCC">
        <w:rPr>
          <w:szCs w:val="20"/>
        </w:rPr>
        <w:t>ČTÚ s DTM a DMVS</w:t>
      </w:r>
      <w:r w:rsidR="00D43B4F">
        <w:rPr>
          <w:szCs w:val="20"/>
        </w:rPr>
        <w:t xml:space="preserve">. </w:t>
      </w:r>
      <w:r w:rsidR="00D43B4F" w:rsidRPr="004A4916">
        <w:rPr>
          <w:szCs w:val="20"/>
        </w:rPr>
        <w:t>Vzájemné propojení zdrojů dat</w:t>
      </w:r>
      <w:r w:rsidR="00D43B4F" w:rsidRPr="00A649CC">
        <w:rPr>
          <w:b/>
          <w:szCs w:val="20"/>
        </w:rPr>
        <w:t xml:space="preserve"> a vhodných nástrojů pro jejich zpracování</w:t>
      </w:r>
      <w:r>
        <w:rPr>
          <w:szCs w:val="20"/>
        </w:rPr>
        <w:t xml:space="preserve"> </w:t>
      </w:r>
      <w:r w:rsidRPr="00F35550">
        <w:rPr>
          <w:szCs w:val="20"/>
        </w:rPr>
        <w:t>zefektivn</w:t>
      </w:r>
      <w:r w:rsidR="00D43B4F">
        <w:rPr>
          <w:szCs w:val="20"/>
        </w:rPr>
        <w:t>í</w:t>
      </w:r>
      <w:r w:rsidRPr="00F35550">
        <w:rPr>
          <w:szCs w:val="20"/>
        </w:rPr>
        <w:t xml:space="preserve"> mapování i</w:t>
      </w:r>
      <w:r>
        <w:rPr>
          <w:szCs w:val="20"/>
        </w:rPr>
        <w:t> </w:t>
      </w:r>
      <w:r w:rsidRPr="00F35550">
        <w:rPr>
          <w:szCs w:val="20"/>
        </w:rPr>
        <w:t>průběh veřejných konzultací</w:t>
      </w:r>
      <w:r w:rsidRPr="00EB3CCC">
        <w:rPr>
          <w:szCs w:val="20"/>
        </w:rPr>
        <w:t xml:space="preserve"> a současně </w:t>
      </w:r>
      <w:r w:rsidR="00D43B4F">
        <w:rPr>
          <w:szCs w:val="20"/>
        </w:rPr>
        <w:t>umožní</w:t>
      </w:r>
      <w:r w:rsidRPr="00EB3CCC">
        <w:rPr>
          <w:szCs w:val="20"/>
        </w:rPr>
        <w:t xml:space="preserve"> provázán</w:t>
      </w:r>
      <w:r w:rsidR="00D43B4F">
        <w:rPr>
          <w:szCs w:val="20"/>
        </w:rPr>
        <w:t>í</w:t>
      </w:r>
      <w:r w:rsidRPr="00EB3CCC">
        <w:rPr>
          <w:szCs w:val="20"/>
        </w:rPr>
        <w:t xml:space="preserve"> s komplexní</w:t>
      </w:r>
      <w:r w:rsidR="00D43B4F">
        <w:rPr>
          <w:szCs w:val="20"/>
        </w:rPr>
        <w:t>m</w:t>
      </w:r>
      <w:r w:rsidRPr="00EB3CCC">
        <w:rPr>
          <w:szCs w:val="20"/>
        </w:rPr>
        <w:t xml:space="preserve"> nástroje</w:t>
      </w:r>
      <w:r w:rsidR="00D43B4F">
        <w:rPr>
          <w:szCs w:val="20"/>
        </w:rPr>
        <w:t>m</w:t>
      </w:r>
      <w:r w:rsidRPr="00EB3CCC">
        <w:rPr>
          <w:szCs w:val="20"/>
        </w:rPr>
        <w:t xml:space="preserve"> pro</w:t>
      </w:r>
      <w:r>
        <w:rPr>
          <w:szCs w:val="20"/>
        </w:rPr>
        <w:t xml:space="preserve"> </w:t>
      </w:r>
      <w:r w:rsidRPr="00EB3CCC">
        <w:rPr>
          <w:szCs w:val="20"/>
        </w:rPr>
        <w:t xml:space="preserve">informování veřejnosti o dostupnosti služeb a sítí </w:t>
      </w:r>
      <w:r w:rsidRPr="00EB3CCC">
        <w:rPr>
          <w:szCs w:val="20"/>
        </w:rPr>
        <w:lastRenderedPageBreak/>
        <w:t>elektronických komunikací</w:t>
      </w:r>
      <w:r>
        <w:rPr>
          <w:szCs w:val="20"/>
        </w:rPr>
        <w:t xml:space="preserve">. </w:t>
      </w:r>
      <w:r w:rsidRPr="00EB3CCC">
        <w:rPr>
          <w:szCs w:val="20"/>
        </w:rPr>
        <w:t>Cílem realizace tohoto projektu je mimo jiné zajistit efektivněji i průběžné vyhodnocování</w:t>
      </w:r>
      <w:r>
        <w:rPr>
          <w:szCs w:val="20"/>
        </w:rPr>
        <w:t xml:space="preserve"> </w:t>
      </w:r>
      <w:r w:rsidRPr="00EB3CCC">
        <w:rPr>
          <w:szCs w:val="20"/>
        </w:rPr>
        <w:t>potřeb intervencí z ESIF a jejich efektů</w:t>
      </w:r>
      <w:r w:rsidRPr="001E6307">
        <w:rPr>
          <w:szCs w:val="20"/>
        </w:rPr>
        <w:t>.</w:t>
      </w:r>
    </w:p>
    <w:p w14:paraId="5A4E21A6" w14:textId="37137AC6" w:rsidR="000D21C7" w:rsidRPr="0027239F" w:rsidRDefault="000D21C7" w:rsidP="002232D6">
      <w:pPr>
        <w:spacing w:line="276" w:lineRule="auto"/>
        <w:rPr>
          <w:szCs w:val="20"/>
        </w:rPr>
      </w:pPr>
      <w:r>
        <w:rPr>
          <w:szCs w:val="20"/>
        </w:rPr>
        <w:t xml:space="preserve">Současně </w:t>
      </w:r>
      <w:r w:rsidRPr="000D21C7">
        <w:rPr>
          <w:szCs w:val="20"/>
        </w:rPr>
        <w:t xml:space="preserve">realizace projektů </w:t>
      </w:r>
      <w:r>
        <w:rPr>
          <w:szCs w:val="20"/>
        </w:rPr>
        <w:t xml:space="preserve">DSŘ </w:t>
      </w:r>
      <w:r w:rsidRPr="000D21C7">
        <w:rPr>
          <w:szCs w:val="20"/>
        </w:rPr>
        <w:t xml:space="preserve">poskytne informace, které mohou sloužit jako kontrolní ve vztahu k datům předaným povinnými subjekty ČTÚ v rámci </w:t>
      </w:r>
      <w:r>
        <w:rPr>
          <w:szCs w:val="20"/>
        </w:rPr>
        <w:t xml:space="preserve">zeměpisného </w:t>
      </w:r>
      <w:r w:rsidRPr="000D21C7">
        <w:rPr>
          <w:szCs w:val="20"/>
        </w:rPr>
        <w:t>mapování sítí</w:t>
      </w:r>
      <w:r>
        <w:rPr>
          <w:szCs w:val="20"/>
        </w:rPr>
        <w:t xml:space="preserve"> dle Kodexu</w:t>
      </w:r>
      <w:r w:rsidRPr="000D21C7">
        <w:rPr>
          <w:szCs w:val="20"/>
        </w:rPr>
        <w:t xml:space="preserve">. Využitím takových kontrolních mechanismů se </w:t>
      </w:r>
      <w:r>
        <w:rPr>
          <w:szCs w:val="20"/>
        </w:rPr>
        <w:t xml:space="preserve">zefektivní činnosti zeměpisného mapování a </w:t>
      </w:r>
      <w:r w:rsidRPr="000D21C7">
        <w:rPr>
          <w:szCs w:val="20"/>
        </w:rPr>
        <w:t xml:space="preserve">zvýší validitu </w:t>
      </w:r>
      <w:r>
        <w:rPr>
          <w:szCs w:val="20"/>
        </w:rPr>
        <w:t xml:space="preserve">jeho </w:t>
      </w:r>
      <w:r w:rsidR="007F61F6" w:rsidRPr="000D21C7">
        <w:rPr>
          <w:szCs w:val="20"/>
        </w:rPr>
        <w:t>výstupů.</w:t>
      </w:r>
    </w:p>
    <w:p w14:paraId="08946159" w14:textId="42C804DE" w:rsidR="005B72DB" w:rsidRPr="00FA76BD" w:rsidRDefault="00D17142" w:rsidP="0027239F">
      <w:pPr>
        <w:rPr>
          <w:szCs w:val="20"/>
        </w:rPr>
      </w:pPr>
      <w:r>
        <w:rPr>
          <w:szCs w:val="20"/>
        </w:rPr>
        <w:t>P</w:t>
      </w:r>
      <w:r w:rsidR="00891BE7" w:rsidRPr="00FA76BD">
        <w:rPr>
          <w:szCs w:val="20"/>
        </w:rPr>
        <w:t>r</w:t>
      </w:r>
      <w:r w:rsidR="00FA76BD" w:rsidRPr="00FA76BD">
        <w:rPr>
          <w:szCs w:val="20"/>
        </w:rPr>
        <w:t xml:space="preserve">ojekt </w:t>
      </w:r>
      <w:r w:rsidR="00891BE7" w:rsidRPr="00FA76BD">
        <w:rPr>
          <w:b/>
          <w:szCs w:val="20"/>
        </w:rPr>
        <w:t>Vybudování informačního systému technické infrastruktury veřejné správy (</w:t>
      </w:r>
      <w:r>
        <w:rPr>
          <w:b/>
          <w:szCs w:val="20"/>
        </w:rPr>
        <w:t xml:space="preserve">dále </w:t>
      </w:r>
      <w:r w:rsidR="00891BE7" w:rsidRPr="00FA76BD">
        <w:rPr>
          <w:b/>
          <w:szCs w:val="20"/>
        </w:rPr>
        <w:t>ISTI)</w:t>
      </w:r>
      <w:r>
        <w:rPr>
          <w:b/>
          <w:szCs w:val="20"/>
        </w:rPr>
        <w:t xml:space="preserve">, </w:t>
      </w:r>
      <w:r w:rsidRPr="00FA76BD">
        <w:rPr>
          <w:szCs w:val="20"/>
        </w:rPr>
        <w:t xml:space="preserve">který je již v současné době </w:t>
      </w:r>
      <w:r w:rsidRPr="00F90C15">
        <w:rPr>
          <w:szCs w:val="20"/>
        </w:rPr>
        <w:t>ve fázi realizace</w:t>
      </w:r>
      <w:r w:rsidR="00891BE7" w:rsidRPr="00FA76BD">
        <w:rPr>
          <w:szCs w:val="20"/>
        </w:rPr>
        <w:t xml:space="preserve"> – potřeba </w:t>
      </w:r>
      <w:r w:rsidR="00891BE7" w:rsidRPr="007D1C8E">
        <w:rPr>
          <w:b/>
          <w:szCs w:val="20"/>
        </w:rPr>
        <w:t>1</w:t>
      </w:r>
      <w:r w:rsidR="0013097F">
        <w:rPr>
          <w:b/>
          <w:szCs w:val="20"/>
        </w:rPr>
        <w:t>2</w:t>
      </w:r>
      <w:r w:rsidR="00891BE7" w:rsidRPr="007D1C8E">
        <w:rPr>
          <w:b/>
          <w:szCs w:val="20"/>
        </w:rPr>
        <w:t>0 mil</w:t>
      </w:r>
      <w:r w:rsidR="00B71CC4" w:rsidRPr="007D1C8E">
        <w:rPr>
          <w:b/>
          <w:szCs w:val="20"/>
        </w:rPr>
        <w:t>.</w:t>
      </w:r>
      <w:r w:rsidR="00891BE7" w:rsidRPr="007D1C8E">
        <w:rPr>
          <w:b/>
          <w:szCs w:val="20"/>
        </w:rPr>
        <w:t xml:space="preserve"> Kč</w:t>
      </w:r>
      <w:r w:rsidR="00891BE7" w:rsidRPr="00FA76BD">
        <w:rPr>
          <w:szCs w:val="20"/>
        </w:rPr>
        <w:t xml:space="preserve"> – příjemce</w:t>
      </w:r>
      <w:r w:rsidR="00FA76BD" w:rsidRPr="00FA76BD">
        <w:rPr>
          <w:szCs w:val="20"/>
        </w:rPr>
        <w:t>m Ministerstvo vnitra - zdroj</w:t>
      </w:r>
      <w:r w:rsidR="00891BE7" w:rsidRPr="00FA76BD">
        <w:rPr>
          <w:szCs w:val="20"/>
        </w:rPr>
        <w:t> IROP</w:t>
      </w:r>
      <w:r w:rsidR="00E56ED6">
        <w:rPr>
          <w:szCs w:val="20"/>
        </w:rPr>
        <w:t xml:space="preserve">, </w:t>
      </w:r>
      <w:r w:rsidR="000F6FB1">
        <w:rPr>
          <w:szCs w:val="20"/>
        </w:rPr>
        <w:br/>
      </w:r>
      <w:r w:rsidR="00E56ED6">
        <w:rPr>
          <w:szCs w:val="20"/>
        </w:rPr>
        <w:t>26. výzva eGovernmentu</w:t>
      </w:r>
      <w:r w:rsidR="00891BE7" w:rsidRPr="00FA76BD">
        <w:rPr>
          <w:szCs w:val="20"/>
        </w:rPr>
        <w:t xml:space="preserve">. </w:t>
      </w:r>
    </w:p>
    <w:p w14:paraId="02250CB1" w14:textId="1222B62D" w:rsidR="002232D6" w:rsidRPr="00FA76BD" w:rsidRDefault="002232D6" w:rsidP="002232D6">
      <w:pPr>
        <w:rPr>
          <w:szCs w:val="20"/>
        </w:rPr>
      </w:pPr>
      <w:r>
        <w:rPr>
          <w:szCs w:val="20"/>
        </w:rPr>
        <w:t xml:space="preserve">Projekt ISTI předpokládal shromáždění dat o technické infrastruktuře v majetku veřejnoprávních organizací a pro účely poskytování údajů dle směrnice </w:t>
      </w:r>
      <w:r w:rsidRPr="00DA3F93">
        <w:rPr>
          <w:szCs w:val="20"/>
        </w:rPr>
        <w:t>Evropského parlamentu a</w:t>
      </w:r>
      <w:r>
        <w:rPr>
          <w:szCs w:val="20"/>
        </w:rPr>
        <w:t xml:space="preserve"> </w:t>
      </w:r>
      <w:r w:rsidRPr="00DA3F93">
        <w:rPr>
          <w:szCs w:val="20"/>
        </w:rPr>
        <w:t>Rady 2007/2/ES o</w:t>
      </w:r>
      <w:r>
        <w:rPr>
          <w:szCs w:val="20"/>
        </w:rPr>
        <w:t xml:space="preserve"> </w:t>
      </w:r>
      <w:r w:rsidRPr="00DA3F93">
        <w:rPr>
          <w:szCs w:val="20"/>
        </w:rPr>
        <w:t>zřízení</w:t>
      </w:r>
      <w:r>
        <w:rPr>
          <w:szCs w:val="20"/>
        </w:rPr>
        <w:t xml:space="preserve"> </w:t>
      </w:r>
      <w:r w:rsidRPr="00DA3F93">
        <w:rPr>
          <w:szCs w:val="20"/>
        </w:rPr>
        <w:t>Infrastruktury pro prostorové informace v</w:t>
      </w:r>
      <w:r>
        <w:rPr>
          <w:szCs w:val="20"/>
        </w:rPr>
        <w:t xml:space="preserve"> </w:t>
      </w:r>
      <w:r w:rsidRPr="00DA3F93">
        <w:rPr>
          <w:szCs w:val="20"/>
        </w:rPr>
        <w:t>Evropském společenství (INSPIRE)</w:t>
      </w:r>
      <w:r>
        <w:rPr>
          <w:szCs w:val="20"/>
        </w:rPr>
        <w:t>, jež je v ČR implementována zákonem o p</w:t>
      </w:r>
      <w:r w:rsidRPr="00DA3F93">
        <w:rPr>
          <w:szCs w:val="20"/>
        </w:rPr>
        <w:t>rávu na informace o životním prostředí</w:t>
      </w:r>
      <w:r>
        <w:rPr>
          <w:szCs w:val="20"/>
        </w:rPr>
        <w:t>. Projekt získal financování z IROP. V návaznosti na dohody o realizaci DTM současně dochází ke snížení rozsahu</w:t>
      </w:r>
      <w:r w:rsidR="002D4FD1">
        <w:rPr>
          <w:szCs w:val="20"/>
        </w:rPr>
        <w:t xml:space="preserve"> a změně</w:t>
      </w:r>
      <w:r>
        <w:rPr>
          <w:szCs w:val="20"/>
        </w:rPr>
        <w:t xml:space="preserve"> projektu ISTI</w:t>
      </w:r>
      <w:r w:rsidR="002D4FD1">
        <w:rPr>
          <w:szCs w:val="20"/>
        </w:rPr>
        <w:t xml:space="preserve"> </w:t>
      </w:r>
      <w:r w:rsidR="002D4FD1" w:rsidRPr="00A649CC">
        <w:rPr>
          <w:szCs w:val="20"/>
        </w:rPr>
        <w:t>na projekt Vybudování Informačního systému pro veřejné služby a služby veřejné správy INSPIRE (ISSI)</w:t>
      </w:r>
      <w:r>
        <w:rPr>
          <w:szCs w:val="20"/>
        </w:rPr>
        <w:t xml:space="preserve">, který nadále zajistí využití dat </w:t>
      </w:r>
      <w:r w:rsidR="002D4FD1">
        <w:rPr>
          <w:szCs w:val="20"/>
        </w:rPr>
        <w:t>o</w:t>
      </w:r>
      <w:r>
        <w:rPr>
          <w:szCs w:val="20"/>
        </w:rPr>
        <w:t xml:space="preserve"> technické infrastruktuře v majetku veřejnoprávních organizací i soukromých vlastníků z DTM a t</w:t>
      </w:r>
      <w:r w:rsidR="002D4FD1">
        <w:rPr>
          <w:szCs w:val="20"/>
        </w:rPr>
        <w:t>a</w:t>
      </w:r>
      <w:r>
        <w:rPr>
          <w:szCs w:val="20"/>
        </w:rPr>
        <w:t xml:space="preserve"> bude transformovat a poskytovat pro potřeby INSPIRE v</w:t>
      </w:r>
      <w:r w:rsidR="002D4FD1">
        <w:rPr>
          <w:szCs w:val="20"/>
        </w:rPr>
        <w:t> </w:t>
      </w:r>
      <w:r>
        <w:rPr>
          <w:szCs w:val="20"/>
        </w:rPr>
        <w:t>rozsahu</w:t>
      </w:r>
      <w:r w:rsidR="002D4FD1">
        <w:rPr>
          <w:szCs w:val="20"/>
        </w:rPr>
        <w:t>,</w:t>
      </w:r>
      <w:r>
        <w:rPr>
          <w:szCs w:val="20"/>
        </w:rPr>
        <w:t xml:space="preserve"> v němž jsou tito vlastníci infrastruktury povinní data poskytovat pro </w:t>
      </w:r>
      <w:r w:rsidRPr="00DA3F93">
        <w:rPr>
          <w:szCs w:val="20"/>
        </w:rPr>
        <w:t xml:space="preserve">splnění povinností stanovených </w:t>
      </w:r>
      <w:r>
        <w:rPr>
          <w:szCs w:val="20"/>
        </w:rPr>
        <w:t>směrnicí</w:t>
      </w:r>
      <w:r w:rsidRPr="00DA3F93">
        <w:rPr>
          <w:szCs w:val="20"/>
        </w:rPr>
        <w:t xml:space="preserve"> </w:t>
      </w:r>
      <w:r>
        <w:rPr>
          <w:szCs w:val="20"/>
        </w:rPr>
        <w:t xml:space="preserve">o </w:t>
      </w:r>
      <w:r w:rsidRPr="00DA3F93">
        <w:rPr>
          <w:szCs w:val="20"/>
        </w:rPr>
        <w:t>INSPIRE</w:t>
      </w:r>
      <w:r>
        <w:rPr>
          <w:szCs w:val="20"/>
        </w:rPr>
        <w:t>. Při realizaci projektu DTM a IS</w:t>
      </w:r>
      <w:r w:rsidR="002D4FD1">
        <w:rPr>
          <w:szCs w:val="20"/>
        </w:rPr>
        <w:t>S</w:t>
      </w:r>
      <w:r>
        <w:rPr>
          <w:szCs w:val="20"/>
        </w:rPr>
        <w:t>I tak ČR splní také povinnosti stanovené směrnicí o INSPIRE, aniž by se duplikovala administrativní zátěž povinných osob.</w:t>
      </w:r>
    </w:p>
    <w:p w14:paraId="781FC45A" w14:textId="4FCE2773" w:rsidR="00987FB7" w:rsidRDefault="00987FB7" w:rsidP="00987FB7">
      <w:pPr>
        <w:spacing w:line="276" w:lineRule="auto"/>
        <w:rPr>
          <w:szCs w:val="20"/>
        </w:rPr>
      </w:pPr>
      <w:r>
        <w:rPr>
          <w:szCs w:val="20"/>
        </w:rPr>
        <w:t>P</w:t>
      </w:r>
      <w:r w:rsidRPr="0027239F">
        <w:rPr>
          <w:szCs w:val="20"/>
        </w:rPr>
        <w:t xml:space="preserve">ředpokladem </w:t>
      </w:r>
      <w:r>
        <w:rPr>
          <w:szCs w:val="20"/>
        </w:rPr>
        <w:t xml:space="preserve">realizace projektů </w:t>
      </w:r>
      <w:r w:rsidR="00882143">
        <w:rPr>
          <w:szCs w:val="20"/>
        </w:rPr>
        <w:t xml:space="preserve">IS </w:t>
      </w:r>
      <w:r>
        <w:rPr>
          <w:szCs w:val="20"/>
        </w:rPr>
        <w:t xml:space="preserve">DMVS, ostatních komponent DSŘ a </w:t>
      </w:r>
      <w:r w:rsidR="004D705D">
        <w:rPr>
          <w:szCs w:val="20"/>
        </w:rPr>
        <w:t xml:space="preserve">IS </w:t>
      </w:r>
      <w:r>
        <w:rPr>
          <w:szCs w:val="20"/>
        </w:rPr>
        <w:t xml:space="preserve">Mapování VRI </w:t>
      </w:r>
      <w:r w:rsidRPr="0027239F">
        <w:rPr>
          <w:szCs w:val="20"/>
        </w:rPr>
        <w:t xml:space="preserve">je </w:t>
      </w:r>
      <w:r w:rsidRPr="00AC14FD">
        <w:rPr>
          <w:b/>
          <w:szCs w:val="20"/>
        </w:rPr>
        <w:t>realokace prostředků z OP PIK.</w:t>
      </w:r>
    </w:p>
    <w:p w14:paraId="167C662F" w14:textId="7E7E7D37" w:rsidR="002E2140" w:rsidRDefault="00FA76BD" w:rsidP="008253FA">
      <w:pPr>
        <w:spacing w:line="480" w:lineRule="auto"/>
        <w:rPr>
          <w:b/>
          <w:szCs w:val="20"/>
        </w:rPr>
      </w:pPr>
      <w:r w:rsidRPr="00FA76BD">
        <w:rPr>
          <w:b/>
          <w:szCs w:val="20"/>
        </w:rPr>
        <w:t>Sché</w:t>
      </w:r>
      <w:r w:rsidR="005B72DB" w:rsidRPr="00FA76BD">
        <w:rPr>
          <w:b/>
          <w:szCs w:val="20"/>
        </w:rPr>
        <w:t xml:space="preserve">ma </w:t>
      </w:r>
      <w:r w:rsidR="00143BBC">
        <w:rPr>
          <w:b/>
          <w:szCs w:val="20"/>
        </w:rPr>
        <w:t>ZDROJŮ FINANCOVÁNÍ</w:t>
      </w:r>
      <w:r w:rsidR="005B72DB" w:rsidRPr="00FA76BD">
        <w:rPr>
          <w:b/>
          <w:szCs w:val="20"/>
        </w:rPr>
        <w:t xml:space="preserve"> projekt</w:t>
      </w:r>
      <w:r w:rsidR="00F60B05">
        <w:rPr>
          <w:b/>
          <w:szCs w:val="20"/>
        </w:rPr>
        <w:t>ů</w:t>
      </w:r>
      <w:r w:rsidR="005B72DB" w:rsidRPr="00FA76BD">
        <w:rPr>
          <w:b/>
          <w:szCs w:val="20"/>
        </w:rPr>
        <w:t xml:space="preserve"> </w:t>
      </w:r>
      <w:r w:rsidR="00F60B05" w:rsidRPr="008253FA">
        <w:rPr>
          <w:b/>
          <w:szCs w:val="20"/>
          <w:u w:val="single"/>
        </w:rPr>
        <w:t>souvisejících</w:t>
      </w:r>
      <w:r w:rsidR="00F60B05">
        <w:rPr>
          <w:b/>
          <w:szCs w:val="20"/>
        </w:rPr>
        <w:t xml:space="preserve"> s</w:t>
      </w:r>
      <w:r w:rsidR="002E2140">
        <w:rPr>
          <w:b/>
          <w:szCs w:val="20"/>
        </w:rPr>
        <w:t> </w:t>
      </w:r>
      <w:r w:rsidR="005B72DB" w:rsidRPr="00FA76BD">
        <w:rPr>
          <w:b/>
          <w:szCs w:val="20"/>
        </w:rPr>
        <w:t>DSŘ</w:t>
      </w:r>
    </w:p>
    <w:p w14:paraId="75BC9FF6" w14:textId="3CB150E0" w:rsidR="00143BBC" w:rsidRDefault="00D52617" w:rsidP="008253FA">
      <w:pPr>
        <w:spacing w:line="480" w:lineRule="auto"/>
        <w:rPr>
          <w:noProof/>
        </w:rPr>
      </w:pPr>
      <w:r w:rsidRPr="00D52617">
        <w:rPr>
          <w:noProof/>
        </w:rPr>
        <w:drawing>
          <wp:inline distT="0" distB="0" distL="0" distR="0" wp14:anchorId="1842BEE0" wp14:editId="18956495">
            <wp:extent cx="6192520" cy="2895192"/>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895192"/>
                    </a:xfrm>
                    <a:prstGeom prst="rect">
                      <a:avLst/>
                    </a:prstGeom>
                    <a:noFill/>
                    <a:ln>
                      <a:noFill/>
                    </a:ln>
                  </pic:spPr>
                </pic:pic>
              </a:graphicData>
            </a:graphic>
          </wp:inline>
        </w:drawing>
      </w:r>
    </w:p>
    <w:p w14:paraId="60519687" w14:textId="77777777" w:rsidR="00225111" w:rsidRDefault="00225111" w:rsidP="00587EBA">
      <w:pPr>
        <w:spacing w:after="0" w:line="240" w:lineRule="auto"/>
        <w:rPr>
          <w:i/>
          <w:sz w:val="18"/>
          <w:szCs w:val="18"/>
          <w:lang w:eastAsia="x-none"/>
        </w:rPr>
      </w:pPr>
      <w:r w:rsidRPr="00225111">
        <w:rPr>
          <w:i/>
          <w:sz w:val="18"/>
          <w:szCs w:val="18"/>
          <w:lang w:eastAsia="x-none"/>
        </w:rPr>
        <w:t xml:space="preserve">Pozn.: </w:t>
      </w:r>
      <w:r w:rsidR="00587EBA">
        <w:rPr>
          <w:i/>
          <w:sz w:val="18"/>
          <w:szCs w:val="18"/>
          <w:lang w:eastAsia="x-none"/>
        </w:rPr>
        <w:t>Červeně jsou označeny projekty, na jejichž financování je navrhovaná realokace prostředků ESIF. T</w:t>
      </w:r>
      <w:r w:rsidRPr="00225111">
        <w:rPr>
          <w:i/>
          <w:sz w:val="18"/>
          <w:szCs w:val="18"/>
          <w:lang w:eastAsia="x-none"/>
        </w:rPr>
        <w:t>ermínem „realokace“ se rozumí příspěvek EU převedený z programu OP PIK do IROP</w:t>
      </w:r>
      <w:r w:rsidR="00587EBA">
        <w:rPr>
          <w:i/>
          <w:sz w:val="18"/>
          <w:szCs w:val="18"/>
          <w:lang w:eastAsia="x-none"/>
        </w:rPr>
        <w:t xml:space="preserve">. </w:t>
      </w:r>
    </w:p>
    <w:p w14:paraId="3508A41E" w14:textId="77777777" w:rsidR="00587EBA" w:rsidRPr="00225111" w:rsidRDefault="00587EBA" w:rsidP="00587EBA">
      <w:pPr>
        <w:spacing w:after="0" w:line="240" w:lineRule="auto"/>
        <w:rPr>
          <w:i/>
          <w:sz w:val="18"/>
          <w:szCs w:val="18"/>
          <w:lang w:eastAsia="x-none"/>
        </w:rPr>
      </w:pPr>
    </w:p>
    <w:p w14:paraId="278CDC08" w14:textId="1551246D" w:rsidR="00AD1047" w:rsidRPr="00246153" w:rsidRDefault="00AD1047">
      <w:pPr>
        <w:rPr>
          <w:b/>
          <w:color w:val="2E74B5" w:themeColor="accent1" w:themeShade="BF"/>
        </w:rPr>
      </w:pPr>
      <w:r w:rsidRPr="00246153">
        <w:rPr>
          <w:b/>
        </w:rPr>
        <w:t xml:space="preserve">Potřebná </w:t>
      </w:r>
      <w:r w:rsidR="00143BBC">
        <w:rPr>
          <w:b/>
        </w:rPr>
        <w:t>REALOKACE</w:t>
      </w:r>
      <w:r w:rsidR="00143BBC" w:rsidRPr="00246153">
        <w:rPr>
          <w:b/>
        </w:rPr>
        <w:t xml:space="preserve"> </w:t>
      </w:r>
      <w:r w:rsidRPr="00246153">
        <w:rPr>
          <w:b/>
        </w:rPr>
        <w:t>prostředků do IROP pro pokrytí projekt</w:t>
      </w:r>
      <w:r w:rsidR="00F60B05">
        <w:rPr>
          <w:b/>
        </w:rPr>
        <w:t xml:space="preserve">ů </w:t>
      </w:r>
      <w:r w:rsidR="00F60B05" w:rsidRPr="008253FA">
        <w:rPr>
          <w:b/>
          <w:u w:val="single"/>
        </w:rPr>
        <w:t>souvisejících</w:t>
      </w:r>
      <w:r w:rsidR="00F60B05">
        <w:rPr>
          <w:b/>
        </w:rPr>
        <w:t xml:space="preserve"> s DSŘ</w:t>
      </w:r>
      <w:r w:rsidR="008253FA">
        <w:rPr>
          <w:b/>
        </w:rPr>
        <w:t xml:space="preserve"> je</w:t>
      </w:r>
      <w:r w:rsidR="00B71CC4">
        <w:rPr>
          <w:b/>
        </w:rPr>
        <w:t xml:space="preserve"> 1 004</w:t>
      </w:r>
      <w:r w:rsidRPr="00246153">
        <w:rPr>
          <w:b/>
        </w:rPr>
        <w:t xml:space="preserve"> mil. Kč</w:t>
      </w:r>
      <w:r w:rsidR="008D6D72">
        <w:rPr>
          <w:b/>
        </w:rPr>
        <w:t xml:space="preserve"> (příspěvek EU</w:t>
      </w:r>
      <w:r w:rsidR="008D6D72" w:rsidRPr="00F52293">
        <w:t>)</w:t>
      </w:r>
      <w:r w:rsidR="00685DF3" w:rsidRPr="00F52293">
        <w:t xml:space="preserve">, tzn. </w:t>
      </w:r>
      <w:r w:rsidR="00685DF3" w:rsidRPr="0030129C">
        <w:rPr>
          <w:b/>
        </w:rPr>
        <w:t xml:space="preserve">988 mil. Kč na projekt DSŘ a 16 mil. Kč na projekt </w:t>
      </w:r>
      <w:r w:rsidR="004D705D">
        <w:rPr>
          <w:b/>
        </w:rPr>
        <w:t xml:space="preserve">IS </w:t>
      </w:r>
      <w:r w:rsidR="00685DF3" w:rsidRPr="0030129C">
        <w:rPr>
          <w:b/>
        </w:rPr>
        <w:t>Mapo</w:t>
      </w:r>
      <w:r w:rsidR="00FB7689" w:rsidRPr="0030129C">
        <w:rPr>
          <w:b/>
        </w:rPr>
        <w:t>vání VRI</w:t>
      </w:r>
      <w:r w:rsidR="00685DF3" w:rsidRPr="00F52293">
        <w:t xml:space="preserve"> </w:t>
      </w:r>
      <w:r w:rsidR="00FB7689">
        <w:t>(</w:t>
      </w:r>
      <w:r w:rsidR="00685DF3" w:rsidRPr="00F52293">
        <w:t xml:space="preserve">viz </w:t>
      </w:r>
      <w:r w:rsidR="00FB7689">
        <w:t xml:space="preserve">červeně vyznačené pole ve </w:t>
      </w:r>
      <w:r w:rsidR="00685DF3" w:rsidRPr="00F52293">
        <w:t>výše uvedené</w:t>
      </w:r>
      <w:r w:rsidR="00FB7689">
        <w:t>m</w:t>
      </w:r>
      <w:r w:rsidR="00685DF3" w:rsidRPr="00F52293">
        <w:t xml:space="preserve"> schéma</w:t>
      </w:r>
      <w:r w:rsidR="00FB7689">
        <w:t>)</w:t>
      </w:r>
      <w:r w:rsidRPr="00685DF3">
        <w:t>.</w:t>
      </w:r>
      <w:r>
        <w:t xml:space="preserve"> </w:t>
      </w:r>
      <w:r w:rsidRPr="00F52293">
        <w:rPr>
          <w:b/>
        </w:rPr>
        <w:t xml:space="preserve">Jako zdrojový program pro realokaci je navržen OP PIK, prioritní osa 4, specifický cíl 4.1 - </w:t>
      </w:r>
      <w:r w:rsidRPr="00F52293">
        <w:rPr>
          <w:b/>
          <w:i/>
        </w:rPr>
        <w:t>Zvětšit pokrytí vysokorychlostním přístupem k internetu</w:t>
      </w:r>
      <w:r w:rsidRPr="00F52293">
        <w:t xml:space="preserve">, kde je k 9. 7. 2019 evidována disponibilní alokace (nevázána v otevřených výzvách ani v plánovaných výzvách) ve výši cca </w:t>
      </w:r>
      <w:r w:rsidR="00B165F5" w:rsidRPr="009C585C">
        <w:t>3</w:t>
      </w:r>
      <w:r w:rsidRPr="009C585C">
        <w:t xml:space="preserve"> 319 mil. Kč</w:t>
      </w:r>
      <w:r w:rsidR="002D577E" w:rsidRPr="00F52293">
        <w:rPr>
          <w:rStyle w:val="Znakapoznpodarou"/>
        </w:rPr>
        <w:footnoteReference w:id="3"/>
      </w:r>
      <w:r w:rsidRPr="00F52293">
        <w:t xml:space="preserve"> (příspěvek EU). Oblast podpory vysokorychlostního internetu </w:t>
      </w:r>
      <w:r w:rsidRPr="00F52293">
        <w:rPr>
          <w:lang w:eastAsia="x-none"/>
        </w:rPr>
        <w:t xml:space="preserve">se dlouhodobě potýká </w:t>
      </w:r>
      <w:r w:rsidRPr="00F52293">
        <w:rPr>
          <w:lang w:eastAsia="x-none"/>
        </w:rPr>
        <w:lastRenderedPageBreak/>
        <w:t>s problémy spojenými s nastavením pravidel veřejné podpory</w:t>
      </w:r>
      <w:r w:rsidR="0061392B" w:rsidRPr="00F52293">
        <w:rPr>
          <w:lang w:eastAsia="x-none"/>
        </w:rPr>
        <w:t xml:space="preserve"> a s nedostatky v mapování</w:t>
      </w:r>
      <w:r w:rsidRPr="00F52293">
        <w:rPr>
          <w:lang w:eastAsia="x-none"/>
        </w:rPr>
        <w:t xml:space="preserve"> a tím zapříčiněnému nedostatku absorpční</w:t>
      </w:r>
      <w:r>
        <w:rPr>
          <w:lang w:eastAsia="x-none"/>
        </w:rPr>
        <w:t xml:space="preserve"> kapacity a i přes </w:t>
      </w:r>
      <w:r w:rsidRPr="000349DA">
        <w:rPr>
          <w:lang w:eastAsia="x-none"/>
        </w:rPr>
        <w:t>provedení řady opatření ze strany</w:t>
      </w:r>
      <w:r>
        <w:rPr>
          <w:lang w:eastAsia="x-none"/>
        </w:rPr>
        <w:t xml:space="preserve"> řídicího orgánu se nedaří dosáhnout dostatečného posunu v čerpání prostředků (blíže viz kapitola 3).</w:t>
      </w:r>
    </w:p>
    <w:p w14:paraId="61E1DD2B" w14:textId="123F4A30" w:rsidR="00437FE2" w:rsidRDefault="00725448" w:rsidP="0019689E">
      <w:r>
        <w:t xml:space="preserve">Další finanční nároky </w:t>
      </w:r>
      <w:r w:rsidRPr="00342D60">
        <w:t>projekt</w:t>
      </w:r>
      <w:r w:rsidR="00F60B05">
        <w:t>ů souvisejících s</w:t>
      </w:r>
      <w:r w:rsidRPr="00342D60">
        <w:t xml:space="preserve"> </w:t>
      </w:r>
      <w:r w:rsidR="00452279" w:rsidRPr="00342D60">
        <w:t xml:space="preserve">DSŘ </w:t>
      </w:r>
      <w:r w:rsidRPr="00342D60">
        <w:t>budou souviset s</w:t>
      </w:r>
      <w:r w:rsidR="00FA76BD" w:rsidRPr="00342D60">
        <w:t> </w:t>
      </w:r>
      <w:r w:rsidR="00FA76BD" w:rsidRPr="00342D60">
        <w:rPr>
          <w:b/>
        </w:rPr>
        <w:t xml:space="preserve">nutností zajistit národní spolufinancování k prostředkům ESIF, s pokrytím případných výdajů nezpůsobilých pro financování z ESIF zdrojů a s </w:t>
      </w:r>
      <w:r w:rsidRPr="00342D60">
        <w:rPr>
          <w:b/>
        </w:rPr>
        <w:t xml:space="preserve">náklady na provoz </w:t>
      </w:r>
      <w:r w:rsidR="00452279" w:rsidRPr="00342D60">
        <w:rPr>
          <w:b/>
        </w:rPr>
        <w:t xml:space="preserve">informačních systémů </w:t>
      </w:r>
      <w:r w:rsidR="00452279" w:rsidRPr="00342D60">
        <w:t>(</w:t>
      </w:r>
      <w:r w:rsidR="00D43B4F">
        <w:t xml:space="preserve">IS </w:t>
      </w:r>
      <w:r w:rsidR="00452279" w:rsidRPr="00342D60">
        <w:t>DMVS</w:t>
      </w:r>
      <w:r w:rsidR="00F61286">
        <w:t>,</w:t>
      </w:r>
      <w:r w:rsidR="00452279" w:rsidRPr="00342D60">
        <w:t xml:space="preserve"> 4 dalších komponent</w:t>
      </w:r>
      <w:r w:rsidR="00F61286">
        <w:t xml:space="preserve"> DSŘ </w:t>
      </w:r>
      <w:r w:rsidR="000F6FB1">
        <w:br/>
      </w:r>
      <w:r w:rsidR="00F61286">
        <w:t xml:space="preserve">a </w:t>
      </w:r>
      <w:r w:rsidR="004D705D">
        <w:t xml:space="preserve">IS </w:t>
      </w:r>
      <w:r w:rsidR="00F61286">
        <w:t>Mapování VRI</w:t>
      </w:r>
      <w:r w:rsidR="00452279" w:rsidRPr="008253FA">
        <w:t>)</w:t>
      </w:r>
      <w:r w:rsidRPr="00342D60">
        <w:t>.</w:t>
      </w:r>
      <w:r>
        <w:t xml:space="preserve"> </w:t>
      </w:r>
    </w:p>
    <w:p w14:paraId="30EEB8A7" w14:textId="568F9D3B" w:rsidR="00F90C15" w:rsidRDefault="00F90C15" w:rsidP="00F90C15">
      <w:pPr>
        <w:rPr>
          <w:szCs w:val="20"/>
        </w:rPr>
      </w:pPr>
      <w:r>
        <w:t xml:space="preserve">Co se týká </w:t>
      </w:r>
      <w:r w:rsidRPr="0083504C">
        <w:rPr>
          <w:b/>
        </w:rPr>
        <w:t xml:space="preserve">národního spolufinancování, je nárok vyčíslen na </w:t>
      </w:r>
      <w:r w:rsidR="008253FA">
        <w:rPr>
          <w:b/>
        </w:rPr>
        <w:t>cca</w:t>
      </w:r>
      <w:r w:rsidR="00B71CC4">
        <w:rPr>
          <w:b/>
          <w:szCs w:val="20"/>
        </w:rPr>
        <w:t xml:space="preserve"> 238</w:t>
      </w:r>
      <w:r w:rsidR="00F60B05">
        <w:rPr>
          <w:b/>
          <w:szCs w:val="20"/>
        </w:rPr>
        <w:t xml:space="preserve"> </w:t>
      </w:r>
      <w:r w:rsidR="0083504C" w:rsidRPr="0083504C">
        <w:rPr>
          <w:b/>
          <w:szCs w:val="20"/>
        </w:rPr>
        <w:t>mil.</w:t>
      </w:r>
      <w:r w:rsidRPr="0083504C">
        <w:rPr>
          <w:b/>
          <w:szCs w:val="20"/>
        </w:rPr>
        <w:t xml:space="preserve"> Kč</w:t>
      </w:r>
      <w:r w:rsidR="0083504C">
        <w:rPr>
          <w:szCs w:val="20"/>
        </w:rPr>
        <w:t xml:space="preserve"> a zdrojem prostředků bude rozpočet Ministerstva pro místní rozvoj (MMR)</w:t>
      </w:r>
      <w:r w:rsidR="00597946">
        <w:rPr>
          <w:szCs w:val="20"/>
        </w:rPr>
        <w:t>, ČÚZK a ČTÚ.</w:t>
      </w:r>
      <w:r w:rsidR="0083504C">
        <w:rPr>
          <w:szCs w:val="20"/>
        </w:rPr>
        <w:t xml:space="preserve"> </w:t>
      </w:r>
    </w:p>
    <w:p w14:paraId="512EA613" w14:textId="77777777" w:rsidR="0083504C" w:rsidRDefault="0083504C" w:rsidP="00F90C15">
      <w:pPr>
        <w:rPr>
          <w:szCs w:val="20"/>
        </w:rPr>
      </w:pPr>
      <w:r>
        <w:rPr>
          <w:szCs w:val="20"/>
        </w:rPr>
        <w:t xml:space="preserve">Případné </w:t>
      </w:r>
      <w:r w:rsidRPr="00736D28">
        <w:rPr>
          <w:b/>
          <w:szCs w:val="20"/>
        </w:rPr>
        <w:t>nezpůsobilé výdaje projekt</w:t>
      </w:r>
      <w:r w:rsidR="00F61286">
        <w:rPr>
          <w:b/>
          <w:szCs w:val="20"/>
        </w:rPr>
        <w:t>ů</w:t>
      </w:r>
      <w:r>
        <w:rPr>
          <w:szCs w:val="20"/>
        </w:rPr>
        <w:t xml:space="preserve"> budou kryty z rozpočtu příslušného žadatele, tedy ČÚZK, MMR</w:t>
      </w:r>
      <w:r w:rsidR="00F60B05">
        <w:rPr>
          <w:szCs w:val="20"/>
        </w:rPr>
        <w:t xml:space="preserve"> </w:t>
      </w:r>
      <w:r w:rsidR="000F6FB1">
        <w:rPr>
          <w:szCs w:val="20"/>
        </w:rPr>
        <w:br/>
      </w:r>
      <w:r w:rsidR="00F60B05">
        <w:rPr>
          <w:szCs w:val="20"/>
        </w:rPr>
        <w:t>a ČTÚ</w:t>
      </w:r>
      <w:r>
        <w:rPr>
          <w:szCs w:val="20"/>
        </w:rPr>
        <w:t>.</w:t>
      </w:r>
    </w:p>
    <w:p w14:paraId="05A604B7" w14:textId="77777777" w:rsidR="00143BBC" w:rsidRDefault="00143BBC" w:rsidP="0019689E">
      <w:pPr>
        <w:rPr>
          <w:szCs w:val="20"/>
        </w:rPr>
      </w:pPr>
    </w:p>
    <w:p w14:paraId="4D0FA3D7" w14:textId="6CADCEB5" w:rsidR="00F90C15" w:rsidRDefault="00143BBC" w:rsidP="0019689E">
      <w:pPr>
        <w:rPr>
          <w:szCs w:val="20"/>
        </w:rPr>
      </w:pPr>
      <w:r w:rsidRPr="008253FA">
        <w:rPr>
          <w:b/>
          <w:szCs w:val="20"/>
        </w:rPr>
        <w:t>NÁKLADY NA PROVOZ</w:t>
      </w:r>
      <w:r w:rsidR="0083504C" w:rsidRPr="00F17F08">
        <w:rPr>
          <w:b/>
          <w:szCs w:val="20"/>
        </w:rPr>
        <w:t xml:space="preserve"> </w:t>
      </w:r>
      <w:r w:rsidRPr="008253FA">
        <w:rPr>
          <w:szCs w:val="20"/>
        </w:rPr>
        <w:t xml:space="preserve">vyplývající z </w:t>
      </w:r>
      <w:r w:rsidR="0083504C" w:rsidRPr="008253FA">
        <w:rPr>
          <w:szCs w:val="20"/>
        </w:rPr>
        <w:t xml:space="preserve">projektu </w:t>
      </w:r>
      <w:r w:rsidR="00D43B4F">
        <w:rPr>
          <w:szCs w:val="20"/>
        </w:rPr>
        <w:t xml:space="preserve">IS </w:t>
      </w:r>
      <w:r w:rsidR="00AD342F" w:rsidRPr="008253FA">
        <w:rPr>
          <w:szCs w:val="20"/>
        </w:rPr>
        <w:t>DMVS</w:t>
      </w:r>
      <w:r w:rsidR="00AD342F" w:rsidRPr="00F17F08">
        <w:rPr>
          <w:szCs w:val="20"/>
        </w:rPr>
        <w:t xml:space="preserve"> jsou odhadnuty na 33 mil</w:t>
      </w:r>
      <w:r w:rsidR="00E53400">
        <w:rPr>
          <w:szCs w:val="20"/>
        </w:rPr>
        <w:t>.</w:t>
      </w:r>
      <w:r w:rsidR="00AD342F" w:rsidRPr="00F17F08">
        <w:rPr>
          <w:szCs w:val="20"/>
        </w:rPr>
        <w:t xml:space="preserve"> Kč za rok, a tyto budou financovány z rozpočtové kapitoly ČÚZK. Náklady na provoz ostatních komponent DSŘ j</w:t>
      </w:r>
      <w:r w:rsidR="00342D60" w:rsidRPr="00F17F08">
        <w:rPr>
          <w:szCs w:val="20"/>
        </w:rPr>
        <w:t>sou</w:t>
      </w:r>
      <w:r w:rsidR="00AD342F" w:rsidRPr="00F17F08">
        <w:rPr>
          <w:szCs w:val="20"/>
        </w:rPr>
        <w:t xml:space="preserve"> odhadn</w:t>
      </w:r>
      <w:r w:rsidR="00342D60" w:rsidRPr="00F17F08">
        <w:rPr>
          <w:szCs w:val="20"/>
        </w:rPr>
        <w:t>uty</w:t>
      </w:r>
      <w:r w:rsidR="00AD342F" w:rsidRPr="00F17F08">
        <w:rPr>
          <w:szCs w:val="20"/>
        </w:rPr>
        <w:t xml:space="preserve"> na </w:t>
      </w:r>
      <w:r w:rsidR="000F6FB1">
        <w:rPr>
          <w:szCs w:val="20"/>
        </w:rPr>
        <w:br/>
      </w:r>
      <w:r w:rsidR="00AD342F" w:rsidRPr="00F17F08">
        <w:rPr>
          <w:szCs w:val="20"/>
        </w:rPr>
        <w:t>20</w:t>
      </w:r>
      <w:r w:rsidR="00342D60" w:rsidRPr="00F17F08">
        <w:rPr>
          <w:szCs w:val="20"/>
        </w:rPr>
        <w:t xml:space="preserve"> </w:t>
      </w:r>
      <w:r w:rsidR="00AD342F" w:rsidRPr="00F17F08">
        <w:rPr>
          <w:szCs w:val="20"/>
        </w:rPr>
        <w:t>% z investičních nákladů ročně</w:t>
      </w:r>
      <w:r w:rsidR="00342D60" w:rsidRPr="00F17F08">
        <w:rPr>
          <w:szCs w:val="20"/>
        </w:rPr>
        <w:t>,</w:t>
      </w:r>
      <w:r w:rsidR="00AD342F" w:rsidRPr="00F17F08">
        <w:rPr>
          <w:szCs w:val="20"/>
        </w:rPr>
        <w:t xml:space="preserve"> tedy na 198 mil Kč za rok, jež mají být financovány z rozpočtové kapitoly MMR. Tyto provozní náklady začnou nabíhat po uvedení informačních systémů do provozu od 1.</w:t>
      </w:r>
      <w:r w:rsidR="00F17F08">
        <w:rPr>
          <w:szCs w:val="20"/>
        </w:rPr>
        <w:t xml:space="preserve"> </w:t>
      </w:r>
      <w:r w:rsidR="00AD342F" w:rsidRPr="00F17F08">
        <w:rPr>
          <w:szCs w:val="20"/>
        </w:rPr>
        <w:t>7.</w:t>
      </w:r>
      <w:r w:rsidR="00F17F08">
        <w:rPr>
          <w:szCs w:val="20"/>
        </w:rPr>
        <w:t xml:space="preserve"> </w:t>
      </w:r>
      <w:r w:rsidR="00AD342F" w:rsidRPr="00F17F08">
        <w:rPr>
          <w:szCs w:val="20"/>
        </w:rPr>
        <w:t>2023.</w:t>
      </w:r>
      <w:r w:rsidR="00AD342F" w:rsidRPr="00F17F08" w:rsidDel="00AD342F">
        <w:rPr>
          <w:szCs w:val="20"/>
        </w:rPr>
        <w:t xml:space="preserve"> </w:t>
      </w:r>
      <w:r w:rsidR="00F61286">
        <w:rPr>
          <w:szCs w:val="20"/>
        </w:rPr>
        <w:t xml:space="preserve">Náklady na provoz </w:t>
      </w:r>
      <w:r w:rsidR="004D705D">
        <w:rPr>
          <w:szCs w:val="20"/>
        </w:rPr>
        <w:t xml:space="preserve">IS </w:t>
      </w:r>
      <w:r w:rsidR="00F61286">
        <w:rPr>
          <w:szCs w:val="20"/>
        </w:rPr>
        <w:t>Mapování VRI budou pokryty v rámci běžných provozních výdajů z rozpočtové kapitoly ČTÚ.</w:t>
      </w:r>
    </w:p>
    <w:p w14:paraId="56664A0F" w14:textId="77777777" w:rsidR="000F6FB1" w:rsidRDefault="000F6FB1" w:rsidP="0019689E">
      <w:pPr>
        <w:rPr>
          <w:szCs w:val="20"/>
        </w:rPr>
      </w:pPr>
    </w:p>
    <w:p w14:paraId="2D33F273" w14:textId="77777777" w:rsidR="00F60B05" w:rsidRPr="006262F6" w:rsidRDefault="00F60B05" w:rsidP="00F60B05">
      <w:pPr>
        <w:spacing w:line="276" w:lineRule="auto"/>
      </w:pPr>
      <w:r w:rsidRPr="00B71CC4">
        <w:t xml:space="preserve">V etapě </w:t>
      </w:r>
      <w:r w:rsidR="001334C7" w:rsidRPr="00B71CC4">
        <w:t>navazující na realizaci projektů</w:t>
      </w:r>
      <w:r w:rsidRPr="00B71CC4">
        <w:t xml:space="preserve"> DSŘ se </w:t>
      </w:r>
      <w:r w:rsidR="00364C55" w:rsidRPr="00B71CC4">
        <w:t xml:space="preserve">zvažují možnosti </w:t>
      </w:r>
      <w:r w:rsidRPr="00B71CC4">
        <w:t>spolufinancování z IROP2 v programovém období 2021</w:t>
      </w:r>
      <w:r w:rsidR="00364C55" w:rsidRPr="006262F6">
        <w:t>-2027</w:t>
      </w:r>
      <w:r w:rsidRPr="006262F6">
        <w:t xml:space="preserve"> </w:t>
      </w:r>
    </w:p>
    <w:p w14:paraId="3CE8E6D1" w14:textId="77777777" w:rsidR="00F60B05" w:rsidRPr="00B71CC4" w:rsidRDefault="00F60B05" w:rsidP="00F60B05">
      <w:pPr>
        <w:pStyle w:val="Odstavecseseznamem"/>
        <w:numPr>
          <w:ilvl w:val="0"/>
          <w:numId w:val="23"/>
        </w:numPr>
        <w:spacing w:line="276" w:lineRule="auto"/>
        <w:rPr>
          <w:rFonts w:ascii="Arial" w:hAnsi="Arial" w:cs="Arial"/>
        </w:rPr>
      </w:pPr>
      <w:r w:rsidRPr="00B71CC4">
        <w:rPr>
          <w:rFonts w:ascii="Arial" w:hAnsi="Arial" w:cs="Arial"/>
          <w:b/>
          <w:bCs/>
        </w:rPr>
        <w:t>doplnění potřebného materiálního vybavení stavebních úřadů a úřadů územního plánování</w:t>
      </w:r>
      <w:r w:rsidRPr="00B71CC4">
        <w:rPr>
          <w:rFonts w:ascii="Arial" w:hAnsi="Arial" w:cs="Arial"/>
        </w:rPr>
        <w:t xml:space="preserve"> ve variantě, kdy stavební úřady by byly ve stávajícím uspořádání</w:t>
      </w:r>
      <w:r w:rsidR="00685DF3">
        <w:rPr>
          <w:rFonts w:ascii="Arial" w:hAnsi="Arial" w:cs="Arial"/>
        </w:rPr>
        <w:t xml:space="preserve"> (tzn.</w:t>
      </w:r>
      <w:r w:rsidRPr="00B71CC4">
        <w:rPr>
          <w:rFonts w:ascii="Arial" w:hAnsi="Arial" w:cs="Arial"/>
        </w:rPr>
        <w:t xml:space="preserve"> jde o cca 6</w:t>
      </w:r>
      <w:r w:rsidR="00D8736A">
        <w:rPr>
          <w:rFonts w:ascii="Arial" w:hAnsi="Arial" w:cs="Arial"/>
        </w:rPr>
        <w:t>,</w:t>
      </w:r>
      <w:r w:rsidRPr="00B71CC4">
        <w:rPr>
          <w:rFonts w:ascii="Arial" w:hAnsi="Arial" w:cs="Arial"/>
        </w:rPr>
        <w:t>5</w:t>
      </w:r>
      <w:r w:rsidR="00D8736A">
        <w:rPr>
          <w:rFonts w:ascii="Arial" w:hAnsi="Arial" w:cs="Arial"/>
        </w:rPr>
        <w:t xml:space="preserve"> tis.</w:t>
      </w:r>
      <w:r w:rsidRPr="00B71CC4">
        <w:rPr>
          <w:rFonts w:ascii="Arial" w:hAnsi="Arial" w:cs="Arial"/>
        </w:rPr>
        <w:t xml:space="preserve"> úředníků</w:t>
      </w:r>
      <w:r w:rsidR="00D8736A">
        <w:rPr>
          <w:rFonts w:ascii="Arial" w:hAnsi="Arial" w:cs="Arial"/>
        </w:rPr>
        <w:t>)</w:t>
      </w:r>
      <w:r w:rsidRPr="00B71CC4">
        <w:rPr>
          <w:rFonts w:ascii="Arial" w:hAnsi="Arial" w:cs="Arial"/>
        </w:rPr>
        <w:t>. Ve variantě, kdy by NSÚ zahrnoval také úředníky dotčených orgánů státní správy (životní prostředí, památková péče, vodní hospodářství atd.), odhad počtu úředníků není k dispozici, ale lze předpokládat celkový počet úředníků NSÚ ve výši cca 20</w:t>
      </w:r>
      <w:r w:rsidR="008D6D72">
        <w:rPr>
          <w:rFonts w:ascii="Arial" w:hAnsi="Arial" w:cs="Arial"/>
        </w:rPr>
        <w:t xml:space="preserve"> </w:t>
      </w:r>
      <w:r w:rsidR="00D8736A">
        <w:rPr>
          <w:rFonts w:ascii="Arial" w:hAnsi="Arial" w:cs="Arial"/>
        </w:rPr>
        <w:t>tis</w:t>
      </w:r>
      <w:r w:rsidRPr="00B71CC4">
        <w:rPr>
          <w:rFonts w:ascii="Arial" w:hAnsi="Arial" w:cs="Arial"/>
        </w:rPr>
        <w:t>. Při průměrném nákladu odpovídajícího vybavení na jednoho úředníka 50 </w:t>
      </w:r>
      <w:r w:rsidR="00D8736A">
        <w:rPr>
          <w:rFonts w:ascii="Arial" w:hAnsi="Arial" w:cs="Arial"/>
        </w:rPr>
        <w:t>tis.</w:t>
      </w:r>
      <w:r w:rsidRPr="00B71CC4">
        <w:rPr>
          <w:rFonts w:ascii="Arial" w:hAnsi="Arial" w:cs="Arial"/>
        </w:rPr>
        <w:t> Kč, se celkový náklad na materiální vybavení pohybuje od 325 mil</w:t>
      </w:r>
      <w:r w:rsidR="00B71CC4">
        <w:rPr>
          <w:rFonts w:ascii="Arial" w:hAnsi="Arial" w:cs="Arial"/>
        </w:rPr>
        <w:t>.</w:t>
      </w:r>
      <w:r w:rsidRPr="00B71CC4">
        <w:rPr>
          <w:rFonts w:ascii="Arial" w:hAnsi="Arial" w:cs="Arial"/>
        </w:rPr>
        <w:t xml:space="preserve"> do 1</w:t>
      </w:r>
      <w:r w:rsidR="00D8736A">
        <w:rPr>
          <w:rFonts w:ascii="Arial" w:hAnsi="Arial" w:cs="Arial"/>
        </w:rPr>
        <w:t xml:space="preserve"> 000</w:t>
      </w:r>
      <w:r w:rsidRPr="00B71CC4">
        <w:rPr>
          <w:rFonts w:ascii="Arial" w:hAnsi="Arial" w:cs="Arial"/>
        </w:rPr>
        <w:t xml:space="preserve"> m</w:t>
      </w:r>
      <w:r w:rsidR="00D8736A">
        <w:rPr>
          <w:rFonts w:ascii="Arial" w:hAnsi="Arial" w:cs="Arial"/>
        </w:rPr>
        <w:t>il</w:t>
      </w:r>
      <w:r w:rsidRPr="00B71CC4">
        <w:rPr>
          <w:rFonts w:ascii="Arial" w:hAnsi="Arial" w:cs="Arial"/>
        </w:rPr>
        <w:t>. Kč.</w:t>
      </w:r>
    </w:p>
    <w:p w14:paraId="4DEBACE0" w14:textId="3DF0036D" w:rsidR="00F60B05" w:rsidRPr="00B71CC4" w:rsidRDefault="001D55CB" w:rsidP="00F60B05">
      <w:pPr>
        <w:pStyle w:val="Odstavecseseznamem"/>
        <w:numPr>
          <w:ilvl w:val="0"/>
          <w:numId w:val="23"/>
        </w:numPr>
        <w:spacing w:line="276" w:lineRule="auto"/>
        <w:rPr>
          <w:rFonts w:ascii="Arial" w:hAnsi="Arial" w:cs="Arial"/>
        </w:rPr>
      </w:pPr>
      <w:r>
        <w:rPr>
          <w:rFonts w:ascii="Arial" w:hAnsi="Arial" w:cs="Arial"/>
          <w:b/>
        </w:rPr>
        <w:t>standardizace</w:t>
      </w:r>
      <w:r w:rsidRPr="00B71CC4">
        <w:rPr>
          <w:rFonts w:ascii="Arial" w:hAnsi="Arial" w:cs="Arial"/>
          <w:b/>
        </w:rPr>
        <w:t xml:space="preserve"> </w:t>
      </w:r>
      <w:r w:rsidR="00F60B05" w:rsidRPr="00B71CC4">
        <w:rPr>
          <w:rFonts w:ascii="Arial" w:hAnsi="Arial" w:cs="Arial"/>
          <w:b/>
        </w:rPr>
        <w:t>územních plánů podle jednotné metodiky</w:t>
      </w:r>
      <w:r w:rsidR="00D8736A">
        <w:rPr>
          <w:rFonts w:ascii="Arial" w:hAnsi="Arial" w:cs="Arial"/>
        </w:rPr>
        <w:t xml:space="preserve">, kde </w:t>
      </w:r>
      <w:r w:rsidR="00F60B05" w:rsidRPr="00B71CC4">
        <w:rPr>
          <w:rFonts w:ascii="Arial" w:hAnsi="Arial" w:cs="Arial"/>
        </w:rPr>
        <w:t>hrubý odhad celkových nákladů činí 600 mil</w:t>
      </w:r>
      <w:r w:rsidR="00B71CC4">
        <w:rPr>
          <w:rFonts w:ascii="Arial" w:hAnsi="Arial" w:cs="Arial"/>
        </w:rPr>
        <w:t>.</w:t>
      </w:r>
      <w:r w:rsidR="00F60B05" w:rsidRPr="00B71CC4">
        <w:rPr>
          <w:rFonts w:ascii="Arial" w:hAnsi="Arial" w:cs="Arial"/>
        </w:rPr>
        <w:t xml:space="preserve"> Kč.</w:t>
      </w:r>
    </w:p>
    <w:p w14:paraId="6553FC1E" w14:textId="77777777" w:rsidR="00F60B05" w:rsidRDefault="00F60B05" w:rsidP="0019689E"/>
    <w:p w14:paraId="61FBF692" w14:textId="77777777" w:rsidR="00246153" w:rsidRDefault="00C2232E" w:rsidP="00C2232E">
      <w:pPr>
        <w:pStyle w:val="Nadpis2"/>
      </w:pPr>
      <w:r>
        <w:t xml:space="preserve">Připravenost </w:t>
      </w:r>
      <w:r w:rsidR="001334C7">
        <w:t xml:space="preserve">projektů </w:t>
      </w:r>
      <w:r w:rsidR="00514CC9">
        <w:t xml:space="preserve">a harmonogram </w:t>
      </w:r>
      <w:r w:rsidR="00200218">
        <w:t>je</w:t>
      </w:r>
      <w:r w:rsidR="001334C7">
        <w:t>jic</w:t>
      </w:r>
      <w:r w:rsidR="00200218">
        <w:t xml:space="preserve">h </w:t>
      </w:r>
      <w:r w:rsidR="00514CC9">
        <w:t>realizace</w:t>
      </w:r>
    </w:p>
    <w:p w14:paraId="1A2F198E" w14:textId="77777777" w:rsidR="00514CC9" w:rsidRDefault="00514CC9" w:rsidP="00514CC9"/>
    <w:p w14:paraId="1BF42040" w14:textId="4B262EEF" w:rsidR="00200218" w:rsidRDefault="00200218" w:rsidP="00514CC9">
      <w:r>
        <w:t xml:space="preserve">Jak je podrobněji uvedeno v kap. 2.3, </w:t>
      </w:r>
      <w:r w:rsidR="00143BBC">
        <w:t xml:space="preserve">záměr </w:t>
      </w:r>
      <w:r>
        <w:t>DSŘ sestává z několika dílčích projektů</w:t>
      </w:r>
      <w:r w:rsidR="00D34EE8">
        <w:t xml:space="preserve"> (projekt </w:t>
      </w:r>
      <w:r w:rsidR="00D43B4F">
        <w:t xml:space="preserve">IS </w:t>
      </w:r>
      <w:r w:rsidR="00D34EE8">
        <w:t xml:space="preserve">DMVS </w:t>
      </w:r>
      <w:r w:rsidR="008253FA">
        <w:br/>
      </w:r>
      <w:r w:rsidR="00D34EE8">
        <w:t>a samostatné projekty pro ostatní komponenty DSŘ)</w:t>
      </w:r>
      <w:r>
        <w:t xml:space="preserve">. </w:t>
      </w:r>
      <w:r w:rsidR="00D34EE8">
        <w:t xml:space="preserve">Komplementární </w:t>
      </w:r>
      <w:r>
        <w:t>projek</w:t>
      </w:r>
      <w:r w:rsidR="00AD1047">
        <w:t>t</w:t>
      </w:r>
      <w:r w:rsidR="001334C7">
        <w:t>y</w:t>
      </w:r>
      <w:r w:rsidR="00AD1047">
        <w:t xml:space="preserve"> DTM </w:t>
      </w:r>
      <w:r>
        <w:t>bud</w:t>
      </w:r>
      <w:r w:rsidR="001334C7">
        <w:t>ou</w:t>
      </w:r>
      <w:r>
        <w:t xml:space="preserve"> realizován</w:t>
      </w:r>
      <w:r w:rsidR="001334C7">
        <w:t>y</w:t>
      </w:r>
      <w:r>
        <w:t xml:space="preserve"> v návaznosti na výzvu OP PIK</w:t>
      </w:r>
      <w:r w:rsidR="00D8736A">
        <w:t>, kterou ŘO OP PIK plánuje</w:t>
      </w:r>
      <w:r>
        <w:t xml:space="preserve"> zveřejn</w:t>
      </w:r>
      <w:r w:rsidR="00D8736A">
        <w:t>it</w:t>
      </w:r>
      <w:r>
        <w:t xml:space="preserve"> v listopadu 2019. </w:t>
      </w:r>
      <w:r w:rsidR="00777417">
        <w:t xml:space="preserve">Komplementární projekt </w:t>
      </w:r>
      <w:r w:rsidR="004D705D">
        <w:t xml:space="preserve">IS </w:t>
      </w:r>
      <w:r w:rsidR="00777417">
        <w:t>Mapování VRI bude realizován paralelně s realizací projektů DSŘ.</w:t>
      </w:r>
    </w:p>
    <w:p w14:paraId="7F85EB8C" w14:textId="2D54C5D9" w:rsidR="0083504C" w:rsidRDefault="00200218" w:rsidP="00514CC9">
      <w:r>
        <w:t>K</w:t>
      </w:r>
      <w:r w:rsidR="00D43B4F">
        <w:t> </w:t>
      </w:r>
      <w:r>
        <w:t>projektům</w:t>
      </w:r>
      <w:r w:rsidR="00D43B4F">
        <w:t xml:space="preserve"> IS</w:t>
      </w:r>
      <w:r>
        <w:t xml:space="preserve"> DMVS a </w:t>
      </w:r>
      <w:r w:rsidR="009616CE">
        <w:t xml:space="preserve">pro </w:t>
      </w:r>
      <w:r>
        <w:t xml:space="preserve">„ostatní“ komponenty DSŘ </w:t>
      </w:r>
      <w:r w:rsidR="00B24852">
        <w:t xml:space="preserve">byla rozpracována koncepce řešení a v současné době </w:t>
      </w:r>
      <w:r w:rsidR="00B24852" w:rsidRPr="00C87255">
        <w:rPr>
          <w:b/>
        </w:rPr>
        <w:t>probíhá výběr dodavatele na zpracování studie proveditelnosti</w:t>
      </w:r>
      <w:r w:rsidR="00B24852">
        <w:t>, která by měla být dokončena do konce října 2019. Studie proveditelnosti přinese podrobné informace potřebné pro kvalitní zpracování zadávací dokumentace, vč. zpřesnění finančních nákladů projektu. Následně bude zpracována zadávací dokumentace pro informační systémy tak, aby byla k dispozici v době vypsání výzvy na předložení projekt</w:t>
      </w:r>
      <w:r w:rsidR="00777417">
        <w:t>ů</w:t>
      </w:r>
      <w:r w:rsidR="00B24852">
        <w:t xml:space="preserve"> DSŘ řídicím orgánem IROP, tj. v předpokládaném</w:t>
      </w:r>
      <w:r w:rsidR="00EE61E6">
        <w:t xml:space="preserve"> termínu </w:t>
      </w:r>
      <w:r w:rsidR="00901506">
        <w:t xml:space="preserve">nejpozději </w:t>
      </w:r>
      <w:r w:rsidR="00901506" w:rsidRPr="002A6829">
        <w:t>v červen</w:t>
      </w:r>
      <w:r w:rsidR="008914C2" w:rsidRPr="002A6829">
        <w:t>c</w:t>
      </w:r>
      <w:r w:rsidR="00901506" w:rsidRPr="002A6829">
        <w:t>i</w:t>
      </w:r>
      <w:r w:rsidR="008914C2" w:rsidRPr="002A6829">
        <w:t xml:space="preserve"> </w:t>
      </w:r>
      <w:r w:rsidR="00B24852" w:rsidRPr="002A6829">
        <w:t>2020.</w:t>
      </w:r>
      <w:r w:rsidR="001921CA" w:rsidRPr="002A6829">
        <w:t xml:space="preserve"> </w:t>
      </w:r>
      <w:r w:rsidR="001921CA" w:rsidRPr="002A6829">
        <w:rPr>
          <w:b/>
        </w:rPr>
        <w:t>Předpokládané</w:t>
      </w:r>
      <w:r w:rsidR="001921CA" w:rsidRPr="008253FA">
        <w:rPr>
          <w:b/>
        </w:rPr>
        <w:t xml:space="preserve"> ukončení projekt</w:t>
      </w:r>
      <w:r w:rsidR="00777417" w:rsidRPr="008253FA">
        <w:rPr>
          <w:b/>
        </w:rPr>
        <w:t>ů</w:t>
      </w:r>
      <w:r w:rsidR="001921CA" w:rsidRPr="008253FA">
        <w:rPr>
          <w:b/>
        </w:rPr>
        <w:t xml:space="preserve"> DSŘ je stanoveno na </w:t>
      </w:r>
      <w:r w:rsidR="00766460" w:rsidRPr="008253FA">
        <w:rPr>
          <w:b/>
        </w:rPr>
        <w:t xml:space="preserve">červen </w:t>
      </w:r>
      <w:r w:rsidR="001921CA" w:rsidRPr="008253FA">
        <w:rPr>
          <w:b/>
        </w:rPr>
        <w:t>202</w:t>
      </w:r>
      <w:r w:rsidR="00766460" w:rsidRPr="008253FA">
        <w:rPr>
          <w:b/>
        </w:rPr>
        <w:t>3</w:t>
      </w:r>
      <w:r w:rsidR="001921CA" w:rsidRPr="008253FA">
        <w:t>.</w:t>
      </w:r>
      <w:r w:rsidR="00B24852">
        <w:t xml:space="preserve"> </w:t>
      </w:r>
      <w:r>
        <w:t xml:space="preserve">   </w:t>
      </w:r>
    </w:p>
    <w:p w14:paraId="4FAA51D2" w14:textId="77777777" w:rsidR="00766460" w:rsidRPr="00766460" w:rsidRDefault="00C87255" w:rsidP="00766460">
      <w:pPr>
        <w:spacing w:after="0" w:line="240" w:lineRule="auto"/>
        <w:rPr>
          <w:szCs w:val="20"/>
        </w:rPr>
      </w:pPr>
      <w:r>
        <w:t>Nedílnou součástí řízení projektu je</w:t>
      </w:r>
      <w:r w:rsidR="008527D6">
        <w:t xml:space="preserve"> i</w:t>
      </w:r>
      <w:r>
        <w:t xml:space="preserve"> identifikace a</w:t>
      </w:r>
      <w:r w:rsidR="008527D6">
        <w:t xml:space="preserve"> řízení jeho rizik. Mezi nejvýznamnější </w:t>
      </w:r>
      <w:r w:rsidR="008527D6" w:rsidRPr="00C87255">
        <w:rPr>
          <w:b/>
        </w:rPr>
        <w:t>rizika</w:t>
      </w:r>
      <w:r w:rsidR="008527D6">
        <w:t>, která jsou s </w:t>
      </w:r>
      <w:r w:rsidR="00777417">
        <w:t xml:space="preserve">projekty </w:t>
      </w:r>
      <w:r w:rsidR="008527D6">
        <w:t xml:space="preserve">DSŘ identifikována, patří </w:t>
      </w:r>
      <w:r w:rsidR="001921CA">
        <w:t>technická rizika spojená především s realizací výběrového řízení na dodavatele</w:t>
      </w:r>
      <w:r>
        <w:t xml:space="preserve"> (kvalita zadávací dokumentace, správnost, kvalita vybraného dodavatele) a samotnou realizací veřejné zakázky (správnost, dodržení termínů realizace). Mezi významná rizika patří i rizika finanční (nutnost zajištění prostředků na předfinancování </w:t>
      </w:r>
      <w:r w:rsidR="006239CC">
        <w:t xml:space="preserve">projektů </w:t>
      </w:r>
      <w:r>
        <w:t>a v průběhu je</w:t>
      </w:r>
      <w:r w:rsidR="006239CC">
        <w:t>jic</w:t>
      </w:r>
      <w:r>
        <w:t xml:space="preserve">h realizace) a časová (posun v harmonogramu projektu v různých fázích). </w:t>
      </w:r>
      <w:r w:rsidR="00766460" w:rsidRPr="00C5006A">
        <w:rPr>
          <w:szCs w:val="20"/>
        </w:rPr>
        <w:t>OP PIK připravuje na listopad 2019 výzvu v objemu 2 mld. Kč</w:t>
      </w:r>
      <w:r w:rsidR="008D6D72">
        <w:rPr>
          <w:szCs w:val="20"/>
        </w:rPr>
        <w:t xml:space="preserve"> </w:t>
      </w:r>
      <w:r w:rsidR="008D6D72">
        <w:rPr>
          <w:szCs w:val="20"/>
        </w:rPr>
        <w:lastRenderedPageBreak/>
        <w:t>(příspěvek EU)</w:t>
      </w:r>
      <w:r w:rsidR="00766460" w:rsidRPr="00C5006A">
        <w:rPr>
          <w:szCs w:val="20"/>
        </w:rPr>
        <w:t xml:space="preserve"> na financování projektu DTM, </w:t>
      </w:r>
      <w:r w:rsidR="00766460">
        <w:rPr>
          <w:b/>
          <w:szCs w:val="20"/>
        </w:rPr>
        <w:t>nutně ale potřebuje, aby byla co nejrychleji přijata novela zeměměřičského zákona</w:t>
      </w:r>
      <w:r w:rsidR="00766460">
        <w:rPr>
          <w:szCs w:val="20"/>
        </w:rPr>
        <w:t>. Bez této legislativy, upřesňující požadavky, není možné projekty DTM realizovat.</w:t>
      </w:r>
    </w:p>
    <w:p w14:paraId="5411B7C9" w14:textId="77777777" w:rsidR="00766460" w:rsidRPr="009241D4" w:rsidRDefault="00766460" w:rsidP="00766460">
      <w:pPr>
        <w:spacing w:after="0" w:line="240" w:lineRule="auto"/>
        <w:rPr>
          <w:szCs w:val="20"/>
        </w:rPr>
      </w:pPr>
    </w:p>
    <w:p w14:paraId="46C47355" w14:textId="77777777" w:rsidR="007236AF" w:rsidRDefault="007236AF" w:rsidP="00C87255">
      <w:r>
        <w:t xml:space="preserve">Věcný návrh realokace byl neformálně představen EK, nelze však předjímat, zda bude v této podobě schválen. </w:t>
      </w:r>
    </w:p>
    <w:p w14:paraId="7989717F" w14:textId="77777777" w:rsidR="00D8736A" w:rsidRPr="00C87255" w:rsidRDefault="00D8736A" w:rsidP="00C87255"/>
    <w:p w14:paraId="28D40B60" w14:textId="77777777" w:rsidR="00D4262C" w:rsidRDefault="00663821" w:rsidP="00D4262C">
      <w:pPr>
        <w:pStyle w:val="Nadpis1"/>
      </w:pPr>
      <w:r>
        <w:t>Návrh realokace ESIF z OP PIK do IROP</w:t>
      </w:r>
    </w:p>
    <w:p w14:paraId="69C52DA0" w14:textId="5052E3F1" w:rsidR="00725448" w:rsidRPr="00C77842" w:rsidRDefault="00725448" w:rsidP="00725448">
      <w:pPr>
        <w:rPr>
          <w:szCs w:val="20"/>
          <w:lang w:eastAsia="x-none"/>
        </w:rPr>
      </w:pPr>
      <w:r w:rsidRPr="00C77842">
        <w:rPr>
          <w:szCs w:val="20"/>
          <w:lang w:eastAsia="x-none"/>
        </w:rPr>
        <w:t>Jak vyplývá z popisu projekt</w:t>
      </w:r>
      <w:r w:rsidR="00777417">
        <w:rPr>
          <w:szCs w:val="20"/>
          <w:lang w:eastAsia="x-none"/>
        </w:rPr>
        <w:t>ů</w:t>
      </w:r>
      <w:r w:rsidRPr="00C77842">
        <w:rPr>
          <w:szCs w:val="20"/>
          <w:lang w:eastAsia="x-none"/>
        </w:rPr>
        <w:t xml:space="preserve"> DSŘ, </w:t>
      </w:r>
      <w:r w:rsidR="00777417" w:rsidRPr="00C77842">
        <w:rPr>
          <w:szCs w:val="20"/>
          <w:lang w:eastAsia="x-none"/>
        </w:rPr>
        <w:t>je</w:t>
      </w:r>
      <w:r w:rsidR="00777417">
        <w:rPr>
          <w:szCs w:val="20"/>
          <w:lang w:eastAsia="x-none"/>
        </w:rPr>
        <w:t>jich</w:t>
      </w:r>
      <w:r w:rsidR="00777417" w:rsidRPr="00C77842">
        <w:rPr>
          <w:szCs w:val="20"/>
          <w:lang w:eastAsia="x-none"/>
        </w:rPr>
        <w:t xml:space="preserve"> </w:t>
      </w:r>
      <w:r w:rsidRPr="00C77842">
        <w:rPr>
          <w:szCs w:val="20"/>
          <w:lang w:eastAsia="x-none"/>
        </w:rPr>
        <w:t xml:space="preserve">součástí je vytvoření několika centrálních informačních systémů veřejné správy. Projekt </w:t>
      </w:r>
      <w:r w:rsidRPr="00A10F83">
        <w:rPr>
          <w:b/>
          <w:szCs w:val="20"/>
          <w:lang w:eastAsia="x-none"/>
        </w:rPr>
        <w:t xml:space="preserve">je tak v souladu s věcným zaměřením IROP, kde ve specifickém cíli </w:t>
      </w:r>
      <w:r w:rsidR="001E6DEF">
        <w:rPr>
          <w:b/>
          <w:szCs w:val="20"/>
          <w:lang w:eastAsia="x-none"/>
        </w:rPr>
        <w:br/>
      </w:r>
      <w:r w:rsidRPr="00A10F83">
        <w:rPr>
          <w:b/>
          <w:szCs w:val="20"/>
          <w:lang w:eastAsia="x-none"/>
        </w:rPr>
        <w:t xml:space="preserve">3.2 </w:t>
      </w:r>
      <w:r w:rsidR="0080055F" w:rsidRPr="00A10F83">
        <w:rPr>
          <w:b/>
          <w:szCs w:val="20"/>
          <w:lang w:eastAsia="x-none"/>
        </w:rPr>
        <w:t xml:space="preserve">– </w:t>
      </w:r>
      <w:r w:rsidR="0080055F" w:rsidRPr="00A10F83">
        <w:rPr>
          <w:b/>
          <w:i/>
          <w:szCs w:val="20"/>
          <w:lang w:eastAsia="x-none"/>
        </w:rPr>
        <w:t>Zvyšování efektivity a transparentnosti veřejné správy prostřednictvím rozvoje využití a kvality systémů IKT</w:t>
      </w:r>
      <w:r w:rsidRPr="00A10F83">
        <w:rPr>
          <w:b/>
          <w:szCs w:val="20"/>
          <w:lang w:eastAsia="x-none"/>
        </w:rPr>
        <w:t xml:space="preserve">, je mezi podporovanými aktivitami uvedena podpora informačních systémů veřejné správy. V tomto specifickém cíli již v současné době nejsou </w:t>
      </w:r>
      <w:r w:rsidR="006C4242" w:rsidRPr="00A10F83">
        <w:rPr>
          <w:b/>
          <w:szCs w:val="20"/>
          <w:lang w:eastAsia="x-none"/>
        </w:rPr>
        <w:t>žádné volné finanční prostředky</w:t>
      </w:r>
      <w:r w:rsidR="006C4242" w:rsidRPr="00C77842">
        <w:rPr>
          <w:szCs w:val="20"/>
          <w:lang w:eastAsia="x-none"/>
        </w:rPr>
        <w:t xml:space="preserve">, které by řídicí orgán mohl použít na vyhlášení výzvy pro předložení </w:t>
      </w:r>
      <w:r w:rsidR="00777417" w:rsidRPr="00C77842">
        <w:rPr>
          <w:szCs w:val="20"/>
          <w:lang w:eastAsia="x-none"/>
        </w:rPr>
        <w:t>projekt</w:t>
      </w:r>
      <w:r w:rsidR="00777417">
        <w:rPr>
          <w:szCs w:val="20"/>
          <w:lang w:eastAsia="x-none"/>
        </w:rPr>
        <w:t>ů</w:t>
      </w:r>
      <w:r w:rsidR="006C4242" w:rsidRPr="00C77842">
        <w:rPr>
          <w:szCs w:val="20"/>
          <w:lang w:eastAsia="x-none"/>
        </w:rPr>
        <w:t>. Je tedy nutné potřebnou částku do IROP převést z jiného programu.</w:t>
      </w:r>
      <w:r w:rsidRPr="00C77842">
        <w:rPr>
          <w:szCs w:val="20"/>
          <w:lang w:eastAsia="x-none"/>
        </w:rPr>
        <w:t xml:space="preserve"> </w:t>
      </w:r>
    </w:p>
    <w:p w14:paraId="4C744577" w14:textId="56CB863B" w:rsidR="002A7836" w:rsidRDefault="0080055F" w:rsidP="0080055F">
      <w:pPr>
        <w:rPr>
          <w:bCs/>
          <w:lang w:eastAsia="x-none"/>
        </w:rPr>
      </w:pPr>
      <w:r w:rsidRPr="00A10F83">
        <w:rPr>
          <w:b/>
          <w:lang w:eastAsia="x-none"/>
        </w:rPr>
        <w:t>Jako vhodný zdroj pro realokaci potřebných prostředků byl identifikován OP PIK, konkrétně specifický cíl 4.1</w:t>
      </w:r>
      <w:r w:rsidRPr="00A10F83">
        <w:rPr>
          <w:b/>
          <w:color w:val="1F497D"/>
        </w:rPr>
        <w:t xml:space="preserve"> - </w:t>
      </w:r>
      <w:r w:rsidRPr="00A10F83">
        <w:rPr>
          <w:b/>
          <w:i/>
        </w:rPr>
        <w:t>Zvětšit pokrytí vysokorychlostním přístupem k internetu</w:t>
      </w:r>
      <w:r w:rsidRPr="0080055F">
        <w:t xml:space="preserve">. Na tento specifický cíl je </w:t>
      </w:r>
      <w:r w:rsidR="00384126">
        <w:rPr>
          <w:b/>
          <w:bCs/>
          <w:lang w:eastAsia="x-none"/>
        </w:rPr>
        <w:t>alokováno</w:t>
      </w:r>
      <w:r w:rsidR="00B970FB">
        <w:rPr>
          <w:b/>
          <w:bCs/>
          <w:lang w:eastAsia="x-none"/>
        </w:rPr>
        <w:t xml:space="preserve"> </w:t>
      </w:r>
      <w:r w:rsidR="005828AE">
        <w:rPr>
          <w:b/>
          <w:bCs/>
          <w:lang w:eastAsia="x-none"/>
        </w:rPr>
        <w:t>264</w:t>
      </w:r>
      <w:r w:rsidR="00EB548A">
        <w:rPr>
          <w:b/>
          <w:bCs/>
          <w:lang w:eastAsia="x-none"/>
        </w:rPr>
        <w:t>,3</w:t>
      </w:r>
      <w:r w:rsidR="005828AE">
        <w:rPr>
          <w:b/>
          <w:bCs/>
          <w:lang w:eastAsia="x-none"/>
        </w:rPr>
        <w:t xml:space="preserve"> mil. EUR, tj. </w:t>
      </w:r>
      <w:r w:rsidR="00384126">
        <w:rPr>
          <w:b/>
          <w:bCs/>
          <w:lang w:eastAsia="x-none"/>
        </w:rPr>
        <w:t>6</w:t>
      </w:r>
      <w:r w:rsidR="009C585C">
        <w:rPr>
          <w:b/>
          <w:bCs/>
          <w:lang w:eastAsia="x-none"/>
        </w:rPr>
        <w:t> </w:t>
      </w:r>
      <w:r w:rsidRPr="0080055F">
        <w:rPr>
          <w:b/>
          <w:bCs/>
          <w:lang w:eastAsia="x-none"/>
        </w:rPr>
        <w:t>831</w:t>
      </w:r>
      <w:r w:rsidR="009C585C">
        <w:rPr>
          <w:b/>
          <w:bCs/>
          <w:lang w:eastAsia="x-none"/>
        </w:rPr>
        <w:t>,4</w:t>
      </w:r>
      <w:r w:rsidRPr="0080055F">
        <w:rPr>
          <w:b/>
          <w:bCs/>
          <w:lang w:eastAsia="x-none"/>
        </w:rPr>
        <w:t xml:space="preserve"> mil. Kč</w:t>
      </w:r>
      <w:r w:rsidR="005828AE">
        <w:rPr>
          <w:rStyle w:val="Znakapoznpodarou"/>
          <w:b/>
          <w:bCs/>
        </w:rPr>
        <w:footnoteReference w:id="4"/>
      </w:r>
      <w:r w:rsidRPr="0080055F">
        <w:rPr>
          <w:bCs/>
          <w:lang w:eastAsia="x-none"/>
        </w:rPr>
        <w:t xml:space="preserve"> (příspěvek EU, bez výkonnostní rezervy). </w:t>
      </w:r>
    </w:p>
    <w:p w14:paraId="2399C71D" w14:textId="77777777" w:rsidR="002A7836" w:rsidRDefault="0080055F" w:rsidP="0080055F">
      <w:pPr>
        <w:rPr>
          <w:bCs/>
          <w:lang w:eastAsia="x-none"/>
        </w:rPr>
      </w:pPr>
      <w:r w:rsidRPr="0080055F">
        <w:rPr>
          <w:lang w:eastAsia="x-none"/>
        </w:rPr>
        <w:t>Do 8. 7. 20</w:t>
      </w:r>
      <w:r>
        <w:rPr>
          <w:lang w:eastAsia="x-none"/>
        </w:rPr>
        <w:t xml:space="preserve">19 byla </w:t>
      </w:r>
      <w:r w:rsidR="00E20EF9">
        <w:rPr>
          <w:lang w:eastAsia="x-none"/>
        </w:rPr>
        <w:t xml:space="preserve">v tomto specifickém cíli </w:t>
      </w:r>
      <w:r>
        <w:rPr>
          <w:lang w:eastAsia="x-none"/>
        </w:rPr>
        <w:t xml:space="preserve">otevřena </w:t>
      </w:r>
      <w:r w:rsidR="00777417">
        <w:rPr>
          <w:lang w:eastAsia="x-none"/>
        </w:rPr>
        <w:t xml:space="preserve">2. </w:t>
      </w:r>
      <w:r>
        <w:rPr>
          <w:lang w:eastAsia="x-none"/>
        </w:rPr>
        <w:t>výzva s alokací</w:t>
      </w:r>
      <w:r w:rsidR="00412C4A">
        <w:rPr>
          <w:lang w:eastAsia="x-none"/>
        </w:rPr>
        <w:t xml:space="preserve"> 1 000 mil.</w:t>
      </w:r>
      <w:r w:rsidRPr="0080055F">
        <w:rPr>
          <w:lang w:eastAsia="x-none"/>
        </w:rPr>
        <w:t xml:space="preserve"> Kč</w:t>
      </w:r>
      <w:r w:rsidR="008D6D72">
        <w:rPr>
          <w:lang w:eastAsia="x-none"/>
        </w:rPr>
        <w:t xml:space="preserve"> (příspěvek EU)</w:t>
      </w:r>
      <w:r w:rsidRPr="0080055F">
        <w:rPr>
          <w:lang w:eastAsia="x-none"/>
        </w:rPr>
        <w:t xml:space="preserve"> zaměřená na projekty </w:t>
      </w:r>
      <w:r w:rsidRPr="0080055F">
        <w:rPr>
          <w:bCs/>
        </w:rPr>
        <w:t>rozšíření moderní infrastruktury umožňující spolehlivě poskytovat vysokorychlostní služby elektronick</w:t>
      </w:r>
      <w:r>
        <w:rPr>
          <w:bCs/>
        </w:rPr>
        <w:t xml:space="preserve">ých komunikací. Do </w:t>
      </w:r>
      <w:r w:rsidR="00777417">
        <w:rPr>
          <w:bCs/>
        </w:rPr>
        <w:t xml:space="preserve">2. </w:t>
      </w:r>
      <w:r>
        <w:rPr>
          <w:bCs/>
        </w:rPr>
        <w:t>výzvy se</w:t>
      </w:r>
      <w:r w:rsidRPr="0080055F">
        <w:rPr>
          <w:bCs/>
        </w:rPr>
        <w:t xml:space="preserve"> přihlá</w:t>
      </w:r>
      <w:r w:rsidR="00384126">
        <w:rPr>
          <w:bCs/>
        </w:rPr>
        <w:t>s</w:t>
      </w:r>
      <w:r>
        <w:rPr>
          <w:bCs/>
        </w:rPr>
        <w:t>ilo</w:t>
      </w:r>
      <w:r w:rsidR="00412C4A">
        <w:rPr>
          <w:bCs/>
        </w:rPr>
        <w:t xml:space="preserve"> (k 9</w:t>
      </w:r>
      <w:r w:rsidRPr="0080055F">
        <w:rPr>
          <w:bCs/>
        </w:rPr>
        <w:t xml:space="preserve">. 7. 2019) </w:t>
      </w:r>
      <w:r w:rsidR="00412C4A">
        <w:rPr>
          <w:bCs/>
          <w:lang w:eastAsia="x-none"/>
        </w:rPr>
        <w:t>40</w:t>
      </w:r>
      <w:r w:rsidRPr="0080055F">
        <w:rPr>
          <w:bCs/>
          <w:lang w:eastAsia="x-none"/>
        </w:rPr>
        <w:t xml:space="preserve"> projektů v hodnotě</w:t>
      </w:r>
      <w:r w:rsidRPr="0080055F">
        <w:rPr>
          <w:lang w:eastAsia="x-none"/>
        </w:rPr>
        <w:t xml:space="preserve"> </w:t>
      </w:r>
      <w:r w:rsidR="00412C4A">
        <w:rPr>
          <w:lang w:eastAsia="x-none"/>
        </w:rPr>
        <w:t>1 112</w:t>
      </w:r>
      <w:r w:rsidRPr="0080055F">
        <w:rPr>
          <w:bCs/>
          <w:lang w:eastAsia="x-none"/>
        </w:rPr>
        <w:t> mil. Kč (příspěvek EU)</w:t>
      </w:r>
      <w:r w:rsidR="00412C4A">
        <w:rPr>
          <w:bCs/>
          <w:lang w:eastAsia="x-none"/>
        </w:rPr>
        <w:t xml:space="preserve">, nyní probíhá vyhodnocování žádostí. </w:t>
      </w:r>
    </w:p>
    <w:p w14:paraId="5D78780E" w14:textId="18F9530E" w:rsidR="000B30A4" w:rsidRDefault="0080055F" w:rsidP="0080055F">
      <w:pPr>
        <w:rPr>
          <w:lang w:eastAsia="x-none"/>
        </w:rPr>
      </w:pPr>
      <w:r w:rsidRPr="0080055F">
        <w:rPr>
          <w:lang w:eastAsia="x-none"/>
        </w:rPr>
        <w:t xml:space="preserve">Další plánovanou výzvou na listopad 2019 je </w:t>
      </w:r>
      <w:r w:rsidRPr="55A2005D">
        <w:rPr>
          <w:b/>
          <w:lang w:eastAsia="x-none"/>
        </w:rPr>
        <w:t xml:space="preserve">výzva na podporu </w:t>
      </w:r>
      <w:r w:rsidR="00AD1047" w:rsidRPr="55A2005D">
        <w:rPr>
          <w:b/>
          <w:lang w:eastAsia="x-none"/>
        </w:rPr>
        <w:t xml:space="preserve">a rozvoj </w:t>
      </w:r>
      <w:r w:rsidRPr="55A2005D">
        <w:rPr>
          <w:b/>
          <w:lang w:eastAsia="x-none"/>
        </w:rPr>
        <w:t>DTM</w:t>
      </w:r>
      <w:r w:rsidR="00AD1047">
        <w:rPr>
          <w:lang w:eastAsia="x-none"/>
        </w:rPr>
        <w:t xml:space="preserve">, na niž bude alokováno </w:t>
      </w:r>
      <w:r w:rsidR="55A2005D">
        <w:rPr>
          <w:lang w:eastAsia="x-none"/>
        </w:rPr>
        <w:t>2</w:t>
      </w:r>
      <w:r w:rsidRPr="0080055F">
        <w:rPr>
          <w:lang w:eastAsia="x-none"/>
        </w:rPr>
        <w:t> 000 mil. Kč</w:t>
      </w:r>
      <w:r w:rsidR="008D6D72">
        <w:rPr>
          <w:lang w:eastAsia="x-none"/>
        </w:rPr>
        <w:t xml:space="preserve"> (příspěvek EU)</w:t>
      </w:r>
      <w:r w:rsidRPr="0080055F">
        <w:rPr>
          <w:lang w:eastAsia="x-none"/>
        </w:rPr>
        <w:t xml:space="preserve">. Tato výzva </w:t>
      </w:r>
      <w:r>
        <w:rPr>
          <w:lang w:eastAsia="x-none"/>
        </w:rPr>
        <w:t>umožní realizaci DTM kraji</w:t>
      </w:r>
      <w:r w:rsidR="00AD1047">
        <w:rPr>
          <w:lang w:eastAsia="x-none"/>
        </w:rPr>
        <w:t xml:space="preserve"> a </w:t>
      </w:r>
      <w:r w:rsidR="00AD1047" w:rsidRPr="00DB461B">
        <w:t xml:space="preserve">vlastníky/správci veřejnoprávní dopravní </w:t>
      </w:r>
      <w:r w:rsidR="000F6FB1">
        <w:br/>
      </w:r>
      <w:r w:rsidR="00AD1047" w:rsidRPr="00DB461B">
        <w:t>a technické infrastruktury</w:t>
      </w:r>
      <w:r w:rsidRPr="00F17F08">
        <w:t xml:space="preserve">. </w:t>
      </w:r>
      <w:r w:rsidR="000B30A4" w:rsidRPr="000B30A4">
        <w:rPr>
          <w:lang w:eastAsia="x-none"/>
        </w:rPr>
        <w:t xml:space="preserve">Podporované opatření </w:t>
      </w:r>
      <w:r w:rsidR="008E2A35">
        <w:rPr>
          <w:lang w:eastAsia="x-none"/>
        </w:rPr>
        <w:t xml:space="preserve">reaguje na identifikované problémy a </w:t>
      </w:r>
      <w:r w:rsidR="00041835">
        <w:rPr>
          <w:lang w:eastAsia="x-none"/>
        </w:rPr>
        <w:t xml:space="preserve">přispěje k </w:t>
      </w:r>
      <w:r w:rsidR="008E2A35">
        <w:rPr>
          <w:lang w:eastAsia="x-none"/>
        </w:rPr>
        <w:t xml:space="preserve">naplnění </w:t>
      </w:r>
      <w:r w:rsidR="000B30A4">
        <w:rPr>
          <w:lang w:eastAsia="x-none"/>
        </w:rPr>
        <w:t>prioritní oblasti 4 OP PIK, zaměřené</w:t>
      </w:r>
      <w:r w:rsidR="000B30A4" w:rsidRPr="000B30A4">
        <w:rPr>
          <w:lang w:eastAsia="x-none"/>
        </w:rPr>
        <w:t xml:space="preserve"> na rozv</w:t>
      </w:r>
      <w:r w:rsidR="000B30A4">
        <w:rPr>
          <w:lang w:eastAsia="x-none"/>
        </w:rPr>
        <w:t xml:space="preserve">oj vysokorychlostního internetu. </w:t>
      </w:r>
      <w:r w:rsidR="000B30A4" w:rsidRPr="000B30A4">
        <w:rPr>
          <w:lang w:eastAsia="x-none"/>
        </w:rPr>
        <w:t xml:space="preserve">Záměrem aktivity </w:t>
      </w:r>
      <w:r w:rsidR="000B30A4">
        <w:rPr>
          <w:lang w:eastAsia="x-none"/>
        </w:rPr>
        <w:t>DTM</w:t>
      </w:r>
      <w:r w:rsidR="000B30A4" w:rsidRPr="000B30A4">
        <w:rPr>
          <w:lang w:eastAsia="x-none"/>
        </w:rPr>
        <w:t xml:space="preserve"> je usnadnit a podpořit zavádění vysokorychlostních sítí na celém území ČR podporou společného využívání existující infrastruktury. Tímto způsobem bude možné zefektivnit budování </w:t>
      </w:r>
      <w:r w:rsidR="000B30A4" w:rsidRPr="000434A1">
        <w:rPr>
          <w:lang w:eastAsia="x-none"/>
        </w:rPr>
        <w:t xml:space="preserve">nové </w:t>
      </w:r>
      <w:r w:rsidR="000B30A4" w:rsidRPr="000B30A4">
        <w:rPr>
          <w:lang w:eastAsia="x-none"/>
        </w:rPr>
        <w:t>infrastruktury</w:t>
      </w:r>
      <w:r w:rsidR="003907F4">
        <w:rPr>
          <w:lang w:eastAsia="x-none"/>
        </w:rPr>
        <w:t xml:space="preserve"> VRI</w:t>
      </w:r>
      <w:r w:rsidR="000B30A4" w:rsidRPr="00F17F08">
        <w:t xml:space="preserve">, </w:t>
      </w:r>
      <w:r w:rsidR="000B30A4">
        <w:rPr>
          <w:lang w:eastAsia="x-none"/>
        </w:rPr>
        <w:t>c</w:t>
      </w:r>
      <w:r w:rsidR="000B30A4" w:rsidRPr="000B30A4">
        <w:rPr>
          <w:lang w:eastAsia="x-none"/>
        </w:rPr>
        <w:t>ož povede k většímu a levnějšímu rozvoji nových sítí</w:t>
      </w:r>
      <w:r w:rsidR="003907F4">
        <w:rPr>
          <w:lang w:eastAsia="x-none"/>
        </w:rPr>
        <w:t xml:space="preserve"> VRI</w:t>
      </w:r>
      <w:r w:rsidR="000B30A4" w:rsidRPr="000B30A4">
        <w:rPr>
          <w:lang w:eastAsia="x-none"/>
        </w:rPr>
        <w:t xml:space="preserve"> a služeb.</w:t>
      </w:r>
      <w:r w:rsidR="008E2A35">
        <w:rPr>
          <w:lang w:eastAsia="x-none"/>
        </w:rPr>
        <w:t xml:space="preserve"> </w:t>
      </w:r>
    </w:p>
    <w:p w14:paraId="71A286BA" w14:textId="77777777" w:rsidR="0080055F" w:rsidRPr="00412C4A" w:rsidRDefault="0080055F" w:rsidP="0080055F">
      <w:pPr>
        <w:rPr>
          <w:bCs/>
          <w:lang w:eastAsia="x-none"/>
        </w:rPr>
      </w:pPr>
      <w:r w:rsidRPr="007E7BE7">
        <w:rPr>
          <w:lang w:eastAsia="x-none"/>
        </w:rPr>
        <w:t xml:space="preserve">Řídicí orgán dále plánuje využít prostředky ze specifického cíle 4.1 na </w:t>
      </w:r>
      <w:r w:rsidRPr="007E7BE7">
        <w:rPr>
          <w:bCs/>
          <w:lang w:eastAsia="x-none"/>
        </w:rPr>
        <w:t xml:space="preserve">podporu poptávky u koncových uživatelů </w:t>
      </w:r>
      <w:r w:rsidR="00412C4A" w:rsidRPr="007E7BE7">
        <w:rPr>
          <w:bCs/>
          <w:lang w:eastAsia="x-none"/>
        </w:rPr>
        <w:t xml:space="preserve">ve formě tzv. voucherů </w:t>
      </w:r>
      <w:r w:rsidRPr="007E7BE7">
        <w:rPr>
          <w:bCs/>
          <w:lang w:eastAsia="x-none"/>
        </w:rPr>
        <w:t>a na podpory obcí při výstavbě obecní infrastruktury</w:t>
      </w:r>
      <w:r w:rsidRPr="007E7BE7">
        <w:rPr>
          <w:lang w:eastAsia="x-none"/>
        </w:rPr>
        <w:t>.</w:t>
      </w:r>
      <w:r w:rsidR="002E079E" w:rsidRPr="007E7BE7">
        <w:rPr>
          <w:lang w:eastAsia="x-none"/>
        </w:rPr>
        <w:t xml:space="preserve"> Je nutné </w:t>
      </w:r>
      <w:r w:rsidR="008F1B69" w:rsidRPr="007E7BE7">
        <w:rPr>
          <w:lang w:eastAsia="x-none"/>
        </w:rPr>
        <w:t xml:space="preserve">však </w:t>
      </w:r>
      <w:r w:rsidR="002E079E" w:rsidRPr="007E7BE7">
        <w:rPr>
          <w:lang w:eastAsia="x-none"/>
        </w:rPr>
        <w:t>brát v úvahu proces notifikace</w:t>
      </w:r>
      <w:r w:rsidR="008F1B69" w:rsidRPr="007E7BE7">
        <w:rPr>
          <w:lang w:eastAsia="x-none"/>
        </w:rPr>
        <w:t xml:space="preserve"> podpory</w:t>
      </w:r>
      <w:r w:rsidR="000349DA" w:rsidRPr="007E7BE7">
        <w:rPr>
          <w:lang w:eastAsia="x-none"/>
        </w:rPr>
        <w:t xml:space="preserve"> tzv. voucherů</w:t>
      </w:r>
      <w:r w:rsidR="002E079E" w:rsidRPr="007E7BE7">
        <w:rPr>
          <w:lang w:eastAsia="x-none"/>
        </w:rPr>
        <w:t xml:space="preserve">, který Ministerstvo průmyslu a obchod skrze Úřad pro ochranu hospodářské soutěže (ÚOHS) zahájilo. Jeho délka a složitost může být rizikovým faktorem </w:t>
      </w:r>
      <w:r w:rsidR="000F6FB1">
        <w:rPr>
          <w:lang w:eastAsia="x-none"/>
        </w:rPr>
        <w:br/>
      </w:r>
      <w:r w:rsidR="002E079E" w:rsidRPr="007E7BE7">
        <w:rPr>
          <w:lang w:eastAsia="x-none"/>
        </w:rPr>
        <w:t>a důvodem toho, že se tato intervence přesune do připravovaného programov</w:t>
      </w:r>
      <w:r w:rsidR="00E7208C" w:rsidRPr="007E7BE7">
        <w:rPr>
          <w:lang w:eastAsia="x-none"/>
        </w:rPr>
        <w:t>ého období ESIF po 2020. Navržený koncept podpory</w:t>
      </w:r>
      <w:r w:rsidR="002E079E" w:rsidRPr="007E7BE7">
        <w:rPr>
          <w:lang w:eastAsia="x-none"/>
        </w:rPr>
        <w:t xml:space="preserve"> obcí </w:t>
      </w:r>
      <w:r w:rsidR="00E7208C" w:rsidRPr="007E7BE7">
        <w:rPr>
          <w:lang w:eastAsia="x-none"/>
        </w:rPr>
        <w:t xml:space="preserve">konzultuje řídicí orgán v současné době </w:t>
      </w:r>
      <w:r w:rsidR="002E079E" w:rsidRPr="007E7BE7">
        <w:rPr>
          <w:lang w:eastAsia="x-none"/>
        </w:rPr>
        <w:t>s DG Competition</w:t>
      </w:r>
      <w:r w:rsidR="00E7586A" w:rsidRPr="007E7BE7">
        <w:rPr>
          <w:lang w:eastAsia="x-none"/>
        </w:rPr>
        <w:t xml:space="preserve">. Na základě </w:t>
      </w:r>
      <w:r w:rsidR="002E079E" w:rsidRPr="007E7BE7">
        <w:rPr>
          <w:lang w:eastAsia="x-none"/>
        </w:rPr>
        <w:t>výsledku</w:t>
      </w:r>
      <w:r w:rsidR="00E7586A" w:rsidRPr="007E7BE7">
        <w:rPr>
          <w:lang w:eastAsia="x-none"/>
        </w:rPr>
        <w:t xml:space="preserve"> jednání plánuje řídicí orgán OP PIK vyhlášení výzvy na</w:t>
      </w:r>
      <w:r w:rsidR="002E079E" w:rsidRPr="007E7BE7">
        <w:rPr>
          <w:lang w:eastAsia="x-none"/>
        </w:rPr>
        <w:t xml:space="preserve"> kon</w:t>
      </w:r>
      <w:r w:rsidR="00E7586A" w:rsidRPr="007E7BE7">
        <w:rPr>
          <w:lang w:eastAsia="x-none"/>
        </w:rPr>
        <w:t>e</w:t>
      </w:r>
      <w:r w:rsidR="002E079E" w:rsidRPr="007E7BE7">
        <w:rPr>
          <w:lang w:eastAsia="x-none"/>
        </w:rPr>
        <w:t>c roku 2019</w:t>
      </w:r>
      <w:r w:rsidR="00E7586A" w:rsidRPr="007E7BE7">
        <w:rPr>
          <w:lang w:eastAsia="x-none"/>
        </w:rPr>
        <w:t xml:space="preserve"> s alokací cca </w:t>
      </w:r>
      <w:r w:rsidR="002E079E" w:rsidRPr="007E7BE7">
        <w:rPr>
          <w:lang w:eastAsia="x-none"/>
        </w:rPr>
        <w:t>400 mil Kč</w:t>
      </w:r>
      <w:r w:rsidR="00E53400">
        <w:rPr>
          <w:lang w:eastAsia="x-none"/>
        </w:rPr>
        <w:t xml:space="preserve"> (příspěvek EU)</w:t>
      </w:r>
      <w:r w:rsidR="007E7BE7">
        <w:rPr>
          <w:lang w:eastAsia="x-none"/>
        </w:rPr>
        <w:t>.</w:t>
      </w:r>
    </w:p>
    <w:p w14:paraId="03177F04" w14:textId="5652F5C8" w:rsidR="008F1B69" w:rsidRDefault="008F1B69" w:rsidP="008F1B69">
      <w:pPr>
        <w:rPr>
          <w:lang w:eastAsia="x-none"/>
        </w:rPr>
      </w:pPr>
      <w:r>
        <w:t xml:space="preserve">Ve specifickém cíli 4.1 je </w:t>
      </w:r>
      <w:r w:rsidRPr="008F1B69">
        <w:t xml:space="preserve">tedy </w:t>
      </w:r>
      <w:r w:rsidRPr="00F52293">
        <w:t xml:space="preserve">k 9. 7. 2019 </w:t>
      </w:r>
      <w:r w:rsidRPr="00F52293">
        <w:rPr>
          <w:b/>
        </w:rPr>
        <w:t xml:space="preserve">evidováno min. </w:t>
      </w:r>
      <w:r w:rsidR="00B165F5" w:rsidRPr="009C585C">
        <w:rPr>
          <w:b/>
        </w:rPr>
        <w:t>3</w:t>
      </w:r>
      <w:r w:rsidRPr="009C585C">
        <w:rPr>
          <w:b/>
        </w:rPr>
        <w:t> 319 mil Kč</w:t>
      </w:r>
      <w:r w:rsidR="002D577E" w:rsidRPr="00F52293">
        <w:rPr>
          <w:rStyle w:val="Znakapoznpodarou"/>
          <w:b/>
        </w:rPr>
        <w:footnoteReference w:id="5"/>
      </w:r>
      <w:r w:rsidRPr="00F52293">
        <w:rPr>
          <w:b/>
        </w:rPr>
        <w:t xml:space="preserve"> volných finančních prostředků</w:t>
      </w:r>
      <w:r w:rsidRPr="00F52293">
        <w:t xml:space="preserve"> (příspěvek EU; volné prostředky ve smyslu dosud nealokované do probíhajících výzev nebo plánovaných výzev v harmonogramu.) Oblast podpory vysokorychlostního internetu </w:t>
      </w:r>
      <w:r w:rsidRPr="00F52293">
        <w:rPr>
          <w:lang w:eastAsia="x-none"/>
        </w:rPr>
        <w:t>se dlouhodobě potýká s problémy spojenými s nastavením pravidel veřejné podpory a tím zapříčiněnému nedostatku absorpční kapacity. I přes provedení řady opatření ze strany řídicího orgánu nedošlo do současné doby v tomto specifickém cíli k uzavření žádného právního aktu o poskytnutí podpory. První právní akty lze očekávat</w:t>
      </w:r>
      <w:r>
        <w:rPr>
          <w:lang w:eastAsia="x-none"/>
        </w:rPr>
        <w:t xml:space="preserve"> z uzavřené </w:t>
      </w:r>
      <w:r w:rsidR="00777417">
        <w:rPr>
          <w:lang w:eastAsia="x-none"/>
        </w:rPr>
        <w:t xml:space="preserve">2. </w:t>
      </w:r>
      <w:r>
        <w:rPr>
          <w:lang w:eastAsia="x-none"/>
        </w:rPr>
        <w:t xml:space="preserve">výzvy na vysokorychlostní internet, viz výše. Vzhledem k problematice definování míst, kde je možné intervenovat v rámci dotační podpory na budování stí vysokorychlostního internetu, je časově velmi náročné výzvu realizovat. Řídicí orgán OP PIK má po změně přístupu k této problematice  již v hodnocení projekty, které připojí tisíce obytných míst v rámci ČR. Další intervence formou podpory backhaulu a podpory poptávky jsou připravovány a projednávány. Avšak vzhledem k časové náročnosti příprav, která je nezbytná pro zachování </w:t>
      </w:r>
      <w:r>
        <w:rPr>
          <w:lang w:eastAsia="x-none"/>
        </w:rPr>
        <w:lastRenderedPageBreak/>
        <w:t>zásad pravidel veřejné podpory vztahujících se na tato opatření, je rizikem, že se některá opatření podaří realizovat až v novém programovém období ESIF.</w:t>
      </w:r>
    </w:p>
    <w:p w14:paraId="3770703B" w14:textId="663E226D" w:rsidR="00290A48" w:rsidRPr="0063296D" w:rsidRDefault="00290A48" w:rsidP="008F1B69">
      <w:r>
        <w:t>Současně lze konstatovat, že věcn</w:t>
      </w:r>
      <w:r w:rsidR="00F17F08">
        <w:t>é</w:t>
      </w:r>
      <w:r>
        <w:t xml:space="preserve"> cíl</w:t>
      </w:r>
      <w:r w:rsidR="00F17F08">
        <w:t>e</w:t>
      </w:r>
      <w:r>
        <w:t xml:space="preserve"> SC 4.1 OP PIK budou naplněny bez potřeby využití celé alokace. Stanovený cíl pokrytí území sítěmi </w:t>
      </w:r>
      <w:r w:rsidR="003907F4">
        <w:t xml:space="preserve">VRI </w:t>
      </w:r>
      <w:r>
        <w:t xml:space="preserve">byl překonán. Ačkoliv ještě nejsou zcela naplněny cíle Dohody </w:t>
      </w:r>
      <w:r w:rsidR="008253FA">
        <w:br/>
      </w:r>
      <w:r>
        <w:t xml:space="preserve">o partnerství ve venkovských územích, </w:t>
      </w:r>
      <w:r w:rsidR="00D8736A">
        <w:t xml:space="preserve">na základě </w:t>
      </w:r>
      <w:r>
        <w:t>vývoj</w:t>
      </w:r>
      <w:r w:rsidR="00D8736A">
        <w:t>e</w:t>
      </w:r>
      <w:r>
        <w:t xml:space="preserve"> na trhu a podan</w:t>
      </w:r>
      <w:r w:rsidR="00D8736A">
        <w:t>ých</w:t>
      </w:r>
      <w:r>
        <w:t xml:space="preserve"> projektov</w:t>
      </w:r>
      <w:r w:rsidR="00D8736A">
        <w:t>ých</w:t>
      </w:r>
      <w:r>
        <w:t xml:space="preserve"> žádost</w:t>
      </w:r>
      <w:r w:rsidR="00D8736A">
        <w:t>ech</w:t>
      </w:r>
      <w:r>
        <w:t xml:space="preserve"> </w:t>
      </w:r>
      <w:r w:rsidR="00D8736A">
        <w:t>do</w:t>
      </w:r>
      <w:r>
        <w:t xml:space="preserve"> </w:t>
      </w:r>
      <w:r w:rsidR="000F6FB1">
        <w:br/>
      </w:r>
      <w:r>
        <w:t>2. výzv</w:t>
      </w:r>
      <w:r w:rsidR="00D8736A">
        <w:t>y lze předpokládat,</w:t>
      </w:r>
      <w:r>
        <w:t xml:space="preserve"> že do konce programového období bude cíle dosaženo. </w:t>
      </w:r>
    </w:p>
    <w:p w14:paraId="6F8E4E9E" w14:textId="7E31B32A" w:rsidR="000B30A4" w:rsidRPr="000B30A4" w:rsidRDefault="000B30A4" w:rsidP="000B30A4">
      <w:pPr>
        <w:rPr>
          <w:lang w:eastAsia="x-none"/>
        </w:rPr>
      </w:pPr>
      <w:bookmarkStart w:id="1" w:name="_GoBack"/>
      <w:r w:rsidRPr="367A3920">
        <w:rPr>
          <w:b/>
          <w:lang w:eastAsia="x-none"/>
        </w:rPr>
        <w:t xml:space="preserve">Vzhledem k alokaci na vysokorychlostní internet přesahující současnou absorpční kapacitu tohoto programu OP PIK a z toho vyplývajícího rizika nevyužití těchto prostředků, je řídicí orgán OP PIK připraven realizovat realokaci </w:t>
      </w:r>
      <w:r w:rsidRPr="008253FA">
        <w:rPr>
          <w:b/>
          <w:lang w:eastAsia="x-none"/>
        </w:rPr>
        <w:t>1 </w:t>
      </w:r>
      <w:r w:rsidR="00290A48" w:rsidRPr="008253FA">
        <w:rPr>
          <w:b/>
          <w:lang w:eastAsia="x-none"/>
        </w:rPr>
        <w:t>00</w:t>
      </w:r>
      <w:r w:rsidR="00B165F5">
        <w:rPr>
          <w:b/>
          <w:lang w:eastAsia="x-none"/>
        </w:rPr>
        <w:t>4</w:t>
      </w:r>
      <w:r w:rsidR="00290A48" w:rsidRPr="008253FA">
        <w:rPr>
          <w:b/>
          <w:lang w:eastAsia="x-none"/>
        </w:rPr>
        <w:t xml:space="preserve"> </w:t>
      </w:r>
      <w:r w:rsidR="0071127F" w:rsidRPr="008253FA">
        <w:rPr>
          <w:b/>
          <w:lang w:eastAsia="x-none"/>
        </w:rPr>
        <w:t>mil</w:t>
      </w:r>
      <w:r w:rsidR="00B165F5">
        <w:rPr>
          <w:b/>
          <w:lang w:eastAsia="x-none"/>
        </w:rPr>
        <w:t>.</w:t>
      </w:r>
      <w:r w:rsidR="0071127F" w:rsidRPr="008253FA">
        <w:rPr>
          <w:b/>
          <w:lang w:eastAsia="x-none"/>
        </w:rPr>
        <w:t xml:space="preserve"> Kč</w:t>
      </w:r>
      <w:r w:rsidRPr="367A3920">
        <w:rPr>
          <w:b/>
          <w:lang w:eastAsia="x-none"/>
        </w:rPr>
        <w:t xml:space="preserve"> </w:t>
      </w:r>
      <w:r w:rsidR="00B165F5">
        <w:rPr>
          <w:b/>
          <w:lang w:eastAsia="x-none"/>
        </w:rPr>
        <w:t>(</w:t>
      </w:r>
      <w:r w:rsidR="009C585C">
        <w:rPr>
          <w:b/>
          <w:lang w:eastAsia="x-none"/>
        </w:rPr>
        <w:t>38 849 979</w:t>
      </w:r>
      <w:r w:rsidR="00B165F5">
        <w:rPr>
          <w:b/>
          <w:lang w:eastAsia="x-none"/>
        </w:rPr>
        <w:t xml:space="preserve"> EUR</w:t>
      </w:r>
      <w:r w:rsidR="00B165F5">
        <w:rPr>
          <w:rStyle w:val="Znakapoznpodarou"/>
          <w:b/>
        </w:rPr>
        <w:footnoteReference w:id="6"/>
      </w:r>
      <w:r w:rsidR="00B165F5">
        <w:rPr>
          <w:b/>
          <w:lang w:eastAsia="x-none"/>
        </w:rPr>
        <w:t>)</w:t>
      </w:r>
      <w:r w:rsidR="008D6D72">
        <w:rPr>
          <w:b/>
          <w:lang w:eastAsia="x-none"/>
        </w:rPr>
        <w:t xml:space="preserve"> </w:t>
      </w:r>
      <w:r w:rsidRPr="367A3920">
        <w:rPr>
          <w:b/>
          <w:lang w:eastAsia="x-none"/>
        </w:rPr>
        <w:t>ze specifického cíle 4.1 do IROP specifického cíle 3.2</w:t>
      </w:r>
      <w:r w:rsidRPr="00F17F08">
        <w:t xml:space="preserve"> </w:t>
      </w:r>
      <w:r w:rsidRPr="367A3920">
        <w:rPr>
          <w:b/>
          <w:lang w:eastAsia="x-none"/>
        </w:rPr>
        <w:t>na aktivity přímo spojené s digitalizací stavebného řízení</w:t>
      </w:r>
      <w:r w:rsidRPr="00F17F08">
        <w:t xml:space="preserve">. </w:t>
      </w:r>
      <w:r w:rsidRPr="367A3920">
        <w:rPr>
          <w:b/>
          <w:lang w:eastAsia="x-none"/>
        </w:rPr>
        <w:t>Jde o aktivity, které podpoří snížení dosud velmi vysokých administrativních nároků spojených se stavebním řízením jak pro podnikatele, tak i pro občany.</w:t>
      </w:r>
      <w:r w:rsidRPr="00F17F08">
        <w:t xml:space="preserve"> </w:t>
      </w:r>
    </w:p>
    <w:bookmarkEnd w:id="1"/>
    <w:p w14:paraId="416AE34F" w14:textId="77777777" w:rsidR="000B30A4" w:rsidRPr="000B30A4" w:rsidRDefault="000B30A4" w:rsidP="000B30A4">
      <w:pPr>
        <w:rPr>
          <w:lang w:eastAsia="x-none"/>
        </w:rPr>
      </w:pPr>
      <w:r w:rsidRPr="000B30A4">
        <w:rPr>
          <w:lang w:eastAsia="x-none"/>
        </w:rPr>
        <w:t>Aby bylo dosaženo požadovaného cílového efektu, tedy zrychlení a usnadnění stavebního řízení</w:t>
      </w:r>
      <w:r w:rsidR="00113050">
        <w:rPr>
          <w:lang w:eastAsia="x-none"/>
        </w:rPr>
        <w:t>,</w:t>
      </w:r>
      <w:r w:rsidRPr="000B30A4">
        <w:rPr>
          <w:lang w:eastAsia="x-none"/>
        </w:rPr>
        <w:t xml:space="preserve"> j</w:t>
      </w:r>
      <w:r w:rsidR="00113050">
        <w:rPr>
          <w:lang w:eastAsia="x-none"/>
        </w:rPr>
        <w:t>e nezbytné dosáhnout kompletní d</w:t>
      </w:r>
      <w:r w:rsidRPr="000B30A4">
        <w:rPr>
          <w:lang w:eastAsia="x-none"/>
        </w:rPr>
        <w:t xml:space="preserve">igitalizace </w:t>
      </w:r>
      <w:r w:rsidR="00113050">
        <w:rPr>
          <w:lang w:eastAsia="x-none"/>
        </w:rPr>
        <w:t xml:space="preserve">procesu </w:t>
      </w:r>
      <w:r w:rsidRPr="000B30A4">
        <w:rPr>
          <w:lang w:eastAsia="x-none"/>
        </w:rPr>
        <w:t>stavebního řízení. Pro kompletní digitalizaci, pro kterou jsou digitální technické mapy jedním z nezbytných prvků řešení, je však nutné zajistit další zdroje financování. Program OPPIK není zaměřen na podporu projektů ze sféry e</w:t>
      </w:r>
      <w:r w:rsidR="0075163F">
        <w:rPr>
          <w:lang w:eastAsia="x-none"/>
        </w:rPr>
        <w:t>G</w:t>
      </w:r>
      <w:r w:rsidRPr="000B30A4">
        <w:rPr>
          <w:lang w:eastAsia="x-none"/>
        </w:rPr>
        <w:t xml:space="preserve">overnmentu, proto není možné z tohoto programu financovat potřebnou kompletní digitalizaci, ale pouze část týkající se digitálních technických map.  </w:t>
      </w:r>
      <w:r w:rsidR="006254D0">
        <w:t>Navržená realokace zároveň vytváří podmínky pro rozvoj vysokorychlostního internetu, podporuje projekt</w:t>
      </w:r>
      <w:r w:rsidR="00777417">
        <w:t>y</w:t>
      </w:r>
      <w:r w:rsidR="006254D0">
        <w:t xml:space="preserve"> komplementární, potřebn</w:t>
      </w:r>
      <w:r w:rsidR="00777417">
        <w:t>é</w:t>
      </w:r>
      <w:r w:rsidR="006254D0">
        <w:t xml:space="preserve"> jako podmínka pro zlepšení dosahování cílů v oblasti vysokorychlostního internetu.</w:t>
      </w:r>
    </w:p>
    <w:p w14:paraId="3C9F145B" w14:textId="77777777" w:rsidR="000B30A4" w:rsidRDefault="00085240" w:rsidP="0045795F">
      <w:pPr>
        <w:spacing w:line="276" w:lineRule="auto"/>
        <w:rPr>
          <w:szCs w:val="20"/>
        </w:rPr>
      </w:pPr>
      <w:r>
        <w:rPr>
          <w:szCs w:val="20"/>
        </w:rPr>
        <w:t>Navržená realokace bude uskutečněna</w:t>
      </w:r>
      <w:r w:rsidRPr="00085240">
        <w:rPr>
          <w:szCs w:val="20"/>
        </w:rPr>
        <w:t xml:space="preserve"> </w:t>
      </w:r>
      <w:r w:rsidRPr="00085240">
        <w:rPr>
          <w:b/>
          <w:szCs w:val="20"/>
        </w:rPr>
        <w:t>v rámci jednoho tem</w:t>
      </w:r>
      <w:r w:rsidR="00BC2A72">
        <w:rPr>
          <w:b/>
          <w:szCs w:val="20"/>
        </w:rPr>
        <w:t>atického cíle fondů ESIF, tj. te</w:t>
      </w:r>
      <w:r w:rsidRPr="00085240">
        <w:rPr>
          <w:b/>
          <w:szCs w:val="20"/>
        </w:rPr>
        <w:t>matického cíle</w:t>
      </w:r>
      <w:r w:rsidR="00777417">
        <w:rPr>
          <w:b/>
          <w:szCs w:val="20"/>
        </w:rPr>
        <w:t> </w:t>
      </w:r>
      <w:r w:rsidRPr="00085240">
        <w:rPr>
          <w:b/>
          <w:szCs w:val="20"/>
        </w:rPr>
        <w:t xml:space="preserve">2 </w:t>
      </w:r>
      <w:r w:rsidRPr="00085240">
        <w:rPr>
          <w:b/>
          <w:i/>
          <w:szCs w:val="20"/>
        </w:rPr>
        <w:t>Zlepšení přístupu, využití a kvality informačních a komunikačních technologií</w:t>
      </w:r>
      <w:r w:rsidRPr="00085240">
        <w:rPr>
          <w:szCs w:val="20"/>
        </w:rPr>
        <w:t xml:space="preserve">. Celková výše prostředků alokovaná v ČR </w:t>
      </w:r>
      <w:r>
        <w:rPr>
          <w:szCs w:val="20"/>
        </w:rPr>
        <w:t>na tento cíl tak</w:t>
      </w:r>
      <w:r w:rsidRPr="00085240">
        <w:rPr>
          <w:szCs w:val="20"/>
        </w:rPr>
        <w:t xml:space="preserve"> zůstane beze změn.</w:t>
      </w:r>
    </w:p>
    <w:p w14:paraId="3DDCCBEA" w14:textId="77777777" w:rsidR="00D8736A" w:rsidRDefault="00D8736A" w:rsidP="0045795F">
      <w:pPr>
        <w:spacing w:line="276" w:lineRule="auto"/>
        <w:rPr>
          <w:szCs w:val="20"/>
        </w:rPr>
      </w:pPr>
    </w:p>
    <w:p w14:paraId="5A879637" w14:textId="77777777" w:rsidR="00F56ACB" w:rsidRPr="0045795F" w:rsidRDefault="00457BA7" w:rsidP="00D4262C">
      <w:pPr>
        <w:pStyle w:val="Nadpis2"/>
      </w:pPr>
      <w:r>
        <w:t xml:space="preserve">Stav čerpání OP PIK na </w:t>
      </w:r>
      <w:r w:rsidR="000E5A5D">
        <w:t xml:space="preserve">SC </w:t>
      </w:r>
      <w:r>
        <w:t>4.1</w:t>
      </w:r>
      <w:r w:rsidR="000E5A5D">
        <w:t xml:space="preserve"> – podpora vysokorychlostního internetu</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
        <w:gridCol w:w="1002"/>
        <w:gridCol w:w="709"/>
        <w:gridCol w:w="851"/>
        <w:gridCol w:w="992"/>
        <w:gridCol w:w="992"/>
        <w:gridCol w:w="850"/>
        <w:gridCol w:w="851"/>
        <w:gridCol w:w="850"/>
        <w:gridCol w:w="851"/>
        <w:gridCol w:w="709"/>
        <w:gridCol w:w="851"/>
        <w:gridCol w:w="708"/>
      </w:tblGrid>
      <w:tr w:rsidR="00DF0CF7" w:rsidRPr="007C50B8" w14:paraId="7A5B8BE1" w14:textId="77777777" w:rsidTr="005D6F80">
        <w:trPr>
          <w:trHeight w:val="943"/>
        </w:trPr>
        <w:tc>
          <w:tcPr>
            <w:tcW w:w="739" w:type="dxa"/>
            <w:vMerge w:val="restart"/>
            <w:shd w:val="solid" w:color="000080" w:fill="auto"/>
            <w:vAlign w:val="center"/>
          </w:tcPr>
          <w:p w14:paraId="1E9A9D64"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Prioritní osa</w:t>
            </w:r>
          </w:p>
        </w:tc>
        <w:tc>
          <w:tcPr>
            <w:tcW w:w="1002" w:type="dxa"/>
            <w:vMerge w:val="restart"/>
            <w:shd w:val="solid" w:color="000080" w:fill="auto"/>
            <w:vAlign w:val="center"/>
          </w:tcPr>
          <w:p w14:paraId="2C94BDE7"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Pr>
                <w:color w:val="FFFFFF"/>
                <w:sz w:val="16"/>
                <w:szCs w:val="16"/>
                <w:lang w:eastAsia="en-US"/>
              </w:rPr>
              <w:t>S</w:t>
            </w:r>
            <w:r w:rsidRPr="007C50B8">
              <w:rPr>
                <w:color w:val="FFFFFF"/>
                <w:sz w:val="16"/>
                <w:szCs w:val="16"/>
                <w:lang w:eastAsia="en-US"/>
              </w:rPr>
              <w:t>pecifick</w:t>
            </w:r>
            <w:r>
              <w:rPr>
                <w:color w:val="FFFFFF"/>
                <w:sz w:val="16"/>
                <w:szCs w:val="16"/>
                <w:lang w:eastAsia="en-US"/>
              </w:rPr>
              <w:t>ý cíl</w:t>
            </w:r>
          </w:p>
        </w:tc>
        <w:tc>
          <w:tcPr>
            <w:tcW w:w="709" w:type="dxa"/>
            <w:vMerge w:val="restart"/>
            <w:shd w:val="solid" w:color="000080" w:fill="auto"/>
            <w:vAlign w:val="center"/>
          </w:tcPr>
          <w:p w14:paraId="6145FFB6"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Fond</w:t>
            </w:r>
          </w:p>
        </w:tc>
        <w:tc>
          <w:tcPr>
            <w:tcW w:w="851" w:type="dxa"/>
            <w:vMerge w:val="restart"/>
            <w:shd w:val="solid" w:color="000080" w:fill="auto"/>
            <w:vAlign w:val="center"/>
          </w:tcPr>
          <w:p w14:paraId="556FDD2E"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Kategorie regionu</w:t>
            </w:r>
          </w:p>
        </w:tc>
        <w:tc>
          <w:tcPr>
            <w:tcW w:w="992" w:type="dxa"/>
            <w:vMerge w:val="restart"/>
            <w:shd w:val="solid" w:color="000080" w:fill="auto"/>
            <w:vAlign w:val="center"/>
          </w:tcPr>
          <w:p w14:paraId="3F851569"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Hlavní alokace SC (mil. Kč)</w:t>
            </w:r>
          </w:p>
        </w:tc>
        <w:tc>
          <w:tcPr>
            <w:tcW w:w="1842" w:type="dxa"/>
            <w:gridSpan w:val="2"/>
            <w:shd w:val="solid" w:color="000080" w:fill="auto"/>
            <w:vAlign w:val="center"/>
          </w:tcPr>
          <w:p w14:paraId="6F9345F7"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zaregistrovaných žádostech o podporu</w:t>
            </w:r>
          </w:p>
        </w:tc>
        <w:tc>
          <w:tcPr>
            <w:tcW w:w="1701" w:type="dxa"/>
            <w:gridSpan w:val="2"/>
            <w:shd w:val="solid" w:color="000080" w:fill="auto"/>
            <w:vAlign w:val="center"/>
          </w:tcPr>
          <w:p w14:paraId="7FF0195A"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právních aktech o poskytnutí / převodu podpory</w:t>
            </w:r>
          </w:p>
        </w:tc>
        <w:tc>
          <w:tcPr>
            <w:tcW w:w="1560" w:type="dxa"/>
            <w:gridSpan w:val="2"/>
            <w:shd w:val="solid" w:color="000080" w:fill="auto"/>
            <w:vAlign w:val="center"/>
          </w:tcPr>
          <w:p w14:paraId="39097F04"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proplacených žádostech o platbu</w:t>
            </w:r>
          </w:p>
        </w:tc>
        <w:tc>
          <w:tcPr>
            <w:tcW w:w="1559" w:type="dxa"/>
            <w:gridSpan w:val="2"/>
            <w:shd w:val="solid" w:color="000080" w:fill="auto"/>
            <w:vAlign w:val="center"/>
          </w:tcPr>
          <w:p w14:paraId="3C5A96E4"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vyúčtované v žádostech o platbu</w:t>
            </w:r>
          </w:p>
        </w:tc>
      </w:tr>
      <w:tr w:rsidR="00DF0CF7" w:rsidRPr="007C50B8" w14:paraId="0842362D" w14:textId="77777777" w:rsidTr="005D6F80">
        <w:trPr>
          <w:trHeight w:val="478"/>
        </w:trPr>
        <w:tc>
          <w:tcPr>
            <w:tcW w:w="739" w:type="dxa"/>
            <w:vMerge/>
            <w:shd w:val="solid" w:color="000080" w:fill="auto"/>
            <w:vAlign w:val="center"/>
          </w:tcPr>
          <w:p w14:paraId="25123BE3"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p>
        </w:tc>
        <w:tc>
          <w:tcPr>
            <w:tcW w:w="1002" w:type="dxa"/>
            <w:vMerge/>
            <w:shd w:val="solid" w:color="000080" w:fill="auto"/>
            <w:vAlign w:val="center"/>
          </w:tcPr>
          <w:p w14:paraId="479044C3"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p>
        </w:tc>
        <w:tc>
          <w:tcPr>
            <w:tcW w:w="709" w:type="dxa"/>
            <w:vMerge/>
            <w:shd w:val="solid" w:color="000080" w:fill="auto"/>
            <w:vAlign w:val="center"/>
          </w:tcPr>
          <w:p w14:paraId="04AAC9C1"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p>
        </w:tc>
        <w:tc>
          <w:tcPr>
            <w:tcW w:w="851" w:type="dxa"/>
            <w:vMerge/>
            <w:shd w:val="solid" w:color="000080" w:fill="auto"/>
            <w:vAlign w:val="center"/>
          </w:tcPr>
          <w:p w14:paraId="270AAD95"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p>
        </w:tc>
        <w:tc>
          <w:tcPr>
            <w:tcW w:w="992" w:type="dxa"/>
            <w:vMerge/>
            <w:shd w:val="solid" w:color="000080" w:fill="auto"/>
            <w:vAlign w:val="center"/>
          </w:tcPr>
          <w:p w14:paraId="5FB1F702"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p>
        </w:tc>
        <w:tc>
          <w:tcPr>
            <w:tcW w:w="992" w:type="dxa"/>
            <w:shd w:val="solid" w:color="000080" w:fill="auto"/>
            <w:vAlign w:val="center"/>
          </w:tcPr>
          <w:p w14:paraId="495DE550"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850" w:type="dxa"/>
            <w:shd w:val="solid" w:color="000080" w:fill="auto"/>
            <w:vAlign w:val="center"/>
          </w:tcPr>
          <w:p w14:paraId="323302E2"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6A026341"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850" w:type="dxa"/>
            <w:shd w:val="solid" w:color="000080" w:fill="auto"/>
            <w:vAlign w:val="center"/>
          </w:tcPr>
          <w:p w14:paraId="78A69591"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29C4DD87"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709" w:type="dxa"/>
            <w:shd w:val="solid" w:color="000080" w:fill="auto"/>
            <w:vAlign w:val="center"/>
          </w:tcPr>
          <w:p w14:paraId="007355A5"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63A946FF"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708" w:type="dxa"/>
            <w:shd w:val="solid" w:color="000080" w:fill="auto"/>
            <w:vAlign w:val="center"/>
          </w:tcPr>
          <w:p w14:paraId="70159D58" w14:textId="77777777" w:rsidR="00DF0CF7" w:rsidRPr="007C50B8" w:rsidRDefault="00DF0CF7" w:rsidP="005D6F80">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r>
      <w:tr w:rsidR="00A60BA9" w:rsidRPr="007C50B8" w14:paraId="1DA35578" w14:textId="77777777" w:rsidTr="005D6F80">
        <w:trPr>
          <w:trHeight w:val="305"/>
        </w:trPr>
        <w:tc>
          <w:tcPr>
            <w:tcW w:w="739" w:type="dxa"/>
            <w:vAlign w:val="center"/>
          </w:tcPr>
          <w:p w14:paraId="6F2523E7"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PO 4</w:t>
            </w:r>
          </w:p>
        </w:tc>
        <w:tc>
          <w:tcPr>
            <w:tcW w:w="1002" w:type="dxa"/>
            <w:shd w:val="solid" w:color="FFFFFF" w:fill="auto"/>
            <w:vAlign w:val="center"/>
          </w:tcPr>
          <w:p w14:paraId="7EDF40A9"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4.1</w:t>
            </w:r>
          </w:p>
        </w:tc>
        <w:tc>
          <w:tcPr>
            <w:tcW w:w="709" w:type="dxa"/>
            <w:shd w:val="solid" w:color="FFFFFF" w:fill="auto"/>
            <w:vAlign w:val="center"/>
          </w:tcPr>
          <w:p w14:paraId="55C09B63"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EFRR</w:t>
            </w:r>
          </w:p>
        </w:tc>
        <w:tc>
          <w:tcPr>
            <w:tcW w:w="851" w:type="dxa"/>
            <w:shd w:val="solid" w:color="FFFFFF" w:fill="auto"/>
            <w:vAlign w:val="center"/>
          </w:tcPr>
          <w:p w14:paraId="591618E1"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MRR</w:t>
            </w:r>
          </w:p>
        </w:tc>
        <w:tc>
          <w:tcPr>
            <w:tcW w:w="992" w:type="dxa"/>
            <w:vAlign w:val="center"/>
          </w:tcPr>
          <w:p w14:paraId="3FC54981" w14:textId="77777777" w:rsidR="00A60BA9" w:rsidRPr="00B263A8" w:rsidRDefault="00A60BA9" w:rsidP="00A60BA9">
            <w:pPr>
              <w:autoSpaceDE w:val="0"/>
              <w:autoSpaceDN w:val="0"/>
              <w:adjustRightInd w:val="0"/>
              <w:spacing w:after="0" w:line="240" w:lineRule="auto"/>
              <w:jc w:val="center"/>
              <w:rPr>
                <w:color w:val="000000"/>
                <w:sz w:val="16"/>
                <w:szCs w:val="16"/>
                <w:lang w:eastAsia="en-US"/>
              </w:rPr>
            </w:pPr>
            <w:r w:rsidRPr="007D1C8E">
              <w:rPr>
                <w:color w:val="000000"/>
                <w:sz w:val="16"/>
                <w:szCs w:val="16"/>
                <w:lang w:eastAsia="en-US"/>
              </w:rPr>
              <w:t>6 831,4</w:t>
            </w:r>
          </w:p>
        </w:tc>
        <w:tc>
          <w:tcPr>
            <w:tcW w:w="992" w:type="dxa"/>
            <w:vAlign w:val="center"/>
          </w:tcPr>
          <w:p w14:paraId="0EA1A492" w14:textId="77777777" w:rsidR="00A60BA9" w:rsidRPr="008253FA" w:rsidRDefault="00FD7BB9" w:rsidP="00FD7BB9">
            <w:pPr>
              <w:autoSpaceDE w:val="0"/>
              <w:autoSpaceDN w:val="0"/>
              <w:adjustRightInd w:val="0"/>
              <w:spacing w:after="0" w:line="240" w:lineRule="auto"/>
              <w:jc w:val="center"/>
              <w:rPr>
                <w:color w:val="000000"/>
                <w:sz w:val="16"/>
                <w:szCs w:val="16"/>
                <w:lang w:eastAsia="en-US"/>
              </w:rPr>
            </w:pPr>
            <w:r w:rsidRPr="008253FA">
              <w:rPr>
                <w:color w:val="000000"/>
                <w:sz w:val="16"/>
                <w:szCs w:val="16"/>
                <w:lang w:eastAsia="en-US"/>
              </w:rPr>
              <w:t xml:space="preserve"> 1 158,8</w:t>
            </w:r>
          </w:p>
        </w:tc>
        <w:tc>
          <w:tcPr>
            <w:tcW w:w="850" w:type="dxa"/>
            <w:vAlign w:val="center"/>
          </w:tcPr>
          <w:p w14:paraId="6A332C2F" w14:textId="77777777" w:rsidR="00A60BA9" w:rsidRPr="008253FA" w:rsidRDefault="00FD7BB9" w:rsidP="00A60BA9">
            <w:pPr>
              <w:autoSpaceDE w:val="0"/>
              <w:autoSpaceDN w:val="0"/>
              <w:adjustRightInd w:val="0"/>
              <w:spacing w:after="0" w:line="240" w:lineRule="auto"/>
              <w:jc w:val="center"/>
              <w:rPr>
                <w:color w:val="000000"/>
                <w:sz w:val="16"/>
                <w:szCs w:val="16"/>
                <w:lang w:eastAsia="en-US"/>
              </w:rPr>
            </w:pPr>
            <w:r w:rsidRPr="008253FA">
              <w:rPr>
                <w:color w:val="000000"/>
                <w:sz w:val="16"/>
                <w:szCs w:val="16"/>
                <w:lang w:eastAsia="en-US"/>
              </w:rPr>
              <w:t>17</w:t>
            </w:r>
            <w:r w:rsidR="00A60BA9" w:rsidRPr="008253FA">
              <w:rPr>
                <w:color w:val="000000"/>
                <w:sz w:val="16"/>
                <w:szCs w:val="16"/>
                <w:lang w:eastAsia="en-US"/>
              </w:rPr>
              <w:t xml:space="preserve"> %</w:t>
            </w:r>
          </w:p>
        </w:tc>
        <w:tc>
          <w:tcPr>
            <w:tcW w:w="851" w:type="dxa"/>
            <w:vAlign w:val="center"/>
          </w:tcPr>
          <w:p w14:paraId="4832FB4A"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c>
          <w:tcPr>
            <w:tcW w:w="850" w:type="dxa"/>
            <w:vAlign w:val="center"/>
          </w:tcPr>
          <w:p w14:paraId="66DF1528" w14:textId="77777777" w:rsidR="00A60BA9" w:rsidRPr="007C50B8"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c>
          <w:tcPr>
            <w:tcW w:w="851" w:type="dxa"/>
            <w:shd w:val="clear" w:color="auto" w:fill="auto"/>
            <w:vAlign w:val="center"/>
          </w:tcPr>
          <w:p w14:paraId="173B801E" w14:textId="77777777" w:rsidR="00A60BA9" w:rsidRPr="00D62824"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c>
          <w:tcPr>
            <w:tcW w:w="709" w:type="dxa"/>
            <w:shd w:val="clear" w:color="auto" w:fill="auto"/>
            <w:vAlign w:val="center"/>
          </w:tcPr>
          <w:p w14:paraId="60AEB78B" w14:textId="77777777" w:rsidR="00A60BA9" w:rsidRPr="00D62824"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c>
          <w:tcPr>
            <w:tcW w:w="851" w:type="dxa"/>
            <w:shd w:val="clear" w:color="auto" w:fill="auto"/>
            <w:vAlign w:val="center"/>
          </w:tcPr>
          <w:p w14:paraId="29C435A0" w14:textId="77777777" w:rsidR="00A60BA9" w:rsidRPr="00D62824"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c>
          <w:tcPr>
            <w:tcW w:w="708" w:type="dxa"/>
            <w:shd w:val="clear" w:color="auto" w:fill="auto"/>
            <w:vAlign w:val="center"/>
          </w:tcPr>
          <w:p w14:paraId="674A04B4" w14:textId="77777777" w:rsidR="00A60BA9" w:rsidRPr="00D62824" w:rsidRDefault="00A60BA9" w:rsidP="00A60BA9">
            <w:pPr>
              <w:autoSpaceDE w:val="0"/>
              <w:autoSpaceDN w:val="0"/>
              <w:adjustRightInd w:val="0"/>
              <w:spacing w:after="0" w:line="240" w:lineRule="auto"/>
              <w:jc w:val="center"/>
              <w:rPr>
                <w:color w:val="000000"/>
                <w:sz w:val="16"/>
                <w:szCs w:val="16"/>
                <w:lang w:eastAsia="en-US"/>
              </w:rPr>
            </w:pPr>
            <w:r>
              <w:rPr>
                <w:color w:val="000000"/>
                <w:sz w:val="16"/>
                <w:szCs w:val="16"/>
                <w:lang w:eastAsia="en-US"/>
              </w:rPr>
              <w:t>0</w:t>
            </w:r>
          </w:p>
        </w:tc>
      </w:tr>
    </w:tbl>
    <w:p w14:paraId="1E129B89" w14:textId="7598A9D0" w:rsidR="00DF0CF7" w:rsidRDefault="00DF0CF7" w:rsidP="00DF0CF7">
      <w:pPr>
        <w:shd w:val="clear" w:color="auto" w:fill="FFFFFF" w:themeFill="background1"/>
        <w:rPr>
          <w:i/>
          <w:szCs w:val="20"/>
        </w:rPr>
      </w:pPr>
      <w:r>
        <w:rPr>
          <w:i/>
          <w:color w:val="000000" w:themeColor="text1"/>
          <w:sz w:val="16"/>
          <w:szCs w:val="16"/>
          <w:bdr w:val="none" w:sz="0" w:space="0" w:color="auto" w:frame="1"/>
        </w:rPr>
        <w:t xml:space="preserve">Zdroj: MS2014+, </w:t>
      </w:r>
      <w:r w:rsidR="003A05A0">
        <w:rPr>
          <w:i/>
          <w:color w:val="000000" w:themeColor="text1"/>
          <w:sz w:val="16"/>
          <w:szCs w:val="16"/>
          <w:bdr w:val="none" w:sz="0" w:space="0" w:color="auto" w:frame="1"/>
        </w:rPr>
        <w:t>stav ke dni </w:t>
      </w:r>
      <w:r w:rsidR="00FD7BB9">
        <w:rPr>
          <w:i/>
          <w:color w:val="000000" w:themeColor="text1"/>
          <w:sz w:val="16"/>
          <w:szCs w:val="16"/>
          <w:bdr w:val="none" w:sz="0" w:space="0" w:color="auto" w:frame="1"/>
        </w:rPr>
        <w:t>17</w:t>
      </w:r>
      <w:r w:rsidR="003A05A0">
        <w:rPr>
          <w:i/>
          <w:color w:val="000000" w:themeColor="text1"/>
          <w:sz w:val="16"/>
          <w:szCs w:val="16"/>
          <w:bdr w:val="none" w:sz="0" w:space="0" w:color="auto" w:frame="1"/>
        </w:rPr>
        <w:t xml:space="preserve">. </w:t>
      </w:r>
      <w:r w:rsidR="00FD7BB9">
        <w:rPr>
          <w:i/>
          <w:color w:val="000000" w:themeColor="text1"/>
          <w:sz w:val="16"/>
          <w:szCs w:val="16"/>
          <w:bdr w:val="none" w:sz="0" w:space="0" w:color="auto" w:frame="1"/>
        </w:rPr>
        <w:t>7</w:t>
      </w:r>
      <w:r w:rsidR="003A05A0">
        <w:rPr>
          <w:i/>
          <w:color w:val="000000" w:themeColor="text1"/>
          <w:sz w:val="16"/>
          <w:szCs w:val="16"/>
          <w:bdr w:val="none" w:sz="0" w:space="0" w:color="auto" w:frame="1"/>
        </w:rPr>
        <w:t>. 2019</w:t>
      </w:r>
      <w:r>
        <w:rPr>
          <w:i/>
          <w:color w:val="000000" w:themeColor="text1"/>
          <w:sz w:val="16"/>
          <w:szCs w:val="16"/>
          <w:bdr w:val="none" w:sz="0" w:space="0" w:color="auto" w:frame="1"/>
        </w:rPr>
        <w:t xml:space="preserve">; příspěvek </w:t>
      </w:r>
      <w:r w:rsidR="003A05A0">
        <w:rPr>
          <w:i/>
          <w:color w:val="000000" w:themeColor="text1"/>
          <w:sz w:val="16"/>
          <w:szCs w:val="16"/>
          <w:bdr w:val="none" w:sz="0" w:space="0" w:color="auto" w:frame="1"/>
        </w:rPr>
        <w:t>E</w:t>
      </w:r>
      <w:r>
        <w:rPr>
          <w:i/>
          <w:color w:val="000000" w:themeColor="text1"/>
          <w:sz w:val="16"/>
          <w:szCs w:val="16"/>
          <w:bdr w:val="none" w:sz="0" w:space="0" w:color="auto" w:frame="1"/>
        </w:rPr>
        <w:t>U, pozn. Kategorie regionu – MRR = Méně rozvinuté regiony, VRR = Více rozvinuté regiony</w:t>
      </w:r>
      <w:r w:rsidR="00EB548A">
        <w:rPr>
          <w:i/>
          <w:color w:val="000000" w:themeColor="text1"/>
          <w:sz w:val="16"/>
          <w:szCs w:val="16"/>
          <w:bdr w:val="none" w:sz="0" w:space="0" w:color="auto" w:frame="1"/>
        </w:rPr>
        <w:t>; částka hlavní alokace SC v EUR je 264,3 mil. (při použití kurzu 1 EUR = 25,843 CZK)</w:t>
      </w:r>
    </w:p>
    <w:p w14:paraId="4AE5A06C" w14:textId="77777777" w:rsidR="00D4262C" w:rsidRDefault="00D4262C" w:rsidP="00D4262C">
      <w:pPr>
        <w:shd w:val="clear" w:color="auto" w:fill="FFFFFF" w:themeFill="background1"/>
        <w:rPr>
          <w:i/>
          <w:szCs w:val="20"/>
        </w:rPr>
      </w:pPr>
    </w:p>
    <w:p w14:paraId="66483E47" w14:textId="77777777" w:rsidR="00D8736A" w:rsidRPr="00A443AB" w:rsidRDefault="00D8736A" w:rsidP="00D4262C">
      <w:pPr>
        <w:shd w:val="clear" w:color="auto" w:fill="FFFFFF" w:themeFill="background1"/>
        <w:rPr>
          <w:i/>
          <w:szCs w:val="20"/>
        </w:rPr>
      </w:pPr>
      <w:r>
        <w:rPr>
          <w:i/>
          <w:szCs w:val="20"/>
        </w:rPr>
        <w:br/>
      </w:r>
    </w:p>
    <w:p w14:paraId="7C8A0AF9" w14:textId="77777777" w:rsidR="00D0342E" w:rsidRPr="00C570CC" w:rsidRDefault="00457BA7" w:rsidP="00690511">
      <w:pPr>
        <w:pStyle w:val="Nadpis2"/>
      </w:pPr>
      <w:r>
        <w:t>Stav čerpání IROP na SC 3.2</w:t>
      </w:r>
      <w:r w:rsidR="000E5A5D">
        <w:t xml:space="preserve"> – podpora e</w:t>
      </w:r>
      <w:r w:rsidR="0075163F">
        <w:t>G</w:t>
      </w:r>
      <w:r w:rsidR="000E5A5D">
        <w:t>overnmentu</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
        <w:gridCol w:w="1002"/>
        <w:gridCol w:w="709"/>
        <w:gridCol w:w="851"/>
        <w:gridCol w:w="992"/>
        <w:gridCol w:w="992"/>
        <w:gridCol w:w="850"/>
        <w:gridCol w:w="851"/>
        <w:gridCol w:w="850"/>
        <w:gridCol w:w="851"/>
        <w:gridCol w:w="709"/>
        <w:gridCol w:w="851"/>
        <w:gridCol w:w="708"/>
      </w:tblGrid>
      <w:tr w:rsidR="000E5A5D" w:rsidRPr="007C50B8" w14:paraId="32EFE3DE" w14:textId="77777777" w:rsidTr="00286F4A">
        <w:trPr>
          <w:trHeight w:val="943"/>
        </w:trPr>
        <w:tc>
          <w:tcPr>
            <w:tcW w:w="739" w:type="dxa"/>
            <w:vMerge w:val="restart"/>
            <w:shd w:val="solid" w:color="000080" w:fill="auto"/>
            <w:vAlign w:val="center"/>
          </w:tcPr>
          <w:p w14:paraId="56D3E2D9"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Prioritní osa</w:t>
            </w:r>
          </w:p>
        </w:tc>
        <w:tc>
          <w:tcPr>
            <w:tcW w:w="1002" w:type="dxa"/>
            <w:vMerge w:val="restart"/>
            <w:shd w:val="solid" w:color="000080" w:fill="auto"/>
            <w:vAlign w:val="center"/>
          </w:tcPr>
          <w:p w14:paraId="19B28A5B"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Pr>
                <w:color w:val="FFFFFF"/>
                <w:sz w:val="16"/>
                <w:szCs w:val="16"/>
                <w:lang w:eastAsia="en-US"/>
              </w:rPr>
              <w:t>S</w:t>
            </w:r>
            <w:r w:rsidRPr="007C50B8">
              <w:rPr>
                <w:color w:val="FFFFFF"/>
                <w:sz w:val="16"/>
                <w:szCs w:val="16"/>
                <w:lang w:eastAsia="en-US"/>
              </w:rPr>
              <w:t>pecifick</w:t>
            </w:r>
            <w:r>
              <w:rPr>
                <w:color w:val="FFFFFF"/>
                <w:sz w:val="16"/>
                <w:szCs w:val="16"/>
                <w:lang w:eastAsia="en-US"/>
              </w:rPr>
              <w:t>ý cíl</w:t>
            </w:r>
          </w:p>
        </w:tc>
        <w:tc>
          <w:tcPr>
            <w:tcW w:w="709" w:type="dxa"/>
            <w:vMerge w:val="restart"/>
            <w:shd w:val="solid" w:color="000080" w:fill="auto"/>
            <w:vAlign w:val="center"/>
          </w:tcPr>
          <w:p w14:paraId="717291A2"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Fond</w:t>
            </w:r>
          </w:p>
        </w:tc>
        <w:tc>
          <w:tcPr>
            <w:tcW w:w="851" w:type="dxa"/>
            <w:vMerge w:val="restart"/>
            <w:shd w:val="solid" w:color="000080" w:fill="auto"/>
            <w:vAlign w:val="center"/>
          </w:tcPr>
          <w:p w14:paraId="5349E61E"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Kategorie regionu</w:t>
            </w:r>
          </w:p>
        </w:tc>
        <w:tc>
          <w:tcPr>
            <w:tcW w:w="992" w:type="dxa"/>
            <w:vMerge w:val="restart"/>
            <w:shd w:val="solid" w:color="000080" w:fill="auto"/>
            <w:vAlign w:val="center"/>
          </w:tcPr>
          <w:p w14:paraId="550DE6E3"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Hlavní alokace SC (mil. Kč)</w:t>
            </w:r>
          </w:p>
        </w:tc>
        <w:tc>
          <w:tcPr>
            <w:tcW w:w="1842" w:type="dxa"/>
            <w:gridSpan w:val="2"/>
            <w:shd w:val="solid" w:color="000080" w:fill="auto"/>
            <w:vAlign w:val="center"/>
          </w:tcPr>
          <w:p w14:paraId="115F7214"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zaregistrovaných žádostech o podporu</w:t>
            </w:r>
          </w:p>
        </w:tc>
        <w:tc>
          <w:tcPr>
            <w:tcW w:w="1701" w:type="dxa"/>
            <w:gridSpan w:val="2"/>
            <w:shd w:val="solid" w:color="000080" w:fill="auto"/>
            <w:vAlign w:val="center"/>
          </w:tcPr>
          <w:p w14:paraId="15A8140D"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právních aktech o poskytnutí / převodu podpory</w:t>
            </w:r>
          </w:p>
        </w:tc>
        <w:tc>
          <w:tcPr>
            <w:tcW w:w="1560" w:type="dxa"/>
            <w:gridSpan w:val="2"/>
            <w:shd w:val="solid" w:color="000080" w:fill="auto"/>
            <w:vAlign w:val="center"/>
          </w:tcPr>
          <w:p w14:paraId="6C1605B2"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 proplacených žádostech o platbu</w:t>
            </w:r>
          </w:p>
        </w:tc>
        <w:tc>
          <w:tcPr>
            <w:tcW w:w="1559" w:type="dxa"/>
            <w:gridSpan w:val="2"/>
            <w:shd w:val="solid" w:color="000080" w:fill="auto"/>
            <w:vAlign w:val="center"/>
          </w:tcPr>
          <w:p w14:paraId="23E568BD"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Finanční prostředky vyúčtované v žádostech o platbu</w:t>
            </w:r>
          </w:p>
        </w:tc>
      </w:tr>
      <w:tr w:rsidR="000E5A5D" w:rsidRPr="007C50B8" w14:paraId="65C933C0" w14:textId="77777777" w:rsidTr="00286F4A">
        <w:trPr>
          <w:trHeight w:val="478"/>
        </w:trPr>
        <w:tc>
          <w:tcPr>
            <w:tcW w:w="739" w:type="dxa"/>
            <w:vMerge/>
            <w:shd w:val="solid" w:color="000080" w:fill="auto"/>
            <w:vAlign w:val="center"/>
          </w:tcPr>
          <w:p w14:paraId="380580E2"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p>
        </w:tc>
        <w:tc>
          <w:tcPr>
            <w:tcW w:w="1002" w:type="dxa"/>
            <w:vMerge/>
            <w:shd w:val="solid" w:color="000080" w:fill="auto"/>
            <w:vAlign w:val="center"/>
          </w:tcPr>
          <w:p w14:paraId="462E31A6"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p>
        </w:tc>
        <w:tc>
          <w:tcPr>
            <w:tcW w:w="709" w:type="dxa"/>
            <w:vMerge/>
            <w:shd w:val="solid" w:color="000080" w:fill="auto"/>
            <w:vAlign w:val="center"/>
          </w:tcPr>
          <w:p w14:paraId="75337515"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p>
        </w:tc>
        <w:tc>
          <w:tcPr>
            <w:tcW w:w="851" w:type="dxa"/>
            <w:vMerge/>
            <w:shd w:val="solid" w:color="000080" w:fill="auto"/>
            <w:vAlign w:val="center"/>
          </w:tcPr>
          <w:p w14:paraId="521FA748"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p>
        </w:tc>
        <w:tc>
          <w:tcPr>
            <w:tcW w:w="992" w:type="dxa"/>
            <w:vMerge/>
            <w:shd w:val="solid" w:color="000080" w:fill="auto"/>
            <w:vAlign w:val="center"/>
          </w:tcPr>
          <w:p w14:paraId="23614A5A"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p>
        </w:tc>
        <w:tc>
          <w:tcPr>
            <w:tcW w:w="992" w:type="dxa"/>
            <w:shd w:val="solid" w:color="000080" w:fill="auto"/>
            <w:vAlign w:val="center"/>
          </w:tcPr>
          <w:p w14:paraId="666E2653"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850" w:type="dxa"/>
            <w:shd w:val="solid" w:color="000080" w:fill="auto"/>
            <w:vAlign w:val="center"/>
          </w:tcPr>
          <w:p w14:paraId="2AC130DF"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507C9202"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850" w:type="dxa"/>
            <w:shd w:val="solid" w:color="000080" w:fill="auto"/>
            <w:vAlign w:val="center"/>
          </w:tcPr>
          <w:p w14:paraId="55FA3D01"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7C0326E0"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709" w:type="dxa"/>
            <w:shd w:val="solid" w:color="000080" w:fill="auto"/>
            <w:vAlign w:val="center"/>
          </w:tcPr>
          <w:p w14:paraId="1FF76593"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c>
          <w:tcPr>
            <w:tcW w:w="851" w:type="dxa"/>
            <w:shd w:val="solid" w:color="000080" w:fill="auto"/>
            <w:vAlign w:val="center"/>
          </w:tcPr>
          <w:p w14:paraId="7100782A"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mil. Kč</w:t>
            </w:r>
          </w:p>
        </w:tc>
        <w:tc>
          <w:tcPr>
            <w:tcW w:w="708" w:type="dxa"/>
            <w:shd w:val="solid" w:color="000080" w:fill="auto"/>
            <w:vAlign w:val="center"/>
          </w:tcPr>
          <w:p w14:paraId="3A0ED334" w14:textId="77777777" w:rsidR="000E5A5D" w:rsidRPr="007C50B8" w:rsidRDefault="000E5A5D" w:rsidP="00286F4A">
            <w:pPr>
              <w:autoSpaceDE w:val="0"/>
              <w:autoSpaceDN w:val="0"/>
              <w:adjustRightInd w:val="0"/>
              <w:spacing w:after="0" w:line="240" w:lineRule="auto"/>
              <w:jc w:val="center"/>
              <w:rPr>
                <w:color w:val="FFFFFF"/>
                <w:sz w:val="16"/>
                <w:szCs w:val="16"/>
                <w:lang w:eastAsia="en-US"/>
              </w:rPr>
            </w:pPr>
            <w:r w:rsidRPr="007C50B8">
              <w:rPr>
                <w:color w:val="FFFFFF"/>
                <w:sz w:val="16"/>
                <w:szCs w:val="16"/>
                <w:lang w:eastAsia="en-US"/>
              </w:rPr>
              <w:t>% hlavní alokace</w:t>
            </w:r>
          </w:p>
        </w:tc>
      </w:tr>
      <w:tr w:rsidR="003A05A0" w:rsidRPr="007C50B8" w14:paraId="6F6536F2" w14:textId="77777777" w:rsidTr="00286F4A">
        <w:trPr>
          <w:trHeight w:val="305"/>
        </w:trPr>
        <w:tc>
          <w:tcPr>
            <w:tcW w:w="739" w:type="dxa"/>
            <w:vAlign w:val="center"/>
          </w:tcPr>
          <w:p w14:paraId="72D33FFD"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PO 3</w:t>
            </w:r>
          </w:p>
        </w:tc>
        <w:tc>
          <w:tcPr>
            <w:tcW w:w="1002" w:type="dxa"/>
            <w:shd w:val="solid" w:color="FFFFFF" w:fill="auto"/>
            <w:vAlign w:val="center"/>
          </w:tcPr>
          <w:p w14:paraId="2D4AB4B0"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3.2 e.gov</w:t>
            </w:r>
          </w:p>
        </w:tc>
        <w:tc>
          <w:tcPr>
            <w:tcW w:w="709" w:type="dxa"/>
            <w:shd w:val="solid" w:color="FFFFFF" w:fill="auto"/>
            <w:vAlign w:val="center"/>
          </w:tcPr>
          <w:p w14:paraId="26028D72"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EFRR</w:t>
            </w:r>
          </w:p>
        </w:tc>
        <w:tc>
          <w:tcPr>
            <w:tcW w:w="851" w:type="dxa"/>
            <w:shd w:val="solid" w:color="FFFFFF" w:fill="auto"/>
            <w:vAlign w:val="center"/>
          </w:tcPr>
          <w:p w14:paraId="4AF90928"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MRR</w:t>
            </w:r>
          </w:p>
        </w:tc>
        <w:tc>
          <w:tcPr>
            <w:tcW w:w="992" w:type="dxa"/>
            <w:vAlign w:val="center"/>
          </w:tcPr>
          <w:p w14:paraId="4EE12CF4"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7 418,8</w:t>
            </w:r>
          </w:p>
        </w:tc>
        <w:tc>
          <w:tcPr>
            <w:tcW w:w="992" w:type="dxa"/>
            <w:vAlign w:val="center"/>
          </w:tcPr>
          <w:p w14:paraId="2F867C49"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12 173,3</w:t>
            </w:r>
          </w:p>
        </w:tc>
        <w:tc>
          <w:tcPr>
            <w:tcW w:w="850" w:type="dxa"/>
            <w:vAlign w:val="center"/>
          </w:tcPr>
          <w:p w14:paraId="555AC8B8"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164,1 %</w:t>
            </w:r>
          </w:p>
        </w:tc>
        <w:tc>
          <w:tcPr>
            <w:tcW w:w="851" w:type="dxa"/>
            <w:vAlign w:val="center"/>
          </w:tcPr>
          <w:p w14:paraId="16D330A2"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7</w:t>
            </w:r>
            <w:r w:rsidR="00FD7BB9">
              <w:rPr>
                <w:color w:val="000000"/>
                <w:sz w:val="16"/>
                <w:szCs w:val="16"/>
                <w:lang w:eastAsia="en-US"/>
              </w:rPr>
              <w:t> </w:t>
            </w:r>
            <w:r>
              <w:rPr>
                <w:color w:val="000000"/>
                <w:sz w:val="16"/>
                <w:szCs w:val="16"/>
                <w:lang w:eastAsia="en-US"/>
              </w:rPr>
              <w:t>9</w:t>
            </w:r>
            <w:r w:rsidR="00FD7BB9">
              <w:rPr>
                <w:color w:val="000000"/>
                <w:sz w:val="16"/>
                <w:szCs w:val="16"/>
                <w:lang w:eastAsia="en-US"/>
              </w:rPr>
              <w:t>18,7</w:t>
            </w:r>
          </w:p>
        </w:tc>
        <w:tc>
          <w:tcPr>
            <w:tcW w:w="850" w:type="dxa"/>
            <w:vAlign w:val="center"/>
          </w:tcPr>
          <w:p w14:paraId="3EFD7F02"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106,</w:t>
            </w:r>
            <w:r w:rsidR="00FD7BB9">
              <w:rPr>
                <w:color w:val="000000"/>
                <w:sz w:val="16"/>
                <w:szCs w:val="16"/>
                <w:lang w:eastAsia="en-US"/>
              </w:rPr>
              <w:t>7</w:t>
            </w:r>
            <w:r>
              <w:rPr>
                <w:color w:val="000000"/>
                <w:sz w:val="16"/>
                <w:szCs w:val="16"/>
                <w:lang w:eastAsia="en-US"/>
              </w:rPr>
              <w:t xml:space="preserve"> %</w:t>
            </w:r>
          </w:p>
        </w:tc>
        <w:tc>
          <w:tcPr>
            <w:tcW w:w="851" w:type="dxa"/>
            <w:shd w:val="clear" w:color="auto" w:fill="auto"/>
            <w:vAlign w:val="center"/>
          </w:tcPr>
          <w:p w14:paraId="1DFE467F" w14:textId="77777777" w:rsidR="003A05A0" w:rsidRPr="00D62824" w:rsidRDefault="00FD7BB9"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1007</w:t>
            </w:r>
            <w:r w:rsidR="003A05A0">
              <w:rPr>
                <w:color w:val="000000"/>
                <w:sz w:val="16"/>
                <w:szCs w:val="16"/>
                <w:lang w:eastAsia="en-US"/>
              </w:rPr>
              <w:t>,7</w:t>
            </w:r>
          </w:p>
        </w:tc>
        <w:tc>
          <w:tcPr>
            <w:tcW w:w="709" w:type="dxa"/>
            <w:shd w:val="clear" w:color="auto" w:fill="auto"/>
            <w:vAlign w:val="center"/>
          </w:tcPr>
          <w:p w14:paraId="3EE336A6" w14:textId="77777777" w:rsidR="003A05A0" w:rsidRPr="00D62824" w:rsidRDefault="00FD7BB9"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13,6</w:t>
            </w:r>
            <w:r w:rsidR="003A05A0">
              <w:rPr>
                <w:color w:val="000000"/>
                <w:sz w:val="16"/>
                <w:szCs w:val="16"/>
                <w:lang w:eastAsia="en-US"/>
              </w:rPr>
              <w:t xml:space="preserve"> %</w:t>
            </w:r>
          </w:p>
        </w:tc>
        <w:tc>
          <w:tcPr>
            <w:tcW w:w="851" w:type="dxa"/>
            <w:shd w:val="clear" w:color="auto" w:fill="auto"/>
            <w:vAlign w:val="center"/>
          </w:tcPr>
          <w:p w14:paraId="2DB46735" w14:textId="77777777" w:rsidR="003A05A0" w:rsidRPr="00D62824" w:rsidRDefault="003A05A0" w:rsidP="00FD7BB9">
            <w:pPr>
              <w:autoSpaceDE w:val="0"/>
              <w:autoSpaceDN w:val="0"/>
              <w:adjustRightInd w:val="0"/>
              <w:spacing w:after="0" w:line="240" w:lineRule="auto"/>
              <w:jc w:val="center"/>
              <w:rPr>
                <w:color w:val="000000"/>
                <w:sz w:val="16"/>
                <w:szCs w:val="16"/>
                <w:lang w:eastAsia="en-US"/>
              </w:rPr>
            </w:pPr>
            <w:r>
              <w:rPr>
                <w:color w:val="000000"/>
                <w:sz w:val="16"/>
                <w:szCs w:val="16"/>
                <w:lang w:eastAsia="en-US"/>
              </w:rPr>
              <w:t>1</w:t>
            </w:r>
            <w:r w:rsidR="00FD7BB9">
              <w:rPr>
                <w:color w:val="000000"/>
                <w:sz w:val="16"/>
                <w:szCs w:val="16"/>
                <w:lang w:eastAsia="en-US"/>
              </w:rPr>
              <w:t> </w:t>
            </w:r>
            <w:r>
              <w:rPr>
                <w:color w:val="000000"/>
                <w:sz w:val="16"/>
                <w:szCs w:val="16"/>
                <w:lang w:eastAsia="en-US"/>
              </w:rPr>
              <w:t>0</w:t>
            </w:r>
            <w:r w:rsidR="00FD7BB9">
              <w:rPr>
                <w:color w:val="000000"/>
                <w:sz w:val="16"/>
                <w:szCs w:val="16"/>
                <w:lang w:eastAsia="en-US"/>
              </w:rPr>
              <w:t>67,0</w:t>
            </w:r>
          </w:p>
        </w:tc>
        <w:tc>
          <w:tcPr>
            <w:tcW w:w="708" w:type="dxa"/>
            <w:shd w:val="clear" w:color="auto" w:fill="auto"/>
            <w:vAlign w:val="center"/>
          </w:tcPr>
          <w:p w14:paraId="7CE81B1E" w14:textId="77777777" w:rsidR="003A05A0" w:rsidRPr="00D62824"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w:t>
            </w:r>
            <w:r w:rsidR="00FD7BB9">
              <w:rPr>
                <w:color w:val="000000"/>
                <w:sz w:val="16"/>
                <w:szCs w:val="16"/>
                <w:lang w:eastAsia="en-US"/>
              </w:rPr>
              <w:t>4,4</w:t>
            </w:r>
            <w:r>
              <w:rPr>
                <w:color w:val="000000"/>
                <w:sz w:val="16"/>
                <w:szCs w:val="16"/>
                <w:lang w:eastAsia="en-US"/>
              </w:rPr>
              <w:t xml:space="preserve"> %</w:t>
            </w:r>
          </w:p>
        </w:tc>
      </w:tr>
      <w:tr w:rsidR="003A05A0" w:rsidRPr="007C50B8" w14:paraId="25A8C2A4" w14:textId="77777777" w:rsidTr="00286F4A">
        <w:trPr>
          <w:trHeight w:val="305"/>
        </w:trPr>
        <w:tc>
          <w:tcPr>
            <w:tcW w:w="739" w:type="dxa"/>
            <w:vAlign w:val="center"/>
          </w:tcPr>
          <w:p w14:paraId="18F9D53B"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lastRenderedPageBreak/>
              <w:t>PO 3</w:t>
            </w:r>
          </w:p>
        </w:tc>
        <w:tc>
          <w:tcPr>
            <w:tcW w:w="1002" w:type="dxa"/>
            <w:shd w:val="solid" w:color="FFFFFF" w:fill="auto"/>
            <w:vAlign w:val="center"/>
          </w:tcPr>
          <w:p w14:paraId="437600E4"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3.2 e.gov</w:t>
            </w:r>
          </w:p>
        </w:tc>
        <w:tc>
          <w:tcPr>
            <w:tcW w:w="709" w:type="dxa"/>
            <w:shd w:val="solid" w:color="FFFFFF" w:fill="auto"/>
            <w:vAlign w:val="center"/>
          </w:tcPr>
          <w:p w14:paraId="210CF71B"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EFRR</w:t>
            </w:r>
          </w:p>
        </w:tc>
        <w:tc>
          <w:tcPr>
            <w:tcW w:w="851" w:type="dxa"/>
            <w:shd w:val="solid" w:color="FFFFFF" w:fill="auto"/>
            <w:vAlign w:val="center"/>
          </w:tcPr>
          <w:p w14:paraId="09709D34"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sidRPr="007C50B8">
              <w:rPr>
                <w:color w:val="000000"/>
                <w:sz w:val="16"/>
                <w:szCs w:val="16"/>
                <w:lang w:eastAsia="en-US"/>
              </w:rPr>
              <w:t>VRR</w:t>
            </w:r>
          </w:p>
        </w:tc>
        <w:tc>
          <w:tcPr>
            <w:tcW w:w="992" w:type="dxa"/>
            <w:vAlign w:val="center"/>
          </w:tcPr>
          <w:p w14:paraId="404B97ED"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586,6</w:t>
            </w:r>
          </w:p>
        </w:tc>
        <w:tc>
          <w:tcPr>
            <w:tcW w:w="992" w:type="dxa"/>
            <w:vAlign w:val="center"/>
          </w:tcPr>
          <w:p w14:paraId="2F10363E"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788,6</w:t>
            </w:r>
          </w:p>
        </w:tc>
        <w:tc>
          <w:tcPr>
            <w:tcW w:w="850" w:type="dxa"/>
            <w:vAlign w:val="center"/>
          </w:tcPr>
          <w:p w14:paraId="1BFDA585"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134,4 %</w:t>
            </w:r>
          </w:p>
        </w:tc>
        <w:tc>
          <w:tcPr>
            <w:tcW w:w="851" w:type="dxa"/>
            <w:vAlign w:val="center"/>
          </w:tcPr>
          <w:p w14:paraId="6CC38D3F"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394,</w:t>
            </w:r>
            <w:r w:rsidR="00FD7BB9">
              <w:rPr>
                <w:color w:val="000000"/>
                <w:sz w:val="16"/>
                <w:szCs w:val="16"/>
                <w:lang w:eastAsia="en-US"/>
              </w:rPr>
              <w:t>4</w:t>
            </w:r>
          </w:p>
        </w:tc>
        <w:tc>
          <w:tcPr>
            <w:tcW w:w="850" w:type="dxa"/>
            <w:vAlign w:val="center"/>
          </w:tcPr>
          <w:p w14:paraId="250E90FD" w14:textId="77777777" w:rsidR="003A05A0" w:rsidRPr="007C50B8"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67,</w:t>
            </w:r>
            <w:r w:rsidR="00FD7BB9">
              <w:rPr>
                <w:color w:val="000000"/>
                <w:sz w:val="16"/>
                <w:szCs w:val="16"/>
                <w:lang w:eastAsia="en-US"/>
              </w:rPr>
              <w:t>2</w:t>
            </w:r>
            <w:r>
              <w:rPr>
                <w:color w:val="000000"/>
                <w:sz w:val="16"/>
                <w:szCs w:val="16"/>
                <w:lang w:eastAsia="en-US"/>
              </w:rPr>
              <w:t xml:space="preserve"> %</w:t>
            </w:r>
          </w:p>
        </w:tc>
        <w:tc>
          <w:tcPr>
            <w:tcW w:w="851" w:type="dxa"/>
            <w:shd w:val="clear" w:color="auto" w:fill="auto"/>
            <w:vAlign w:val="center"/>
          </w:tcPr>
          <w:p w14:paraId="3ADD115A" w14:textId="77777777" w:rsidR="003A05A0" w:rsidRPr="00D62824"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17,</w:t>
            </w:r>
            <w:r w:rsidR="00FD7BB9">
              <w:rPr>
                <w:color w:val="000000"/>
                <w:sz w:val="16"/>
                <w:szCs w:val="16"/>
                <w:lang w:eastAsia="en-US"/>
              </w:rPr>
              <w:t>1</w:t>
            </w:r>
          </w:p>
        </w:tc>
        <w:tc>
          <w:tcPr>
            <w:tcW w:w="709" w:type="dxa"/>
            <w:shd w:val="clear" w:color="auto" w:fill="auto"/>
            <w:vAlign w:val="center"/>
          </w:tcPr>
          <w:p w14:paraId="4DEF828F" w14:textId="77777777" w:rsidR="003A05A0" w:rsidRPr="00D62824"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2,9 %</w:t>
            </w:r>
          </w:p>
        </w:tc>
        <w:tc>
          <w:tcPr>
            <w:tcW w:w="851" w:type="dxa"/>
            <w:shd w:val="clear" w:color="auto" w:fill="auto"/>
            <w:vAlign w:val="center"/>
          </w:tcPr>
          <w:p w14:paraId="7870921F" w14:textId="77777777" w:rsidR="003A05A0" w:rsidRPr="00D62824"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17,</w:t>
            </w:r>
            <w:r w:rsidR="00FD7BB9">
              <w:rPr>
                <w:color w:val="000000"/>
                <w:sz w:val="16"/>
                <w:szCs w:val="16"/>
                <w:lang w:eastAsia="en-US"/>
              </w:rPr>
              <w:t>1</w:t>
            </w:r>
          </w:p>
        </w:tc>
        <w:tc>
          <w:tcPr>
            <w:tcW w:w="708" w:type="dxa"/>
            <w:shd w:val="clear" w:color="auto" w:fill="auto"/>
            <w:vAlign w:val="center"/>
          </w:tcPr>
          <w:p w14:paraId="11A297DD" w14:textId="77777777" w:rsidR="003A05A0" w:rsidRPr="00D62824" w:rsidRDefault="003A05A0" w:rsidP="003A05A0">
            <w:pPr>
              <w:autoSpaceDE w:val="0"/>
              <w:autoSpaceDN w:val="0"/>
              <w:adjustRightInd w:val="0"/>
              <w:spacing w:after="0" w:line="240" w:lineRule="auto"/>
              <w:jc w:val="center"/>
              <w:rPr>
                <w:color w:val="000000"/>
                <w:sz w:val="16"/>
                <w:szCs w:val="16"/>
                <w:lang w:eastAsia="en-US"/>
              </w:rPr>
            </w:pPr>
            <w:r>
              <w:rPr>
                <w:color w:val="000000"/>
                <w:sz w:val="16"/>
                <w:szCs w:val="16"/>
                <w:lang w:eastAsia="en-US"/>
              </w:rPr>
              <w:t>2,9 %</w:t>
            </w:r>
          </w:p>
        </w:tc>
      </w:tr>
    </w:tbl>
    <w:p w14:paraId="563FE0BF" w14:textId="2D679D08" w:rsidR="000E5A5D" w:rsidRDefault="000E5A5D" w:rsidP="000E5A5D">
      <w:pPr>
        <w:shd w:val="clear" w:color="auto" w:fill="FFFFFF" w:themeFill="background1"/>
        <w:rPr>
          <w:i/>
          <w:szCs w:val="20"/>
        </w:rPr>
      </w:pPr>
      <w:r>
        <w:rPr>
          <w:i/>
          <w:color w:val="000000" w:themeColor="text1"/>
          <w:sz w:val="16"/>
          <w:szCs w:val="16"/>
          <w:bdr w:val="none" w:sz="0" w:space="0" w:color="auto" w:frame="1"/>
        </w:rPr>
        <w:t>Zdroj: MS2014+, stav ke dni </w:t>
      </w:r>
      <w:r w:rsidR="00FD7BB9">
        <w:rPr>
          <w:i/>
          <w:color w:val="000000" w:themeColor="text1"/>
          <w:sz w:val="16"/>
          <w:szCs w:val="16"/>
          <w:bdr w:val="none" w:sz="0" w:space="0" w:color="auto" w:frame="1"/>
        </w:rPr>
        <w:t>17</w:t>
      </w:r>
      <w:r w:rsidR="003A05A0">
        <w:rPr>
          <w:i/>
          <w:color w:val="000000" w:themeColor="text1"/>
          <w:sz w:val="16"/>
          <w:szCs w:val="16"/>
          <w:bdr w:val="none" w:sz="0" w:space="0" w:color="auto" w:frame="1"/>
        </w:rPr>
        <w:t xml:space="preserve">. </w:t>
      </w:r>
      <w:r w:rsidR="00FD7BB9">
        <w:rPr>
          <w:i/>
          <w:color w:val="000000" w:themeColor="text1"/>
          <w:sz w:val="16"/>
          <w:szCs w:val="16"/>
          <w:bdr w:val="none" w:sz="0" w:space="0" w:color="auto" w:frame="1"/>
        </w:rPr>
        <w:t>7</w:t>
      </w:r>
      <w:r w:rsidR="003A05A0">
        <w:rPr>
          <w:i/>
          <w:color w:val="000000" w:themeColor="text1"/>
          <w:sz w:val="16"/>
          <w:szCs w:val="16"/>
          <w:bdr w:val="none" w:sz="0" w:space="0" w:color="auto" w:frame="1"/>
        </w:rPr>
        <w:t>. 2019;</w:t>
      </w:r>
      <w:r>
        <w:rPr>
          <w:i/>
          <w:color w:val="000000" w:themeColor="text1"/>
          <w:sz w:val="16"/>
          <w:szCs w:val="16"/>
          <w:bdr w:val="none" w:sz="0" w:space="0" w:color="auto" w:frame="1"/>
        </w:rPr>
        <w:t xml:space="preserve"> příspěvek </w:t>
      </w:r>
      <w:r w:rsidR="003A05A0">
        <w:rPr>
          <w:i/>
          <w:color w:val="000000" w:themeColor="text1"/>
          <w:sz w:val="16"/>
          <w:szCs w:val="16"/>
          <w:bdr w:val="none" w:sz="0" w:space="0" w:color="auto" w:frame="1"/>
        </w:rPr>
        <w:t>EU</w:t>
      </w:r>
      <w:r>
        <w:rPr>
          <w:i/>
          <w:color w:val="000000" w:themeColor="text1"/>
          <w:sz w:val="16"/>
          <w:szCs w:val="16"/>
          <w:bdr w:val="none" w:sz="0" w:space="0" w:color="auto" w:frame="1"/>
        </w:rPr>
        <w:t>, pozn. Kategorie regionu – MRR = Méně rozvinuté regiony, VRR = Více rozvinuté regiony</w:t>
      </w:r>
      <w:r w:rsidR="00EB548A">
        <w:rPr>
          <w:i/>
          <w:color w:val="000000" w:themeColor="text1"/>
          <w:sz w:val="16"/>
          <w:szCs w:val="16"/>
          <w:bdr w:val="none" w:sz="0" w:space="0" w:color="auto" w:frame="1"/>
        </w:rPr>
        <w:t>; částka hlavní alokace SC (MRR) v EUR je 287,1 mil.; částka hlavní alokace SF (VRR) je 22,7 mil. (při použití kurzu 1 EUR = 25,843 CZK</w:t>
      </w:r>
    </w:p>
    <w:p w14:paraId="6B9DF10D" w14:textId="77777777" w:rsidR="000E5A5D" w:rsidRDefault="000E5A5D" w:rsidP="00B739D7">
      <w:pPr>
        <w:rPr>
          <w:szCs w:val="20"/>
        </w:rPr>
      </w:pPr>
    </w:p>
    <w:p w14:paraId="25356E9E" w14:textId="77777777" w:rsidR="000E5A5D" w:rsidRDefault="00E7586A" w:rsidP="000A76A3">
      <w:r>
        <w:t>Finanční požadavky</w:t>
      </w:r>
      <w:r w:rsidR="000A76A3">
        <w:t xml:space="preserve"> projektů</w:t>
      </w:r>
      <w:r w:rsidR="00325AF6" w:rsidRPr="000A76A3">
        <w:t xml:space="preserve"> v SC </w:t>
      </w:r>
      <w:r w:rsidR="000A76A3" w:rsidRPr="000A76A3">
        <w:t>3.2, které se nacházely</w:t>
      </w:r>
      <w:r w:rsidR="00325AF6" w:rsidRPr="000A76A3">
        <w:t xml:space="preserve"> v zásobníku projektů, </w:t>
      </w:r>
      <w:r w:rsidR="000A76A3">
        <w:t>budou uspokojeny z</w:t>
      </w:r>
      <w:r w:rsidR="00325AF6" w:rsidRPr="000A76A3">
        <w:t xml:space="preserve"> úspor na </w:t>
      </w:r>
      <w:r w:rsidR="000A76A3">
        <w:t xml:space="preserve">ostatních realizovaných </w:t>
      </w:r>
      <w:r w:rsidR="00325AF6" w:rsidRPr="000A76A3">
        <w:t xml:space="preserve">projektech. </w:t>
      </w:r>
    </w:p>
    <w:p w14:paraId="0DE176A6" w14:textId="77777777" w:rsidR="00D8736A" w:rsidRDefault="00D8736A" w:rsidP="000A76A3">
      <w:pPr>
        <w:rPr>
          <w:szCs w:val="20"/>
        </w:rPr>
      </w:pPr>
    </w:p>
    <w:p w14:paraId="1D916A37" w14:textId="77777777" w:rsidR="000E5A5D" w:rsidRPr="000E5A5D" w:rsidRDefault="00663821" w:rsidP="000E5A5D">
      <w:pPr>
        <w:pStyle w:val="Nadpis2"/>
      </w:pPr>
      <w:r>
        <w:t>Harmonogram realokace</w:t>
      </w:r>
      <w:r w:rsidR="00FD71C8">
        <w:t xml:space="preserve"> ESIF</w:t>
      </w:r>
    </w:p>
    <w:p w14:paraId="6EA48463" w14:textId="77777777" w:rsidR="00663821" w:rsidRDefault="00663821" w:rsidP="00663821"/>
    <w:p w14:paraId="3877C3F3" w14:textId="24219911" w:rsidR="00663821" w:rsidRDefault="002A7836" w:rsidP="00663821">
      <w:r>
        <w:t xml:space="preserve">Realokace finanční prostředků </w:t>
      </w:r>
      <w:r w:rsidR="00BB2637">
        <w:t xml:space="preserve">ESIF mezi jednotlivými programy je umožněna </w:t>
      </w:r>
      <w:r w:rsidR="00286F4A">
        <w:t>dle pravidel Obecného nařízení EU</w:t>
      </w:r>
      <w:r w:rsidR="007010E2">
        <w:t xml:space="preserve"> </w:t>
      </w:r>
      <w:r w:rsidR="00286F4A">
        <w:t>1303/2013</w:t>
      </w:r>
      <w:r w:rsidR="00286F4A">
        <w:rPr>
          <w:rStyle w:val="Znakapoznpodarou"/>
        </w:rPr>
        <w:footnoteReference w:id="7"/>
      </w:r>
      <w:r w:rsidR="00FD71C8">
        <w:t xml:space="preserve">, a to formou </w:t>
      </w:r>
      <w:r w:rsidR="00FD71C8" w:rsidRPr="00F52293">
        <w:rPr>
          <w:b/>
        </w:rPr>
        <w:t>změny dotčených programových dokumentů</w:t>
      </w:r>
      <w:r w:rsidR="00FD71C8">
        <w:t>. Pro provedení změn programových dokumentů je nutné, aby návrh změn nejprve schválily monitorovací výbory dotčených operačních programů. Návrh je dále předložen Ministerstvu životního prostředí ke stanovisku z pohledu posouzení vlivu na životní prostředí (dle požadavků SEA) a následně spolu se stanoviskem zpracován do finální podoby a zaslán prostřednictvím systému SFC do Evropské komise ke schválení. Lhůta Evropské komise je 3 měsíce, nejsou-li z její strany vzneseny žádné připomínky.</w:t>
      </w:r>
      <w:r w:rsidR="0026698D">
        <w:t xml:space="preserve"> </w:t>
      </w:r>
    </w:p>
    <w:p w14:paraId="65A51006" w14:textId="77777777" w:rsidR="00663821" w:rsidRDefault="00FD71C8" w:rsidP="00663821">
      <w:r>
        <w:t xml:space="preserve">Očekávaný </w:t>
      </w:r>
      <w:r w:rsidRPr="00371A1C">
        <w:rPr>
          <w:b/>
        </w:rPr>
        <w:t>harmonogram realokace prostředků ESIF</w:t>
      </w:r>
      <w:r>
        <w:t xml:space="preserve"> je následující:</w:t>
      </w:r>
    </w:p>
    <w:p w14:paraId="0864B2B7" w14:textId="11F20DDC" w:rsidR="0086620A" w:rsidRPr="00D44FBE" w:rsidRDefault="005B0754" w:rsidP="00D44FBE">
      <w:pPr>
        <w:pStyle w:val="Odstavecseseznamem"/>
        <w:numPr>
          <w:ilvl w:val="0"/>
          <w:numId w:val="9"/>
        </w:numPr>
        <w:rPr>
          <w:rFonts w:ascii="Arial" w:hAnsi="Arial" w:cs="Arial"/>
        </w:rPr>
      </w:pPr>
      <w:r>
        <w:rPr>
          <w:rFonts w:ascii="Arial" w:hAnsi="Arial" w:cs="Arial"/>
        </w:rPr>
        <w:t>p</w:t>
      </w:r>
      <w:r w:rsidR="00386680">
        <w:rPr>
          <w:rFonts w:ascii="Arial" w:hAnsi="Arial" w:cs="Arial"/>
        </w:rPr>
        <w:t>rojednání návrhu materiálu R</w:t>
      </w:r>
      <w:r w:rsidR="00274E74">
        <w:rPr>
          <w:rFonts w:ascii="Arial" w:hAnsi="Arial" w:cs="Arial"/>
        </w:rPr>
        <w:t>ad</w:t>
      </w:r>
      <w:r w:rsidR="00386680">
        <w:rPr>
          <w:rFonts w:ascii="Arial" w:hAnsi="Arial" w:cs="Arial"/>
        </w:rPr>
        <w:t>o</w:t>
      </w:r>
      <w:r w:rsidR="00274E74">
        <w:rPr>
          <w:rFonts w:ascii="Arial" w:hAnsi="Arial" w:cs="Arial"/>
        </w:rPr>
        <w:t>u</w:t>
      </w:r>
      <w:r w:rsidR="0086620A" w:rsidRPr="00D44FBE">
        <w:rPr>
          <w:rFonts w:ascii="Arial" w:hAnsi="Arial" w:cs="Arial"/>
        </w:rPr>
        <w:t xml:space="preserve"> pro ESI fondy na ministerské úrovni</w:t>
      </w:r>
      <w:r w:rsidR="00386680">
        <w:rPr>
          <w:rFonts w:ascii="Arial" w:hAnsi="Arial" w:cs="Arial"/>
        </w:rPr>
        <w:t xml:space="preserve"> v srpnu 2019</w:t>
      </w:r>
      <w:r w:rsidR="0094088D">
        <w:rPr>
          <w:rFonts w:ascii="Arial" w:hAnsi="Arial" w:cs="Arial"/>
        </w:rPr>
        <w:t xml:space="preserve"> (per </w:t>
      </w:r>
      <w:r>
        <w:rPr>
          <w:rFonts w:ascii="Arial" w:hAnsi="Arial" w:cs="Arial"/>
        </w:rPr>
        <w:t>rollam)</w:t>
      </w:r>
    </w:p>
    <w:p w14:paraId="1A28C59D" w14:textId="0E0A7316" w:rsidR="0086620A" w:rsidRDefault="0086620A" w:rsidP="00D44FBE">
      <w:pPr>
        <w:pStyle w:val="Odstavecseseznamem"/>
        <w:numPr>
          <w:ilvl w:val="0"/>
          <w:numId w:val="9"/>
        </w:numPr>
        <w:rPr>
          <w:rFonts w:ascii="Arial" w:hAnsi="Arial" w:cs="Arial"/>
        </w:rPr>
      </w:pPr>
      <w:r w:rsidRPr="00D44FBE">
        <w:rPr>
          <w:rFonts w:ascii="Arial" w:hAnsi="Arial" w:cs="Arial"/>
        </w:rPr>
        <w:t xml:space="preserve">zahájena </w:t>
      </w:r>
      <w:r w:rsidR="004B46F4">
        <w:rPr>
          <w:rFonts w:ascii="Arial" w:hAnsi="Arial" w:cs="Arial"/>
        </w:rPr>
        <w:t xml:space="preserve">neformální konzultace </w:t>
      </w:r>
      <w:r w:rsidR="002A7836">
        <w:rPr>
          <w:rFonts w:ascii="Arial" w:hAnsi="Arial" w:cs="Arial"/>
        </w:rPr>
        <w:t>s EK (</w:t>
      </w:r>
      <w:r w:rsidRPr="00D44FBE">
        <w:rPr>
          <w:rFonts w:ascii="Arial" w:hAnsi="Arial" w:cs="Arial"/>
        </w:rPr>
        <w:t>září</w:t>
      </w:r>
      <w:r w:rsidR="002A7836">
        <w:rPr>
          <w:rFonts w:ascii="Arial" w:hAnsi="Arial" w:cs="Arial"/>
        </w:rPr>
        <w:t xml:space="preserve"> 2019)</w:t>
      </w:r>
    </w:p>
    <w:p w14:paraId="2931D52E" w14:textId="77777777" w:rsidR="00487456" w:rsidRPr="00487456" w:rsidRDefault="00487456" w:rsidP="00487456">
      <w:pPr>
        <w:pStyle w:val="Odstavecseseznamem"/>
        <w:numPr>
          <w:ilvl w:val="0"/>
          <w:numId w:val="9"/>
        </w:numPr>
        <w:rPr>
          <w:rFonts w:ascii="Arial" w:hAnsi="Arial" w:cs="Arial"/>
        </w:rPr>
      </w:pPr>
      <w:r>
        <w:rPr>
          <w:rFonts w:ascii="Arial" w:hAnsi="Arial" w:cs="Arial"/>
        </w:rPr>
        <w:t>předložení materiálu k realokaci na vládu (</w:t>
      </w:r>
      <w:r w:rsidR="006262F6">
        <w:rPr>
          <w:rFonts w:ascii="Arial" w:hAnsi="Arial" w:cs="Arial"/>
        </w:rPr>
        <w:t xml:space="preserve">říjen </w:t>
      </w:r>
      <w:r>
        <w:rPr>
          <w:rFonts w:ascii="Arial" w:hAnsi="Arial" w:cs="Arial"/>
        </w:rPr>
        <w:t>2019)</w:t>
      </w:r>
    </w:p>
    <w:p w14:paraId="77CC0193" w14:textId="37EE4C1D" w:rsidR="00487456" w:rsidRPr="004D374C" w:rsidRDefault="0086620A" w:rsidP="00487456">
      <w:pPr>
        <w:pStyle w:val="Odstavecseseznamem"/>
        <w:numPr>
          <w:ilvl w:val="0"/>
          <w:numId w:val="9"/>
        </w:numPr>
        <w:rPr>
          <w:rFonts w:ascii="Arial" w:hAnsi="Arial" w:cs="Arial"/>
        </w:rPr>
      </w:pPr>
      <w:r w:rsidRPr="00D44FBE">
        <w:rPr>
          <w:rFonts w:ascii="Arial" w:hAnsi="Arial" w:cs="Arial"/>
        </w:rPr>
        <w:t>svolání monitorovacích výborů a pře</w:t>
      </w:r>
      <w:r w:rsidR="00487456">
        <w:rPr>
          <w:rFonts w:ascii="Arial" w:hAnsi="Arial" w:cs="Arial"/>
        </w:rPr>
        <w:t xml:space="preserve">dložení návrhu revize </w:t>
      </w:r>
      <w:r w:rsidR="00487456" w:rsidRPr="004D374C">
        <w:rPr>
          <w:rFonts w:ascii="Arial" w:hAnsi="Arial" w:cs="Arial"/>
        </w:rPr>
        <w:t>programů</w:t>
      </w:r>
      <w:r w:rsidR="005B0754" w:rsidRPr="004D374C">
        <w:rPr>
          <w:rFonts w:ascii="Arial" w:hAnsi="Arial" w:cs="Arial"/>
        </w:rPr>
        <w:t xml:space="preserve"> k</w:t>
      </w:r>
      <w:r w:rsidR="00E150FC">
        <w:rPr>
          <w:rFonts w:ascii="Arial" w:hAnsi="Arial" w:cs="Arial"/>
        </w:rPr>
        <w:t> </w:t>
      </w:r>
      <w:r w:rsidR="005B0754" w:rsidRPr="004D374C">
        <w:rPr>
          <w:rFonts w:ascii="Arial" w:hAnsi="Arial" w:cs="Arial"/>
        </w:rPr>
        <w:t>projednání</w:t>
      </w:r>
      <w:r w:rsidR="00E150FC">
        <w:rPr>
          <w:rFonts w:ascii="Arial" w:hAnsi="Arial" w:cs="Arial"/>
        </w:rPr>
        <w:t>, resp. ke schválení v případě IROP</w:t>
      </w:r>
      <w:r w:rsidR="00487456" w:rsidRPr="004D374C">
        <w:rPr>
          <w:rFonts w:ascii="Arial" w:hAnsi="Arial" w:cs="Arial"/>
        </w:rPr>
        <w:t xml:space="preserve"> (</w:t>
      </w:r>
      <w:r w:rsidR="006262F6" w:rsidRPr="004D374C">
        <w:rPr>
          <w:rFonts w:ascii="Arial" w:hAnsi="Arial" w:cs="Arial"/>
        </w:rPr>
        <w:t>7. 11. 2019</w:t>
      </w:r>
      <w:r w:rsidRPr="004D374C">
        <w:rPr>
          <w:rFonts w:ascii="Arial" w:hAnsi="Arial" w:cs="Arial"/>
        </w:rPr>
        <w:t xml:space="preserve"> ŘO OP PIK</w:t>
      </w:r>
      <w:r w:rsidR="0061027C" w:rsidRPr="004D374C">
        <w:rPr>
          <w:rFonts w:ascii="Arial" w:hAnsi="Arial" w:cs="Arial"/>
        </w:rPr>
        <w:t xml:space="preserve">, </w:t>
      </w:r>
      <w:r w:rsidR="006262F6" w:rsidRPr="004D374C">
        <w:rPr>
          <w:rFonts w:ascii="Arial" w:hAnsi="Arial" w:cs="Arial"/>
        </w:rPr>
        <w:t>20. 11. 2019</w:t>
      </w:r>
      <w:r w:rsidR="0061027C" w:rsidRPr="004D374C">
        <w:rPr>
          <w:rFonts w:ascii="Arial" w:hAnsi="Arial" w:cs="Arial"/>
        </w:rPr>
        <w:t xml:space="preserve"> ŘO IROP</w:t>
      </w:r>
      <w:r w:rsidRPr="004D374C">
        <w:rPr>
          <w:rFonts w:ascii="Arial" w:hAnsi="Arial" w:cs="Arial"/>
        </w:rPr>
        <w:t>)</w:t>
      </w:r>
    </w:p>
    <w:p w14:paraId="74E1A5D5" w14:textId="391F7B7E" w:rsidR="005B0754" w:rsidRPr="004D374C" w:rsidRDefault="00E150FC" w:rsidP="00487456">
      <w:pPr>
        <w:pStyle w:val="Odstavecseseznamem"/>
        <w:numPr>
          <w:ilvl w:val="0"/>
          <w:numId w:val="9"/>
        </w:numPr>
        <w:rPr>
          <w:rFonts w:ascii="Arial" w:hAnsi="Arial" w:cs="Arial"/>
        </w:rPr>
      </w:pPr>
      <w:r>
        <w:rPr>
          <w:rFonts w:ascii="Arial" w:hAnsi="Arial" w:cs="Arial"/>
        </w:rPr>
        <w:t>následně bude návrh revize OP PIK</w:t>
      </w:r>
      <w:r w:rsidR="005B0754" w:rsidRPr="004D374C">
        <w:rPr>
          <w:rFonts w:ascii="Arial" w:hAnsi="Arial" w:cs="Arial"/>
        </w:rPr>
        <w:t xml:space="preserve"> rozpracován </w:t>
      </w:r>
      <w:r>
        <w:rPr>
          <w:rFonts w:ascii="Arial" w:hAnsi="Arial" w:cs="Arial"/>
        </w:rPr>
        <w:t>do podob</w:t>
      </w:r>
      <w:r w:rsidR="005B0754" w:rsidRPr="004D374C">
        <w:rPr>
          <w:rFonts w:ascii="Arial" w:hAnsi="Arial" w:cs="Arial"/>
        </w:rPr>
        <w:t>y návrhu revize programu a předložen ke schválení monitorovacím</w:t>
      </w:r>
      <w:r>
        <w:rPr>
          <w:rFonts w:ascii="Arial" w:hAnsi="Arial" w:cs="Arial"/>
        </w:rPr>
        <w:t>u výboru</w:t>
      </w:r>
      <w:r w:rsidR="005B0754" w:rsidRPr="004D374C">
        <w:rPr>
          <w:rFonts w:ascii="Arial" w:hAnsi="Arial" w:cs="Arial"/>
        </w:rPr>
        <w:t xml:space="preserve"> OP</w:t>
      </w:r>
      <w:r w:rsidR="0094088D">
        <w:rPr>
          <w:rFonts w:ascii="Arial" w:hAnsi="Arial" w:cs="Arial"/>
        </w:rPr>
        <w:t xml:space="preserve"> </w:t>
      </w:r>
      <w:r w:rsidR="005B0754" w:rsidRPr="004D374C">
        <w:rPr>
          <w:rFonts w:ascii="Arial" w:hAnsi="Arial" w:cs="Arial"/>
        </w:rPr>
        <w:t>PIK (pravděpodobně per</w:t>
      </w:r>
      <w:r w:rsidR="0094088D">
        <w:rPr>
          <w:rFonts w:ascii="Arial" w:hAnsi="Arial" w:cs="Arial"/>
        </w:rPr>
        <w:t xml:space="preserve"> </w:t>
      </w:r>
      <w:r w:rsidR="005B0754" w:rsidRPr="004D374C">
        <w:rPr>
          <w:rFonts w:ascii="Arial" w:hAnsi="Arial" w:cs="Arial"/>
        </w:rPr>
        <w:t>rollam</w:t>
      </w:r>
      <w:r w:rsidR="007F61F6" w:rsidRPr="004D374C">
        <w:rPr>
          <w:rFonts w:ascii="Arial" w:hAnsi="Arial" w:cs="Arial"/>
        </w:rPr>
        <w:t xml:space="preserve">; </w:t>
      </w:r>
      <w:r w:rsidR="004D374C">
        <w:rPr>
          <w:rFonts w:ascii="Arial" w:hAnsi="Arial" w:cs="Arial"/>
        </w:rPr>
        <w:t xml:space="preserve">leden - </w:t>
      </w:r>
      <w:r w:rsidR="00CA6FD8">
        <w:rPr>
          <w:rFonts w:ascii="Arial" w:hAnsi="Arial" w:cs="Arial"/>
        </w:rPr>
        <w:t>únor</w:t>
      </w:r>
      <w:r w:rsidR="005B0754" w:rsidRPr="004D374C">
        <w:rPr>
          <w:rFonts w:ascii="Arial" w:hAnsi="Arial" w:cs="Arial"/>
        </w:rPr>
        <w:t xml:space="preserve"> 2020)</w:t>
      </w:r>
    </w:p>
    <w:p w14:paraId="6865699F" w14:textId="1055091A" w:rsidR="00214DFF" w:rsidRPr="00D44FBE" w:rsidRDefault="00B93E49" w:rsidP="00D44FBE">
      <w:pPr>
        <w:pStyle w:val="Odstavecseseznamem"/>
        <w:numPr>
          <w:ilvl w:val="0"/>
          <w:numId w:val="9"/>
        </w:numPr>
        <w:rPr>
          <w:rFonts w:ascii="Arial" w:hAnsi="Arial" w:cs="Arial"/>
        </w:rPr>
      </w:pPr>
      <w:r>
        <w:rPr>
          <w:rFonts w:ascii="Arial" w:hAnsi="Arial" w:cs="Arial"/>
        </w:rPr>
        <w:t xml:space="preserve">po schválení revize monitorovacími výbory </w:t>
      </w:r>
      <w:r w:rsidR="00214DFF">
        <w:rPr>
          <w:rFonts w:ascii="Arial" w:hAnsi="Arial" w:cs="Arial"/>
        </w:rPr>
        <w:t xml:space="preserve">předložení návrhů revizí programů Ministerstvu životního prostředí </w:t>
      </w:r>
      <w:r w:rsidR="00495477">
        <w:rPr>
          <w:rFonts w:ascii="Arial" w:hAnsi="Arial" w:cs="Arial"/>
        </w:rPr>
        <w:t xml:space="preserve">pro posouzení návrhu </w:t>
      </w:r>
      <w:r w:rsidR="00214DFF">
        <w:rPr>
          <w:rFonts w:ascii="Arial" w:hAnsi="Arial" w:cs="Arial"/>
        </w:rPr>
        <w:t xml:space="preserve">z pohledu </w:t>
      </w:r>
      <w:r w:rsidR="00495477">
        <w:rPr>
          <w:rFonts w:ascii="Arial" w:hAnsi="Arial" w:cs="Arial"/>
        </w:rPr>
        <w:t xml:space="preserve">hodnocení </w:t>
      </w:r>
      <w:r w:rsidR="00214DFF">
        <w:rPr>
          <w:rFonts w:ascii="Arial" w:hAnsi="Arial" w:cs="Arial"/>
        </w:rPr>
        <w:t xml:space="preserve">SEA </w:t>
      </w:r>
      <w:r w:rsidR="005B0754">
        <w:rPr>
          <w:rFonts w:ascii="Arial" w:hAnsi="Arial" w:cs="Arial"/>
        </w:rPr>
        <w:t>(</w:t>
      </w:r>
      <w:r w:rsidR="00CA6FD8">
        <w:rPr>
          <w:rFonts w:ascii="Arial" w:hAnsi="Arial" w:cs="Arial"/>
        </w:rPr>
        <w:t>únor-</w:t>
      </w:r>
      <w:r w:rsidR="0026698D">
        <w:rPr>
          <w:rFonts w:ascii="Arial" w:hAnsi="Arial" w:cs="Arial"/>
        </w:rPr>
        <w:t xml:space="preserve">březen </w:t>
      </w:r>
      <w:r w:rsidR="00487456">
        <w:rPr>
          <w:rFonts w:ascii="Arial" w:hAnsi="Arial" w:cs="Arial"/>
        </w:rPr>
        <w:t>2020</w:t>
      </w:r>
      <w:r w:rsidR="00214DFF">
        <w:rPr>
          <w:rFonts w:ascii="Arial" w:hAnsi="Arial" w:cs="Arial"/>
        </w:rPr>
        <w:t>)</w:t>
      </w:r>
    </w:p>
    <w:p w14:paraId="1591F778" w14:textId="294AD47B" w:rsidR="0086620A" w:rsidRDefault="0086620A" w:rsidP="00D44FBE">
      <w:pPr>
        <w:pStyle w:val="Odstavecseseznamem"/>
        <w:numPr>
          <w:ilvl w:val="0"/>
          <w:numId w:val="9"/>
        </w:numPr>
        <w:rPr>
          <w:rFonts w:ascii="Arial" w:hAnsi="Arial" w:cs="Arial"/>
        </w:rPr>
      </w:pPr>
      <w:r w:rsidRPr="00D44FBE">
        <w:rPr>
          <w:rFonts w:ascii="Arial" w:hAnsi="Arial" w:cs="Arial"/>
        </w:rPr>
        <w:t xml:space="preserve">zaslání </w:t>
      </w:r>
      <w:r w:rsidR="00B93E49">
        <w:rPr>
          <w:rFonts w:ascii="Arial" w:hAnsi="Arial" w:cs="Arial"/>
        </w:rPr>
        <w:t xml:space="preserve">žádosti o </w:t>
      </w:r>
      <w:r w:rsidRPr="00D44FBE">
        <w:rPr>
          <w:rFonts w:ascii="Arial" w:hAnsi="Arial" w:cs="Arial"/>
        </w:rPr>
        <w:t>revize programových dokumentů do EK</w:t>
      </w:r>
      <w:r w:rsidR="00B93E49">
        <w:rPr>
          <w:rFonts w:ascii="Arial" w:hAnsi="Arial" w:cs="Arial"/>
        </w:rPr>
        <w:t xml:space="preserve"> (</w:t>
      </w:r>
      <w:r w:rsidR="005B0754">
        <w:rPr>
          <w:rFonts w:ascii="Arial" w:hAnsi="Arial" w:cs="Arial"/>
        </w:rPr>
        <w:t xml:space="preserve">březen </w:t>
      </w:r>
      <w:r w:rsidR="00B93E49">
        <w:rPr>
          <w:rFonts w:ascii="Arial" w:hAnsi="Arial" w:cs="Arial"/>
        </w:rPr>
        <w:t>2020</w:t>
      </w:r>
      <w:r w:rsidRPr="00D44FBE">
        <w:rPr>
          <w:rFonts w:ascii="Arial" w:hAnsi="Arial" w:cs="Arial"/>
        </w:rPr>
        <w:t>)</w:t>
      </w:r>
    </w:p>
    <w:p w14:paraId="1BCF6FFE" w14:textId="6FDFE8F2" w:rsidR="00B93E49" w:rsidRDefault="00B93E49" w:rsidP="00D44FBE">
      <w:pPr>
        <w:pStyle w:val="Odstavecseseznamem"/>
        <w:numPr>
          <w:ilvl w:val="0"/>
          <w:numId w:val="9"/>
        </w:numPr>
        <w:rPr>
          <w:rFonts w:ascii="Arial" w:hAnsi="Arial" w:cs="Arial"/>
        </w:rPr>
      </w:pPr>
      <w:r>
        <w:rPr>
          <w:rFonts w:ascii="Arial" w:hAnsi="Arial" w:cs="Arial"/>
        </w:rPr>
        <w:t>schvalovací proces žádostí o revize na úrovni EK (</w:t>
      </w:r>
      <w:r w:rsidR="00E72A5E">
        <w:rPr>
          <w:rFonts w:ascii="Arial" w:hAnsi="Arial" w:cs="Arial"/>
        </w:rPr>
        <w:t>duben</w:t>
      </w:r>
      <w:r w:rsidR="005B0754">
        <w:rPr>
          <w:rFonts w:ascii="Arial" w:hAnsi="Arial" w:cs="Arial"/>
        </w:rPr>
        <w:t xml:space="preserve"> -</w:t>
      </w:r>
      <w:r w:rsidR="00E72A5E">
        <w:rPr>
          <w:rFonts w:ascii="Arial" w:hAnsi="Arial" w:cs="Arial"/>
        </w:rPr>
        <w:t xml:space="preserve"> červ</w:t>
      </w:r>
      <w:r w:rsidR="005B0754">
        <w:rPr>
          <w:rFonts w:ascii="Arial" w:hAnsi="Arial" w:cs="Arial"/>
        </w:rPr>
        <w:t>en</w:t>
      </w:r>
      <w:r>
        <w:rPr>
          <w:rFonts w:ascii="Arial" w:hAnsi="Arial" w:cs="Arial"/>
        </w:rPr>
        <w:t xml:space="preserve"> 2020)</w:t>
      </w:r>
    </w:p>
    <w:p w14:paraId="00081C00" w14:textId="06137008" w:rsidR="00B93E49" w:rsidRPr="00D44FBE" w:rsidRDefault="00B93E49" w:rsidP="00D44FBE">
      <w:pPr>
        <w:pStyle w:val="Odstavecseseznamem"/>
        <w:numPr>
          <w:ilvl w:val="0"/>
          <w:numId w:val="9"/>
        </w:numPr>
        <w:rPr>
          <w:rFonts w:ascii="Arial" w:hAnsi="Arial" w:cs="Arial"/>
        </w:rPr>
      </w:pPr>
      <w:r>
        <w:rPr>
          <w:rFonts w:ascii="Arial" w:hAnsi="Arial" w:cs="Arial"/>
        </w:rPr>
        <w:t>vyhlášení výzvy v </w:t>
      </w:r>
      <w:r w:rsidR="00487456">
        <w:rPr>
          <w:rFonts w:ascii="Arial" w:hAnsi="Arial" w:cs="Arial"/>
        </w:rPr>
        <w:t>rámci IROP na podporu DSŘ (</w:t>
      </w:r>
      <w:r w:rsidR="00901506">
        <w:rPr>
          <w:rFonts w:ascii="Arial" w:hAnsi="Arial" w:cs="Arial"/>
        </w:rPr>
        <w:t xml:space="preserve">nejpozději </w:t>
      </w:r>
      <w:r w:rsidR="005B0754">
        <w:rPr>
          <w:rFonts w:ascii="Arial" w:hAnsi="Arial" w:cs="Arial"/>
        </w:rPr>
        <w:t>červen</w:t>
      </w:r>
      <w:r w:rsidR="00E72A5E">
        <w:rPr>
          <w:rFonts w:ascii="Arial" w:hAnsi="Arial" w:cs="Arial"/>
        </w:rPr>
        <w:t>ec</w:t>
      </w:r>
      <w:r w:rsidR="005B0754">
        <w:rPr>
          <w:rFonts w:ascii="Arial" w:hAnsi="Arial" w:cs="Arial"/>
        </w:rPr>
        <w:t xml:space="preserve"> </w:t>
      </w:r>
      <w:r>
        <w:rPr>
          <w:rFonts w:ascii="Arial" w:hAnsi="Arial" w:cs="Arial"/>
        </w:rPr>
        <w:t>2020)</w:t>
      </w:r>
    </w:p>
    <w:p w14:paraId="79D6E9FD" w14:textId="77777777" w:rsidR="0094088D" w:rsidRDefault="0094088D" w:rsidP="0086620A"/>
    <w:p w14:paraId="5226CC5E" w14:textId="7FF51FEE" w:rsidR="004B46F4" w:rsidRDefault="0026698D" w:rsidP="0086620A">
      <w:r>
        <w:t>Výše uvedený harmonogram vychází z předpokladu, že nedojde k výraznému prodloužení schvalovacího procesu revize na straně EK a rovněž</w:t>
      </w:r>
      <w:r w:rsidR="00AC508E">
        <w:t xml:space="preserve"> že vzhledem k charakteru navrhovaných změn programů</w:t>
      </w:r>
      <w:r>
        <w:t xml:space="preserve"> </w:t>
      </w:r>
      <w:r w:rsidR="00AC508E">
        <w:t xml:space="preserve">nebude nutné provést </w:t>
      </w:r>
      <w:r w:rsidRPr="00AC508E">
        <w:t xml:space="preserve">zjišťovací řízení </w:t>
      </w:r>
      <w:r w:rsidR="00AC508E" w:rsidRPr="00AC508E">
        <w:t xml:space="preserve">v rámci procesu strategického posuzování vlivu na životní prostředí. </w:t>
      </w:r>
      <w:r w:rsidR="00272CA6">
        <w:t xml:space="preserve">Jedná se o optimální harmonogram realokace, který umožní včasnou realizaci navržených projektů souvisejících s DSŘ. </w:t>
      </w:r>
    </w:p>
    <w:p w14:paraId="357B1DF9" w14:textId="77777777" w:rsidR="00496C64" w:rsidRDefault="00663821" w:rsidP="00496C64">
      <w:pPr>
        <w:pStyle w:val="Nadpis1"/>
      </w:pPr>
      <w:r>
        <w:t>Shrnutí</w:t>
      </w:r>
    </w:p>
    <w:p w14:paraId="4F39A92E" w14:textId="77777777" w:rsidR="00CD1778" w:rsidRDefault="00CD1778" w:rsidP="00CD1778">
      <w:pPr>
        <w:spacing w:line="276" w:lineRule="auto"/>
        <w:rPr>
          <w:szCs w:val="20"/>
          <w:lang w:eastAsia="x-none"/>
        </w:rPr>
      </w:pPr>
      <w:r w:rsidRPr="00B501E4">
        <w:rPr>
          <w:szCs w:val="20"/>
          <w:lang w:eastAsia="x-none"/>
        </w:rPr>
        <w:t xml:space="preserve">V České republice v současné době </w:t>
      </w:r>
      <w:r w:rsidRPr="0022026B">
        <w:rPr>
          <w:b/>
          <w:szCs w:val="20"/>
          <w:lang w:eastAsia="x-none"/>
        </w:rPr>
        <w:t>neexistuje ucelený informační systém pro výkon stavebních agend</w:t>
      </w:r>
      <w:r>
        <w:rPr>
          <w:szCs w:val="20"/>
          <w:lang w:eastAsia="x-none"/>
        </w:rPr>
        <w:t>.</w:t>
      </w:r>
    </w:p>
    <w:p w14:paraId="721C2DBD" w14:textId="77777777" w:rsidR="00CD1778" w:rsidRDefault="00CD1778" w:rsidP="00CD1778">
      <w:pPr>
        <w:spacing w:line="276" w:lineRule="auto"/>
        <w:rPr>
          <w:rFonts w:cstheme="minorHAnsi"/>
          <w:bCs/>
          <w:szCs w:val="28"/>
        </w:rPr>
      </w:pPr>
      <w:r w:rsidRPr="00F17F08">
        <w:rPr>
          <w:b/>
          <w:szCs w:val="20"/>
          <w:lang w:eastAsia="x-none"/>
        </w:rPr>
        <w:t>MMR</w:t>
      </w:r>
      <w:r w:rsidRPr="0022026B">
        <w:rPr>
          <w:b/>
          <w:szCs w:val="20"/>
          <w:lang w:eastAsia="x-none"/>
        </w:rPr>
        <w:t xml:space="preserve"> připravilo koncepci </w:t>
      </w:r>
      <w:r w:rsidR="006239CC">
        <w:rPr>
          <w:b/>
          <w:szCs w:val="20"/>
          <w:lang w:eastAsia="x-none"/>
        </w:rPr>
        <w:t xml:space="preserve">řešení </w:t>
      </w:r>
      <w:r w:rsidRPr="0022026B">
        <w:rPr>
          <w:b/>
          <w:szCs w:val="20"/>
          <w:lang w:eastAsia="x-none"/>
        </w:rPr>
        <w:t>digitalizace stavebního řízení a územního plánování (</w:t>
      </w:r>
      <w:r>
        <w:rPr>
          <w:b/>
          <w:szCs w:val="20"/>
          <w:lang w:eastAsia="x-none"/>
        </w:rPr>
        <w:t xml:space="preserve">tzv. </w:t>
      </w:r>
      <w:r w:rsidRPr="0022026B">
        <w:rPr>
          <w:b/>
          <w:szCs w:val="20"/>
          <w:lang w:eastAsia="x-none"/>
        </w:rPr>
        <w:t>DSŘ)</w:t>
      </w:r>
      <w:r>
        <w:rPr>
          <w:szCs w:val="20"/>
          <w:lang w:eastAsia="x-none"/>
        </w:rPr>
        <w:t xml:space="preserve">, jehož cílem je umožnit plošné </w:t>
      </w:r>
      <w:r w:rsidRPr="00CD1778">
        <w:rPr>
          <w:szCs w:val="20"/>
          <w:lang w:eastAsia="x-none"/>
        </w:rPr>
        <w:t>shromažďování relevantních dat,</w:t>
      </w:r>
      <w:r>
        <w:rPr>
          <w:szCs w:val="20"/>
          <w:lang w:eastAsia="x-none"/>
        </w:rPr>
        <w:t xml:space="preserve"> jejich sdílení a </w:t>
      </w:r>
      <w:r w:rsidR="00A948F2">
        <w:rPr>
          <w:rFonts w:cstheme="minorHAnsi"/>
          <w:bCs/>
          <w:szCs w:val="28"/>
        </w:rPr>
        <w:t>dosažení</w:t>
      </w:r>
      <w:r w:rsidRPr="00C86D8B">
        <w:rPr>
          <w:rFonts w:cstheme="minorHAnsi"/>
          <w:bCs/>
          <w:szCs w:val="28"/>
        </w:rPr>
        <w:t xml:space="preserve"> automatizace procesu stavebního řízení a územního plánování</w:t>
      </w:r>
      <w:r>
        <w:rPr>
          <w:rFonts w:cstheme="minorHAnsi"/>
          <w:bCs/>
          <w:szCs w:val="28"/>
        </w:rPr>
        <w:t xml:space="preserve">. Realizace projektu DSŘ povede k </w:t>
      </w:r>
      <w:r w:rsidRPr="00C86D8B">
        <w:rPr>
          <w:rFonts w:cstheme="minorHAnsi"/>
          <w:bCs/>
          <w:szCs w:val="28"/>
        </w:rPr>
        <w:t xml:space="preserve">urychlení </w:t>
      </w:r>
      <w:r>
        <w:rPr>
          <w:rFonts w:cstheme="minorHAnsi"/>
          <w:bCs/>
          <w:szCs w:val="28"/>
        </w:rPr>
        <w:t>a zvýšení transparentnosti stavebního řízení.</w:t>
      </w:r>
    </w:p>
    <w:p w14:paraId="3E13984E" w14:textId="6E49137C" w:rsidR="0006704A" w:rsidRDefault="0006704A" w:rsidP="0006704A">
      <w:pPr>
        <w:spacing w:after="0" w:line="240" w:lineRule="auto"/>
      </w:pPr>
      <w:r w:rsidRPr="00DB461B">
        <w:rPr>
          <w:b/>
        </w:rPr>
        <w:t xml:space="preserve">Finanční nároky na realizaci </w:t>
      </w:r>
      <w:r w:rsidR="006239CC" w:rsidRPr="00DB461B">
        <w:rPr>
          <w:b/>
        </w:rPr>
        <w:t>projekt</w:t>
      </w:r>
      <w:r w:rsidR="006239CC">
        <w:rPr>
          <w:b/>
        </w:rPr>
        <w:t>ů</w:t>
      </w:r>
      <w:r w:rsidR="006239CC" w:rsidRPr="00DB461B">
        <w:rPr>
          <w:b/>
        </w:rPr>
        <w:t xml:space="preserve"> </w:t>
      </w:r>
      <w:r w:rsidRPr="00DB461B">
        <w:rPr>
          <w:b/>
        </w:rPr>
        <w:t>digitalizace stavebního řízení a územního plánování</w:t>
      </w:r>
      <w:r w:rsidR="00A10437">
        <w:rPr>
          <w:b/>
        </w:rPr>
        <w:t xml:space="preserve"> a na projekt </w:t>
      </w:r>
      <w:r w:rsidR="004D705D">
        <w:rPr>
          <w:b/>
        </w:rPr>
        <w:t xml:space="preserve">IS </w:t>
      </w:r>
      <w:r w:rsidR="00A10437">
        <w:rPr>
          <w:b/>
        </w:rPr>
        <w:t>Mapování VRI</w:t>
      </w:r>
      <w:r w:rsidRPr="00DB461B">
        <w:rPr>
          <w:b/>
        </w:rPr>
        <w:t xml:space="preserve"> jsou vyčísleny celkově na</w:t>
      </w:r>
      <w:r w:rsidRPr="74A7D421">
        <w:t xml:space="preserve"> </w:t>
      </w:r>
      <w:r w:rsidRPr="00DB461B">
        <w:rPr>
          <w:b/>
        </w:rPr>
        <w:t xml:space="preserve">1 </w:t>
      </w:r>
      <w:r w:rsidRPr="00C16BD2">
        <w:rPr>
          <w:b/>
        </w:rPr>
        <w:t>2</w:t>
      </w:r>
      <w:r w:rsidR="006262F6">
        <w:rPr>
          <w:b/>
        </w:rPr>
        <w:t>4</w:t>
      </w:r>
      <w:r w:rsidRPr="00C16BD2">
        <w:rPr>
          <w:b/>
        </w:rPr>
        <w:t>2 </w:t>
      </w:r>
      <w:r w:rsidRPr="00DB461B">
        <w:rPr>
          <w:b/>
        </w:rPr>
        <w:t>mil Kč</w:t>
      </w:r>
      <w:r w:rsidR="006262F6">
        <w:rPr>
          <w:b/>
        </w:rPr>
        <w:t xml:space="preserve"> (CZV)</w:t>
      </w:r>
      <w:r w:rsidRPr="00C16BD2">
        <w:t xml:space="preserve">.  </w:t>
      </w:r>
    </w:p>
    <w:p w14:paraId="10C6D0DD" w14:textId="77777777" w:rsidR="0006704A" w:rsidRPr="00C16BD2" w:rsidRDefault="0006704A" w:rsidP="0006704A">
      <w:pPr>
        <w:spacing w:after="0" w:line="240" w:lineRule="auto"/>
      </w:pPr>
    </w:p>
    <w:p w14:paraId="364770AC" w14:textId="77777777" w:rsidR="00CD1778" w:rsidRDefault="00CD1778" w:rsidP="00CD1778">
      <w:pPr>
        <w:spacing w:line="276" w:lineRule="auto"/>
        <w:rPr>
          <w:rFonts w:cstheme="minorHAnsi"/>
          <w:bCs/>
          <w:szCs w:val="28"/>
        </w:rPr>
      </w:pPr>
      <w:r>
        <w:rPr>
          <w:rFonts w:cstheme="minorHAnsi"/>
          <w:bCs/>
          <w:szCs w:val="28"/>
        </w:rPr>
        <w:lastRenderedPageBreak/>
        <w:t>Projekt</w:t>
      </w:r>
      <w:r w:rsidR="006239CC">
        <w:rPr>
          <w:rFonts w:cstheme="minorHAnsi"/>
          <w:bCs/>
          <w:szCs w:val="28"/>
        </w:rPr>
        <w:t>y</w:t>
      </w:r>
      <w:r>
        <w:rPr>
          <w:rFonts w:cstheme="minorHAnsi"/>
          <w:bCs/>
          <w:szCs w:val="28"/>
        </w:rPr>
        <w:t xml:space="preserve"> DSŘ spad</w:t>
      </w:r>
      <w:r w:rsidR="006239CC">
        <w:rPr>
          <w:rFonts w:cstheme="minorHAnsi"/>
          <w:bCs/>
          <w:szCs w:val="28"/>
        </w:rPr>
        <w:t>ají</w:t>
      </w:r>
      <w:r>
        <w:rPr>
          <w:rFonts w:cstheme="minorHAnsi"/>
          <w:bCs/>
          <w:szCs w:val="28"/>
        </w:rPr>
        <w:t xml:space="preserve"> do </w:t>
      </w:r>
      <w:r w:rsidRPr="006752F4">
        <w:rPr>
          <w:rFonts w:cstheme="minorHAnsi"/>
          <w:b/>
          <w:bCs/>
          <w:szCs w:val="28"/>
        </w:rPr>
        <w:t>oblasti e</w:t>
      </w:r>
      <w:r w:rsidR="0075163F">
        <w:rPr>
          <w:rFonts w:cstheme="minorHAnsi"/>
          <w:b/>
          <w:bCs/>
          <w:szCs w:val="28"/>
        </w:rPr>
        <w:t>G</w:t>
      </w:r>
      <w:r w:rsidRPr="006752F4">
        <w:rPr>
          <w:rFonts w:cstheme="minorHAnsi"/>
          <w:b/>
          <w:bCs/>
          <w:szCs w:val="28"/>
        </w:rPr>
        <w:t>overnmentu</w:t>
      </w:r>
      <w:r>
        <w:rPr>
          <w:rFonts w:cstheme="minorHAnsi"/>
          <w:b/>
          <w:bCs/>
          <w:szCs w:val="28"/>
        </w:rPr>
        <w:t>, pro jejíž rozvoj</w:t>
      </w:r>
      <w:r>
        <w:rPr>
          <w:rFonts w:cstheme="minorHAnsi"/>
          <w:bCs/>
          <w:szCs w:val="28"/>
        </w:rPr>
        <w:t xml:space="preserve"> je možné v České republice využít </w:t>
      </w:r>
      <w:r w:rsidR="00A948F2">
        <w:rPr>
          <w:rFonts w:cstheme="minorHAnsi"/>
          <w:bCs/>
          <w:szCs w:val="28"/>
        </w:rPr>
        <w:t>prostředky ESIF, konkrétně</w:t>
      </w:r>
      <w:r>
        <w:rPr>
          <w:rFonts w:cstheme="minorHAnsi"/>
          <w:bCs/>
          <w:szCs w:val="28"/>
        </w:rPr>
        <w:t xml:space="preserve"> alokované do Integrovaného regionálního operačního programu (dále IROP). Na oblast e</w:t>
      </w:r>
      <w:r w:rsidR="0075163F">
        <w:rPr>
          <w:rFonts w:cstheme="minorHAnsi"/>
          <w:bCs/>
          <w:szCs w:val="28"/>
        </w:rPr>
        <w:t>G</w:t>
      </w:r>
      <w:r>
        <w:rPr>
          <w:rFonts w:cstheme="minorHAnsi"/>
          <w:bCs/>
          <w:szCs w:val="28"/>
        </w:rPr>
        <w:t xml:space="preserve">overnmentu jsou však prostředky </w:t>
      </w:r>
      <w:r w:rsidR="00A948F2">
        <w:rPr>
          <w:rFonts w:cstheme="minorHAnsi"/>
          <w:bCs/>
          <w:szCs w:val="28"/>
        </w:rPr>
        <w:t xml:space="preserve">v současné době </w:t>
      </w:r>
      <w:r>
        <w:rPr>
          <w:rFonts w:cstheme="minorHAnsi"/>
          <w:bCs/>
          <w:szCs w:val="28"/>
        </w:rPr>
        <w:t xml:space="preserve">již vyčerpány. </w:t>
      </w:r>
    </w:p>
    <w:p w14:paraId="6DBA4DC6" w14:textId="1DDDE4DD" w:rsidR="00CD1778" w:rsidRPr="00CD1778" w:rsidRDefault="00DA1E75" w:rsidP="00CD1778">
      <w:pPr>
        <w:spacing w:line="276" w:lineRule="auto"/>
        <w:rPr>
          <w:rFonts w:cstheme="minorHAnsi"/>
          <w:b/>
          <w:bCs/>
          <w:szCs w:val="28"/>
        </w:rPr>
      </w:pPr>
      <w:r>
        <w:rPr>
          <w:rFonts w:cstheme="minorHAnsi"/>
          <w:bCs/>
          <w:szCs w:val="28"/>
        </w:rPr>
        <w:t xml:space="preserve">K </w:t>
      </w:r>
      <w:r w:rsidR="0006704A">
        <w:rPr>
          <w:rFonts w:cstheme="minorHAnsi"/>
          <w:bCs/>
          <w:szCs w:val="28"/>
        </w:rPr>
        <w:t>projekt</w:t>
      </w:r>
      <w:r w:rsidR="006239CC">
        <w:rPr>
          <w:rFonts w:cstheme="minorHAnsi"/>
          <w:bCs/>
          <w:szCs w:val="28"/>
        </w:rPr>
        <w:t>ům</w:t>
      </w:r>
      <w:r w:rsidR="0006704A">
        <w:rPr>
          <w:rFonts w:cstheme="minorHAnsi"/>
          <w:bCs/>
          <w:szCs w:val="28"/>
        </w:rPr>
        <w:t xml:space="preserve"> DSŘ</w:t>
      </w:r>
      <w:r w:rsidR="00CD1778">
        <w:rPr>
          <w:rFonts w:cstheme="minorHAnsi"/>
          <w:bCs/>
          <w:szCs w:val="28"/>
        </w:rPr>
        <w:t xml:space="preserve"> </w:t>
      </w:r>
      <w:r>
        <w:rPr>
          <w:rFonts w:cstheme="minorHAnsi"/>
          <w:bCs/>
          <w:szCs w:val="28"/>
        </w:rPr>
        <w:t>j</w:t>
      </w:r>
      <w:r w:rsidR="006239CC">
        <w:rPr>
          <w:rFonts w:cstheme="minorHAnsi"/>
          <w:bCs/>
          <w:szCs w:val="28"/>
        </w:rPr>
        <w:t>sou komplementární projekty</w:t>
      </w:r>
      <w:r w:rsidR="000F6FB1">
        <w:rPr>
          <w:rFonts w:cstheme="minorHAnsi"/>
          <w:bCs/>
          <w:szCs w:val="28"/>
        </w:rPr>
        <w:t xml:space="preserve"> </w:t>
      </w:r>
      <w:r w:rsidR="004D705D">
        <w:rPr>
          <w:rFonts w:cstheme="minorHAnsi"/>
          <w:bCs/>
          <w:szCs w:val="28"/>
        </w:rPr>
        <w:t xml:space="preserve">IS </w:t>
      </w:r>
      <w:r w:rsidR="000F6FB1">
        <w:rPr>
          <w:rFonts w:cstheme="minorHAnsi"/>
          <w:bCs/>
          <w:szCs w:val="28"/>
        </w:rPr>
        <w:t>Mapování VRI a projekty DTM</w:t>
      </w:r>
      <w:r w:rsidR="006239CC">
        <w:rPr>
          <w:rFonts w:cstheme="minorHAnsi"/>
          <w:bCs/>
          <w:szCs w:val="28"/>
        </w:rPr>
        <w:t xml:space="preserve"> na </w:t>
      </w:r>
      <w:r>
        <w:rPr>
          <w:rFonts w:cstheme="minorHAnsi"/>
          <w:bCs/>
          <w:szCs w:val="28"/>
        </w:rPr>
        <w:t xml:space="preserve">vytvoření </w:t>
      </w:r>
      <w:r w:rsidR="000F6FB1">
        <w:rPr>
          <w:rFonts w:cstheme="minorHAnsi"/>
          <w:bCs/>
          <w:szCs w:val="28"/>
        </w:rPr>
        <w:t xml:space="preserve">krajských </w:t>
      </w:r>
      <w:r w:rsidR="00CD1778">
        <w:rPr>
          <w:rFonts w:cstheme="minorHAnsi"/>
          <w:bCs/>
          <w:szCs w:val="28"/>
        </w:rPr>
        <w:t>digitální</w:t>
      </w:r>
      <w:r w:rsidR="000F6FB1">
        <w:rPr>
          <w:rFonts w:cstheme="minorHAnsi"/>
          <w:bCs/>
          <w:szCs w:val="28"/>
        </w:rPr>
        <w:t>ch</w:t>
      </w:r>
      <w:r w:rsidR="00CD1778">
        <w:rPr>
          <w:rFonts w:cstheme="minorHAnsi"/>
          <w:bCs/>
          <w:szCs w:val="28"/>
        </w:rPr>
        <w:t xml:space="preserve"> technick</w:t>
      </w:r>
      <w:r w:rsidR="000F6FB1">
        <w:rPr>
          <w:rFonts w:cstheme="minorHAnsi"/>
          <w:bCs/>
          <w:szCs w:val="28"/>
        </w:rPr>
        <w:t>ých map.</w:t>
      </w:r>
      <w:r w:rsidR="00CD1778">
        <w:rPr>
          <w:rFonts w:cstheme="minorHAnsi"/>
          <w:bCs/>
          <w:szCs w:val="28"/>
        </w:rPr>
        <w:t xml:space="preserve"> </w:t>
      </w:r>
      <w:r w:rsidR="000F6FB1">
        <w:rPr>
          <w:rFonts w:cstheme="minorHAnsi"/>
          <w:bCs/>
          <w:szCs w:val="28"/>
        </w:rPr>
        <w:t>P</w:t>
      </w:r>
      <w:r w:rsidR="006239CC">
        <w:rPr>
          <w:rFonts w:cstheme="minorHAnsi"/>
          <w:bCs/>
          <w:szCs w:val="28"/>
        </w:rPr>
        <w:t xml:space="preserve">rojekty DTM budou </w:t>
      </w:r>
      <w:r w:rsidR="00CD1778">
        <w:rPr>
          <w:rFonts w:cstheme="minorHAnsi"/>
          <w:bCs/>
          <w:szCs w:val="28"/>
        </w:rPr>
        <w:t>financován</w:t>
      </w:r>
      <w:r w:rsidR="006239CC">
        <w:rPr>
          <w:rFonts w:cstheme="minorHAnsi"/>
          <w:bCs/>
          <w:szCs w:val="28"/>
        </w:rPr>
        <w:t>y</w:t>
      </w:r>
      <w:r w:rsidR="00CD1778">
        <w:rPr>
          <w:rFonts w:cstheme="minorHAnsi"/>
          <w:bCs/>
          <w:szCs w:val="28"/>
        </w:rPr>
        <w:t xml:space="preserve"> z Operačního programu podnikání a inovace</w:t>
      </w:r>
      <w:r w:rsidR="000F6FB1">
        <w:rPr>
          <w:rFonts w:cstheme="minorHAnsi"/>
          <w:bCs/>
          <w:szCs w:val="28"/>
        </w:rPr>
        <w:t xml:space="preserve"> pro konkurenceschopnost</w:t>
      </w:r>
      <w:r w:rsidR="00CD1778">
        <w:rPr>
          <w:rFonts w:cstheme="minorHAnsi"/>
          <w:bCs/>
          <w:szCs w:val="28"/>
        </w:rPr>
        <w:t xml:space="preserve"> (dále OP</w:t>
      </w:r>
      <w:r w:rsidR="000F6FB1">
        <w:rPr>
          <w:rFonts w:cstheme="minorHAnsi"/>
          <w:bCs/>
          <w:szCs w:val="28"/>
        </w:rPr>
        <w:t xml:space="preserve"> </w:t>
      </w:r>
      <w:r w:rsidR="00CD1778">
        <w:rPr>
          <w:rFonts w:cstheme="minorHAnsi"/>
          <w:bCs/>
          <w:szCs w:val="28"/>
        </w:rPr>
        <w:t xml:space="preserve">PIK). </w:t>
      </w:r>
      <w:r w:rsidR="000F6FB1">
        <w:rPr>
          <w:rFonts w:cstheme="minorHAnsi"/>
          <w:bCs/>
          <w:szCs w:val="28"/>
        </w:rPr>
        <w:t xml:space="preserve">Za účelem zajištění financování projektů DSŘ a </w:t>
      </w:r>
      <w:r w:rsidR="004D705D">
        <w:rPr>
          <w:rFonts w:cstheme="minorHAnsi"/>
          <w:bCs/>
          <w:szCs w:val="28"/>
        </w:rPr>
        <w:t xml:space="preserve">IS </w:t>
      </w:r>
      <w:r w:rsidR="00A10437">
        <w:rPr>
          <w:rFonts w:cstheme="minorHAnsi"/>
          <w:bCs/>
          <w:szCs w:val="28"/>
        </w:rPr>
        <w:t>M</w:t>
      </w:r>
      <w:r w:rsidR="000F6FB1">
        <w:rPr>
          <w:rFonts w:cstheme="minorHAnsi"/>
          <w:bCs/>
          <w:szCs w:val="28"/>
        </w:rPr>
        <w:t>apování VRI</w:t>
      </w:r>
      <w:r w:rsidR="00CD1778">
        <w:rPr>
          <w:rFonts w:cstheme="minorHAnsi"/>
          <w:bCs/>
          <w:szCs w:val="28"/>
        </w:rPr>
        <w:t xml:space="preserve"> </w:t>
      </w:r>
      <w:r w:rsidR="00CD1778" w:rsidRPr="00CD1778">
        <w:rPr>
          <w:rFonts w:cstheme="minorHAnsi"/>
          <w:b/>
          <w:bCs/>
          <w:szCs w:val="28"/>
        </w:rPr>
        <w:t xml:space="preserve">je navržena realokace nedočerpaných prostředků z OP PIK </w:t>
      </w:r>
      <w:r w:rsidR="00A948F2">
        <w:rPr>
          <w:rFonts w:cstheme="minorHAnsi"/>
          <w:b/>
          <w:bCs/>
          <w:szCs w:val="28"/>
        </w:rPr>
        <w:t>z </w:t>
      </w:r>
      <w:r w:rsidR="00CD1778" w:rsidRPr="00CD1778">
        <w:rPr>
          <w:rFonts w:cstheme="minorHAnsi"/>
          <w:b/>
          <w:bCs/>
          <w:szCs w:val="28"/>
        </w:rPr>
        <w:t>oblast</w:t>
      </w:r>
      <w:r w:rsidR="00A948F2">
        <w:rPr>
          <w:rFonts w:cstheme="minorHAnsi"/>
          <w:b/>
          <w:bCs/>
          <w:szCs w:val="28"/>
        </w:rPr>
        <w:t>i podpory vysokorychlostního internetu, které se dlouhodobě potýká s nedostatečnou absorpční kapacitou,</w:t>
      </w:r>
      <w:r w:rsidR="00CD1778" w:rsidRPr="00CD1778">
        <w:rPr>
          <w:rFonts w:cstheme="minorHAnsi"/>
          <w:b/>
          <w:bCs/>
          <w:szCs w:val="28"/>
        </w:rPr>
        <w:t xml:space="preserve"> do oblasti e</w:t>
      </w:r>
      <w:r w:rsidR="0075163F">
        <w:rPr>
          <w:rFonts w:cstheme="minorHAnsi"/>
          <w:b/>
          <w:bCs/>
          <w:szCs w:val="28"/>
        </w:rPr>
        <w:t>G</w:t>
      </w:r>
      <w:r w:rsidR="00CD1778" w:rsidRPr="00CD1778">
        <w:rPr>
          <w:rFonts w:cstheme="minorHAnsi"/>
          <w:b/>
          <w:bCs/>
          <w:szCs w:val="28"/>
        </w:rPr>
        <w:t xml:space="preserve">overnmentu v IROP. </w:t>
      </w:r>
    </w:p>
    <w:p w14:paraId="71FDD4C2" w14:textId="261B70C0" w:rsidR="00172F39" w:rsidRPr="00580659" w:rsidRDefault="002C40A7" w:rsidP="002C40A7">
      <w:pPr>
        <w:spacing w:line="276" w:lineRule="auto"/>
        <w:rPr>
          <w:b/>
          <w:szCs w:val="20"/>
        </w:rPr>
      </w:pPr>
      <w:r w:rsidRPr="00371A1C">
        <w:rPr>
          <w:szCs w:val="20"/>
        </w:rPr>
        <w:t xml:space="preserve">Na základě výše uvedených informací </w:t>
      </w:r>
      <w:r>
        <w:rPr>
          <w:b/>
          <w:szCs w:val="20"/>
        </w:rPr>
        <w:t xml:space="preserve">je navrženo, aby část disponibilní alokace v SC 4.1 OP PIK </w:t>
      </w:r>
      <w:r w:rsidR="00CD1778">
        <w:rPr>
          <w:b/>
          <w:szCs w:val="20"/>
        </w:rPr>
        <w:t xml:space="preserve">ve výši </w:t>
      </w:r>
      <w:r w:rsidR="006262F6">
        <w:rPr>
          <w:b/>
          <w:szCs w:val="20"/>
        </w:rPr>
        <w:t xml:space="preserve">1 004 </w:t>
      </w:r>
      <w:r w:rsidR="00CD1778">
        <w:rPr>
          <w:b/>
          <w:szCs w:val="20"/>
        </w:rPr>
        <w:t>mil. Kč</w:t>
      </w:r>
      <w:r w:rsidR="006262F6">
        <w:rPr>
          <w:b/>
          <w:szCs w:val="20"/>
        </w:rPr>
        <w:t xml:space="preserve">, tedy </w:t>
      </w:r>
      <w:r w:rsidR="009C585C" w:rsidRPr="009C585C">
        <w:rPr>
          <w:b/>
          <w:szCs w:val="20"/>
        </w:rPr>
        <w:t xml:space="preserve">38 </w:t>
      </w:r>
      <w:r w:rsidR="009C585C" w:rsidRPr="009C585C">
        <w:rPr>
          <w:b/>
          <w:lang w:eastAsia="x-none"/>
        </w:rPr>
        <w:t xml:space="preserve">849 979 </w:t>
      </w:r>
      <w:r w:rsidR="006262F6" w:rsidRPr="009C585C">
        <w:rPr>
          <w:b/>
          <w:szCs w:val="20"/>
        </w:rPr>
        <w:t>EUR</w:t>
      </w:r>
      <w:r w:rsidR="006262F6" w:rsidRPr="009C585C">
        <w:rPr>
          <w:rStyle w:val="Znakapoznpodarou"/>
          <w:b/>
        </w:rPr>
        <w:footnoteReference w:id="8"/>
      </w:r>
      <w:r w:rsidR="00CD1778">
        <w:rPr>
          <w:b/>
          <w:szCs w:val="20"/>
        </w:rPr>
        <w:t xml:space="preserve"> (příspěvek EU)</w:t>
      </w:r>
      <w:r w:rsidR="00E53400">
        <w:rPr>
          <w:b/>
          <w:szCs w:val="20"/>
        </w:rPr>
        <w:t>,</w:t>
      </w:r>
      <w:r w:rsidR="00CD1778">
        <w:rPr>
          <w:b/>
          <w:szCs w:val="20"/>
        </w:rPr>
        <w:t xml:space="preserve"> </w:t>
      </w:r>
      <w:r w:rsidRPr="00580659">
        <w:rPr>
          <w:b/>
          <w:szCs w:val="20"/>
        </w:rPr>
        <w:t>byla</w:t>
      </w:r>
      <w:r>
        <w:rPr>
          <w:b/>
          <w:szCs w:val="20"/>
        </w:rPr>
        <w:t xml:space="preserve"> převedena do IROP SC 3.2 a využita na financování </w:t>
      </w:r>
      <w:r w:rsidR="006239CC">
        <w:rPr>
          <w:b/>
          <w:szCs w:val="20"/>
        </w:rPr>
        <w:t xml:space="preserve">projektů </w:t>
      </w:r>
      <w:r>
        <w:rPr>
          <w:b/>
          <w:szCs w:val="20"/>
        </w:rPr>
        <w:t>DSŘ</w:t>
      </w:r>
      <w:r w:rsidR="000F6FB1">
        <w:rPr>
          <w:b/>
          <w:szCs w:val="20"/>
        </w:rPr>
        <w:t xml:space="preserve"> a </w:t>
      </w:r>
      <w:r w:rsidR="004D705D">
        <w:rPr>
          <w:b/>
          <w:szCs w:val="20"/>
        </w:rPr>
        <w:t xml:space="preserve">IS </w:t>
      </w:r>
      <w:r w:rsidR="000F6FB1">
        <w:rPr>
          <w:b/>
          <w:szCs w:val="20"/>
        </w:rPr>
        <w:t>Mapování VRI</w:t>
      </w:r>
      <w:r>
        <w:rPr>
          <w:b/>
          <w:szCs w:val="20"/>
        </w:rPr>
        <w:t>.</w:t>
      </w:r>
      <w:r w:rsidR="00E23223">
        <w:rPr>
          <w:b/>
          <w:szCs w:val="20"/>
        </w:rPr>
        <w:t xml:space="preserve"> </w:t>
      </w:r>
      <w:r w:rsidR="00E23223" w:rsidRPr="00580659">
        <w:rPr>
          <w:bCs/>
          <w:szCs w:val="20"/>
          <w:lang w:eastAsia="en-US"/>
        </w:rPr>
        <w:t xml:space="preserve">Pro </w:t>
      </w:r>
      <w:r w:rsidR="003567E7" w:rsidRPr="00580659">
        <w:rPr>
          <w:bCs/>
          <w:szCs w:val="20"/>
          <w:lang w:eastAsia="en-US"/>
        </w:rPr>
        <w:t xml:space="preserve">přesné </w:t>
      </w:r>
      <w:r w:rsidR="00E23223" w:rsidRPr="00580659">
        <w:rPr>
          <w:bCs/>
          <w:szCs w:val="20"/>
          <w:lang w:eastAsia="en-US"/>
        </w:rPr>
        <w:t xml:space="preserve">vyčíslení </w:t>
      </w:r>
      <w:r w:rsidR="003567E7" w:rsidRPr="00580659">
        <w:rPr>
          <w:bCs/>
          <w:szCs w:val="20"/>
          <w:lang w:eastAsia="en-US"/>
        </w:rPr>
        <w:t xml:space="preserve">výše </w:t>
      </w:r>
      <w:r w:rsidR="00E23223" w:rsidRPr="00580659">
        <w:rPr>
          <w:bCs/>
          <w:szCs w:val="20"/>
          <w:lang w:eastAsia="en-US"/>
        </w:rPr>
        <w:t>realokace v EUR, odpovídající požadavku na 1004 mil. Kč, bude použit směnný kurz aktuální v době přípravy návrhu realokace ke schválení monitorovacími výbory</w:t>
      </w:r>
      <w:r w:rsidR="00E23223" w:rsidRPr="00580659">
        <w:rPr>
          <w:szCs w:val="20"/>
        </w:rPr>
        <w:t xml:space="preserve"> operačních programů OP PIK a IROP.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1134"/>
        <w:gridCol w:w="1134"/>
        <w:gridCol w:w="709"/>
        <w:gridCol w:w="992"/>
        <w:gridCol w:w="850"/>
        <w:gridCol w:w="993"/>
        <w:gridCol w:w="1153"/>
        <w:gridCol w:w="689"/>
      </w:tblGrid>
      <w:tr w:rsidR="00FB7689" w:rsidRPr="005236DE" w14:paraId="1EE50262" w14:textId="77777777" w:rsidTr="00FB7689">
        <w:trPr>
          <w:trHeight w:val="300"/>
        </w:trPr>
        <w:tc>
          <w:tcPr>
            <w:tcW w:w="709" w:type="dxa"/>
            <w:shd w:val="clear" w:color="auto" w:fill="BDD6EE" w:themeFill="accent1" w:themeFillTint="66"/>
            <w:noWrap/>
            <w:hideMark/>
          </w:tcPr>
          <w:p w14:paraId="31D7FE54"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Z operačního programu</w:t>
            </w:r>
          </w:p>
        </w:tc>
        <w:tc>
          <w:tcPr>
            <w:tcW w:w="1276" w:type="dxa"/>
            <w:shd w:val="clear" w:color="auto" w:fill="BDD6EE" w:themeFill="accent1" w:themeFillTint="66"/>
          </w:tcPr>
          <w:p w14:paraId="4644AD10"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Specifický cíl</w:t>
            </w:r>
          </w:p>
        </w:tc>
        <w:tc>
          <w:tcPr>
            <w:tcW w:w="1134" w:type="dxa"/>
            <w:shd w:val="clear" w:color="auto" w:fill="BDD6EE" w:themeFill="accent1" w:themeFillTint="66"/>
            <w:noWrap/>
            <w:hideMark/>
          </w:tcPr>
          <w:p w14:paraId="53B022C4" w14:textId="77777777" w:rsidR="006262F6" w:rsidRPr="00766460" w:rsidRDefault="006262F6" w:rsidP="006262F6">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 xml:space="preserve">Realokovaná částka </w:t>
            </w:r>
          </w:p>
          <w:p w14:paraId="27329EE2" w14:textId="77777777" w:rsidR="006262F6" w:rsidRPr="00766460" w:rsidRDefault="006262F6" w:rsidP="006262F6">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(mil. Kč)</w:t>
            </w:r>
          </w:p>
        </w:tc>
        <w:tc>
          <w:tcPr>
            <w:tcW w:w="1134" w:type="dxa"/>
            <w:shd w:val="clear" w:color="auto" w:fill="BDD6EE" w:themeFill="accent1" w:themeFillTint="66"/>
          </w:tcPr>
          <w:p w14:paraId="5C060A3C" w14:textId="77777777" w:rsidR="006262F6" w:rsidRPr="00766460" w:rsidRDefault="006262F6" w:rsidP="006262F6">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 xml:space="preserve">Realokovaná částka </w:t>
            </w:r>
          </w:p>
          <w:p w14:paraId="52135D61" w14:textId="77777777" w:rsidR="006262F6" w:rsidRDefault="006262F6" w:rsidP="006262F6">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(EUR)</w:t>
            </w:r>
          </w:p>
          <w:p w14:paraId="6EC37A3C" w14:textId="2C2AF12D" w:rsidR="00E23223" w:rsidRPr="00E23223" w:rsidRDefault="00E23223" w:rsidP="006262F6">
            <w:pPr>
              <w:spacing w:before="40" w:after="40" w:line="240" w:lineRule="auto"/>
              <w:rPr>
                <w:rFonts w:eastAsia="Times New Roman"/>
                <w:bCs/>
                <w:color w:val="000000"/>
                <w:sz w:val="16"/>
                <w:szCs w:val="20"/>
                <w:lang w:val="en-US"/>
              </w:rPr>
            </w:pPr>
            <w:r w:rsidRPr="00E23223">
              <w:rPr>
                <w:rFonts w:eastAsia="Times New Roman"/>
                <w:bCs/>
                <w:color w:val="000000"/>
                <w:sz w:val="16"/>
                <w:szCs w:val="20"/>
                <w:lang w:val="en-US"/>
              </w:rPr>
              <w:t xml:space="preserve">kurz </w:t>
            </w:r>
            <w:r>
              <w:rPr>
                <w:rFonts w:eastAsia="Times New Roman"/>
                <w:bCs/>
                <w:color w:val="000000"/>
                <w:sz w:val="16"/>
                <w:szCs w:val="20"/>
                <w:lang w:val="en-US"/>
              </w:rPr>
              <w:br/>
            </w:r>
            <w:r w:rsidRPr="00E23223">
              <w:rPr>
                <w:rFonts w:eastAsia="Times New Roman"/>
                <w:bCs/>
                <w:color w:val="000000"/>
                <w:sz w:val="16"/>
                <w:szCs w:val="20"/>
                <w:lang w:val="en-US"/>
              </w:rPr>
              <w:t>1 EUR = 25,843 CZK</w:t>
            </w:r>
          </w:p>
        </w:tc>
        <w:tc>
          <w:tcPr>
            <w:tcW w:w="709" w:type="dxa"/>
            <w:shd w:val="clear" w:color="auto" w:fill="BDD6EE" w:themeFill="accent1" w:themeFillTint="66"/>
            <w:noWrap/>
            <w:hideMark/>
          </w:tcPr>
          <w:p w14:paraId="5C3532DA"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Tématický cíl</w:t>
            </w:r>
          </w:p>
        </w:tc>
        <w:tc>
          <w:tcPr>
            <w:tcW w:w="992" w:type="dxa"/>
            <w:shd w:val="clear" w:color="auto" w:fill="F7CAAC" w:themeFill="accent2" w:themeFillTint="66"/>
            <w:noWrap/>
            <w:hideMark/>
          </w:tcPr>
          <w:p w14:paraId="7FECB420"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Do operačního programu</w:t>
            </w:r>
          </w:p>
        </w:tc>
        <w:tc>
          <w:tcPr>
            <w:tcW w:w="850" w:type="dxa"/>
            <w:shd w:val="clear" w:color="auto" w:fill="F7CAAC" w:themeFill="accent2" w:themeFillTint="66"/>
            <w:noWrap/>
            <w:hideMark/>
          </w:tcPr>
          <w:p w14:paraId="36C73526"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Alokace navýšena o (mil. Kč)</w:t>
            </w:r>
          </w:p>
        </w:tc>
        <w:tc>
          <w:tcPr>
            <w:tcW w:w="993" w:type="dxa"/>
            <w:shd w:val="clear" w:color="auto" w:fill="F7CAAC" w:themeFill="accent2" w:themeFillTint="66"/>
          </w:tcPr>
          <w:p w14:paraId="06C890A4" w14:textId="77777777" w:rsidR="006262F6" w:rsidRDefault="00766460" w:rsidP="00766460">
            <w:pPr>
              <w:spacing w:before="40" w:after="40" w:line="240" w:lineRule="auto"/>
              <w:rPr>
                <w:rFonts w:eastAsia="Times New Roman"/>
                <w:b/>
                <w:bCs/>
                <w:color w:val="000000"/>
                <w:sz w:val="16"/>
                <w:szCs w:val="20"/>
                <w:lang w:val="en-US"/>
              </w:rPr>
            </w:pPr>
            <w:r>
              <w:rPr>
                <w:rFonts w:eastAsia="Times New Roman"/>
                <w:b/>
                <w:bCs/>
                <w:color w:val="000000"/>
                <w:sz w:val="16"/>
                <w:szCs w:val="20"/>
                <w:lang w:val="en-US"/>
              </w:rPr>
              <w:t xml:space="preserve">Alokace navýšena o </w:t>
            </w:r>
            <w:r w:rsidRPr="00766460">
              <w:rPr>
                <w:rFonts w:eastAsia="Times New Roman"/>
                <w:b/>
                <w:bCs/>
                <w:color w:val="000000"/>
                <w:sz w:val="16"/>
                <w:szCs w:val="20"/>
                <w:lang w:val="en-US"/>
              </w:rPr>
              <w:t>(EUR)</w:t>
            </w:r>
          </w:p>
          <w:p w14:paraId="134EC0A9" w14:textId="4CBA75F6" w:rsidR="00E23223" w:rsidRPr="00766460" w:rsidRDefault="00E23223" w:rsidP="00766460">
            <w:pPr>
              <w:spacing w:before="40" w:after="40" w:line="240" w:lineRule="auto"/>
              <w:rPr>
                <w:rFonts w:eastAsia="Times New Roman"/>
                <w:b/>
                <w:bCs/>
                <w:color w:val="000000"/>
                <w:sz w:val="16"/>
                <w:szCs w:val="20"/>
                <w:lang w:val="en-US"/>
              </w:rPr>
            </w:pPr>
            <w:r w:rsidRPr="00E23223">
              <w:rPr>
                <w:rFonts w:eastAsia="Times New Roman"/>
                <w:bCs/>
                <w:color w:val="000000"/>
                <w:sz w:val="16"/>
                <w:szCs w:val="20"/>
                <w:lang w:val="en-US"/>
              </w:rPr>
              <w:t xml:space="preserve">kurz </w:t>
            </w:r>
            <w:r>
              <w:rPr>
                <w:rFonts w:eastAsia="Times New Roman"/>
                <w:bCs/>
                <w:color w:val="000000"/>
                <w:sz w:val="16"/>
                <w:szCs w:val="20"/>
                <w:lang w:val="en-US"/>
              </w:rPr>
              <w:br/>
            </w:r>
            <w:r w:rsidRPr="00E23223">
              <w:rPr>
                <w:rFonts w:eastAsia="Times New Roman"/>
                <w:bCs/>
                <w:color w:val="000000"/>
                <w:sz w:val="16"/>
                <w:szCs w:val="20"/>
                <w:lang w:val="en-US"/>
              </w:rPr>
              <w:t>1 EUR = 25,843 CZK</w:t>
            </w:r>
          </w:p>
        </w:tc>
        <w:tc>
          <w:tcPr>
            <w:tcW w:w="1153" w:type="dxa"/>
            <w:shd w:val="clear" w:color="auto" w:fill="F7CAAC" w:themeFill="accent2" w:themeFillTint="66"/>
            <w:noWrap/>
            <w:hideMark/>
          </w:tcPr>
          <w:p w14:paraId="4F41BC4E"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Specifický cíl</w:t>
            </w:r>
          </w:p>
        </w:tc>
        <w:tc>
          <w:tcPr>
            <w:tcW w:w="689" w:type="dxa"/>
            <w:shd w:val="clear" w:color="auto" w:fill="F7CAAC" w:themeFill="accent2" w:themeFillTint="66"/>
            <w:noWrap/>
            <w:hideMark/>
          </w:tcPr>
          <w:p w14:paraId="27E1DCEC" w14:textId="77777777" w:rsidR="006262F6" w:rsidRPr="00766460" w:rsidRDefault="006262F6" w:rsidP="00286F4A">
            <w:pPr>
              <w:spacing w:before="40" w:after="40" w:line="240" w:lineRule="auto"/>
              <w:rPr>
                <w:rFonts w:eastAsia="Times New Roman"/>
                <w:b/>
                <w:bCs/>
                <w:color w:val="000000"/>
                <w:sz w:val="16"/>
                <w:szCs w:val="20"/>
                <w:lang w:val="en-US"/>
              </w:rPr>
            </w:pPr>
            <w:r w:rsidRPr="00766460">
              <w:rPr>
                <w:rFonts w:eastAsia="Times New Roman"/>
                <w:b/>
                <w:bCs/>
                <w:color w:val="000000"/>
                <w:sz w:val="16"/>
                <w:szCs w:val="20"/>
                <w:lang w:val="en-US"/>
              </w:rPr>
              <w:t>Tématický cíl</w:t>
            </w:r>
          </w:p>
        </w:tc>
      </w:tr>
      <w:tr w:rsidR="00FB7689" w:rsidRPr="005236DE" w14:paraId="515D37FD" w14:textId="77777777" w:rsidTr="00FB7689">
        <w:trPr>
          <w:trHeight w:val="984"/>
        </w:trPr>
        <w:tc>
          <w:tcPr>
            <w:tcW w:w="709" w:type="dxa"/>
            <w:shd w:val="clear" w:color="auto" w:fill="auto"/>
            <w:noWrap/>
            <w:hideMark/>
          </w:tcPr>
          <w:p w14:paraId="5299295D" w14:textId="77777777" w:rsidR="006262F6" w:rsidRPr="00766460" w:rsidRDefault="006262F6" w:rsidP="00286F4A">
            <w:pPr>
              <w:spacing w:before="40" w:after="40" w:line="240" w:lineRule="auto"/>
              <w:jc w:val="center"/>
              <w:rPr>
                <w:rFonts w:eastAsia="Times New Roman"/>
                <w:b/>
                <w:bCs/>
                <w:color w:val="000000"/>
                <w:sz w:val="16"/>
                <w:szCs w:val="20"/>
                <w:lang w:val="en-US"/>
              </w:rPr>
            </w:pPr>
            <w:r w:rsidRPr="00766460">
              <w:rPr>
                <w:rFonts w:eastAsia="Times New Roman"/>
                <w:b/>
                <w:bCs/>
                <w:color w:val="000000"/>
                <w:sz w:val="16"/>
                <w:szCs w:val="20"/>
                <w:lang w:val="en-US"/>
              </w:rPr>
              <w:t xml:space="preserve">OP PIK </w:t>
            </w:r>
          </w:p>
        </w:tc>
        <w:tc>
          <w:tcPr>
            <w:tcW w:w="1276" w:type="dxa"/>
            <w:shd w:val="clear" w:color="auto" w:fill="auto"/>
          </w:tcPr>
          <w:p w14:paraId="58D4C4BA" w14:textId="77777777" w:rsidR="006262F6" w:rsidRPr="00766460" w:rsidRDefault="006262F6" w:rsidP="00286F4A">
            <w:pPr>
              <w:spacing w:before="40" w:after="40" w:line="240" w:lineRule="auto"/>
              <w:jc w:val="center"/>
              <w:rPr>
                <w:rFonts w:eastAsia="Times New Roman"/>
                <w:b/>
                <w:bCs/>
                <w:color w:val="000000"/>
                <w:sz w:val="16"/>
                <w:szCs w:val="20"/>
                <w:lang w:val="en-US"/>
              </w:rPr>
            </w:pPr>
            <w:r w:rsidRPr="00766460">
              <w:rPr>
                <w:rFonts w:eastAsia="Times New Roman"/>
                <w:bCs/>
                <w:color w:val="000000"/>
                <w:sz w:val="16"/>
                <w:szCs w:val="20"/>
                <w:lang w:val="en-US"/>
              </w:rPr>
              <w:t>4.1 - Zvětšit pokrytí vysokorychlostním přístupem k internetu</w:t>
            </w:r>
          </w:p>
        </w:tc>
        <w:tc>
          <w:tcPr>
            <w:tcW w:w="1134" w:type="dxa"/>
            <w:shd w:val="clear" w:color="auto" w:fill="auto"/>
            <w:noWrap/>
            <w:hideMark/>
          </w:tcPr>
          <w:p w14:paraId="758BFBA5" w14:textId="77777777" w:rsidR="006262F6" w:rsidRPr="00766460" w:rsidRDefault="006262F6" w:rsidP="00286F4A">
            <w:pPr>
              <w:spacing w:before="40" w:after="40" w:line="240" w:lineRule="auto"/>
              <w:jc w:val="center"/>
              <w:rPr>
                <w:rFonts w:eastAsia="Times New Roman"/>
                <w:color w:val="000000"/>
                <w:sz w:val="16"/>
                <w:szCs w:val="20"/>
                <w:lang w:val="en-US"/>
              </w:rPr>
            </w:pPr>
            <w:r w:rsidRPr="00766460">
              <w:rPr>
                <w:rFonts w:eastAsia="Times New Roman"/>
                <w:color w:val="000000"/>
                <w:sz w:val="16"/>
                <w:szCs w:val="20"/>
                <w:lang w:val="en-US"/>
              </w:rPr>
              <w:t>1 004</w:t>
            </w:r>
          </w:p>
        </w:tc>
        <w:tc>
          <w:tcPr>
            <w:tcW w:w="1134" w:type="dxa"/>
          </w:tcPr>
          <w:p w14:paraId="1641CE3F" w14:textId="06C4164A" w:rsidR="006262F6" w:rsidRPr="00766460" w:rsidRDefault="009C585C" w:rsidP="00286F4A">
            <w:pPr>
              <w:spacing w:before="40" w:after="40" w:line="240" w:lineRule="auto"/>
              <w:jc w:val="center"/>
              <w:rPr>
                <w:rFonts w:eastAsia="Times New Roman"/>
                <w:bCs/>
                <w:color w:val="000000"/>
                <w:sz w:val="16"/>
                <w:szCs w:val="20"/>
                <w:lang w:val="en-US"/>
              </w:rPr>
            </w:pPr>
            <w:r>
              <w:rPr>
                <w:rFonts w:eastAsia="Times New Roman"/>
                <w:bCs/>
                <w:color w:val="000000"/>
                <w:sz w:val="16"/>
                <w:szCs w:val="20"/>
                <w:lang w:val="en-US"/>
              </w:rPr>
              <w:t xml:space="preserve">38 </w:t>
            </w:r>
            <w:r w:rsidRPr="009C585C">
              <w:rPr>
                <w:sz w:val="16"/>
                <w:szCs w:val="16"/>
                <w:lang w:eastAsia="x-none"/>
              </w:rPr>
              <w:t>849 979</w:t>
            </w:r>
            <w:r w:rsidRPr="009C585C">
              <w:rPr>
                <w:b/>
                <w:lang w:eastAsia="x-none"/>
              </w:rPr>
              <w:t xml:space="preserve"> </w:t>
            </w:r>
          </w:p>
        </w:tc>
        <w:tc>
          <w:tcPr>
            <w:tcW w:w="709" w:type="dxa"/>
            <w:shd w:val="clear" w:color="auto" w:fill="auto"/>
            <w:noWrap/>
            <w:hideMark/>
          </w:tcPr>
          <w:p w14:paraId="7592108A" w14:textId="77777777" w:rsidR="006262F6" w:rsidRPr="00766460" w:rsidRDefault="006262F6" w:rsidP="00286F4A">
            <w:pPr>
              <w:spacing w:before="40" w:after="40" w:line="240" w:lineRule="auto"/>
              <w:jc w:val="center"/>
              <w:rPr>
                <w:rFonts w:eastAsia="Times New Roman"/>
                <w:bCs/>
                <w:color w:val="000000"/>
                <w:sz w:val="16"/>
                <w:szCs w:val="20"/>
                <w:lang w:val="en-US"/>
              </w:rPr>
            </w:pPr>
            <w:r w:rsidRPr="00766460">
              <w:rPr>
                <w:rFonts w:eastAsia="Times New Roman"/>
                <w:bCs/>
                <w:color w:val="000000"/>
                <w:sz w:val="16"/>
                <w:szCs w:val="20"/>
                <w:lang w:val="en-US"/>
              </w:rPr>
              <w:t>TC 2</w:t>
            </w:r>
          </w:p>
        </w:tc>
        <w:tc>
          <w:tcPr>
            <w:tcW w:w="992" w:type="dxa"/>
            <w:shd w:val="clear" w:color="auto" w:fill="auto"/>
            <w:noWrap/>
            <w:hideMark/>
          </w:tcPr>
          <w:p w14:paraId="7F916D2C" w14:textId="77777777" w:rsidR="006262F6" w:rsidRPr="00766460" w:rsidRDefault="006262F6" w:rsidP="001D0488">
            <w:pPr>
              <w:spacing w:before="40" w:after="40" w:line="240" w:lineRule="auto"/>
              <w:jc w:val="center"/>
              <w:rPr>
                <w:rFonts w:eastAsia="Times New Roman"/>
                <w:b/>
                <w:bCs/>
                <w:color w:val="000000"/>
                <w:sz w:val="16"/>
                <w:szCs w:val="20"/>
                <w:lang w:val="en-US"/>
              </w:rPr>
            </w:pPr>
            <w:r w:rsidRPr="00766460">
              <w:rPr>
                <w:rFonts w:eastAsia="Times New Roman"/>
                <w:b/>
                <w:bCs/>
                <w:color w:val="000000"/>
                <w:sz w:val="16"/>
                <w:szCs w:val="20"/>
                <w:lang w:val="en-US"/>
              </w:rPr>
              <w:t>IROP</w:t>
            </w:r>
          </w:p>
        </w:tc>
        <w:tc>
          <w:tcPr>
            <w:tcW w:w="850" w:type="dxa"/>
            <w:shd w:val="clear" w:color="auto" w:fill="auto"/>
            <w:noWrap/>
            <w:hideMark/>
          </w:tcPr>
          <w:p w14:paraId="091638AF" w14:textId="77777777" w:rsidR="006262F6" w:rsidRPr="00766460" w:rsidRDefault="006262F6" w:rsidP="00286F4A">
            <w:pPr>
              <w:spacing w:before="40" w:after="40" w:line="240" w:lineRule="auto"/>
              <w:jc w:val="center"/>
              <w:rPr>
                <w:rFonts w:eastAsia="Times New Roman"/>
                <w:iCs/>
                <w:sz w:val="16"/>
                <w:szCs w:val="20"/>
                <w:lang w:val="en-US"/>
              </w:rPr>
            </w:pPr>
            <w:r w:rsidRPr="00766460">
              <w:rPr>
                <w:rFonts w:eastAsia="Times New Roman"/>
                <w:bCs/>
                <w:color w:val="000000"/>
                <w:sz w:val="16"/>
                <w:szCs w:val="20"/>
                <w:lang w:val="en-US"/>
              </w:rPr>
              <w:t>1 004</w:t>
            </w:r>
          </w:p>
        </w:tc>
        <w:tc>
          <w:tcPr>
            <w:tcW w:w="993" w:type="dxa"/>
          </w:tcPr>
          <w:p w14:paraId="34894341" w14:textId="21BCB242" w:rsidR="006262F6" w:rsidRPr="00766460" w:rsidRDefault="009C585C" w:rsidP="001D0488">
            <w:pPr>
              <w:spacing w:before="40" w:after="40" w:line="240" w:lineRule="auto"/>
              <w:jc w:val="center"/>
              <w:rPr>
                <w:rFonts w:eastAsia="Times New Roman"/>
                <w:color w:val="000000"/>
                <w:sz w:val="16"/>
                <w:szCs w:val="20"/>
              </w:rPr>
            </w:pPr>
            <w:r>
              <w:rPr>
                <w:rFonts w:eastAsia="Times New Roman"/>
                <w:bCs/>
                <w:color w:val="000000"/>
                <w:sz w:val="16"/>
                <w:szCs w:val="20"/>
                <w:lang w:val="en-US"/>
              </w:rPr>
              <w:t>38 849 979</w:t>
            </w:r>
          </w:p>
        </w:tc>
        <w:tc>
          <w:tcPr>
            <w:tcW w:w="1153" w:type="dxa"/>
            <w:shd w:val="clear" w:color="auto" w:fill="auto"/>
            <w:noWrap/>
            <w:hideMark/>
          </w:tcPr>
          <w:p w14:paraId="10E5D880" w14:textId="77777777" w:rsidR="006262F6" w:rsidRPr="00766460" w:rsidRDefault="006262F6" w:rsidP="001D0488">
            <w:pPr>
              <w:spacing w:before="40" w:after="40" w:line="240" w:lineRule="auto"/>
              <w:jc w:val="center"/>
              <w:rPr>
                <w:rFonts w:eastAsia="Times New Roman"/>
                <w:color w:val="000000"/>
                <w:sz w:val="16"/>
                <w:szCs w:val="20"/>
                <w:lang w:val="en-US"/>
              </w:rPr>
            </w:pPr>
            <w:r w:rsidRPr="00766460">
              <w:rPr>
                <w:rFonts w:eastAsia="Times New Roman"/>
                <w:color w:val="000000"/>
                <w:sz w:val="16"/>
                <w:szCs w:val="20"/>
              </w:rPr>
              <w:t xml:space="preserve">3.2 - </w:t>
            </w:r>
            <w:r w:rsidRPr="00766460">
              <w:rPr>
                <w:rFonts w:eastAsia="Times New Roman"/>
                <w:bCs/>
                <w:color w:val="000000"/>
                <w:sz w:val="16"/>
                <w:szCs w:val="20"/>
                <w:lang w:val="en-US"/>
              </w:rPr>
              <w:t>Zvyšování efektivity a transparentnosti veřejné správy prostřednictvím rozvoje využití a kvality systémů IKT</w:t>
            </w:r>
          </w:p>
        </w:tc>
        <w:tc>
          <w:tcPr>
            <w:tcW w:w="689" w:type="dxa"/>
            <w:shd w:val="clear" w:color="auto" w:fill="auto"/>
            <w:noWrap/>
            <w:hideMark/>
          </w:tcPr>
          <w:p w14:paraId="5CAF6FB4" w14:textId="77777777" w:rsidR="006262F6" w:rsidRPr="00766460" w:rsidRDefault="006262F6" w:rsidP="001D0488">
            <w:pPr>
              <w:spacing w:before="40" w:after="40" w:line="240" w:lineRule="auto"/>
              <w:jc w:val="center"/>
              <w:rPr>
                <w:rFonts w:eastAsia="Times New Roman"/>
                <w:color w:val="000000"/>
                <w:sz w:val="16"/>
                <w:szCs w:val="20"/>
                <w:lang w:val="en-US"/>
              </w:rPr>
            </w:pPr>
            <w:r w:rsidRPr="00766460">
              <w:rPr>
                <w:rFonts w:eastAsia="Times New Roman"/>
                <w:color w:val="000000"/>
                <w:sz w:val="16"/>
                <w:szCs w:val="20"/>
                <w:lang w:val="en-US"/>
              </w:rPr>
              <w:t>TC 2</w:t>
            </w:r>
          </w:p>
        </w:tc>
      </w:tr>
    </w:tbl>
    <w:p w14:paraId="0039B876" w14:textId="77777777" w:rsidR="00172F39" w:rsidRDefault="00172F39" w:rsidP="002C40A7">
      <w:pPr>
        <w:spacing w:line="276" w:lineRule="auto"/>
        <w:rPr>
          <w:b/>
          <w:szCs w:val="20"/>
        </w:rPr>
      </w:pPr>
    </w:p>
    <w:p w14:paraId="41662849" w14:textId="69807FBD" w:rsidR="00DA1E75" w:rsidRDefault="00CD1778" w:rsidP="00371A1C">
      <w:pPr>
        <w:spacing w:line="276" w:lineRule="auto"/>
        <w:rPr>
          <w:b/>
          <w:szCs w:val="20"/>
        </w:rPr>
      </w:pPr>
      <w:r>
        <w:rPr>
          <w:b/>
          <w:szCs w:val="20"/>
        </w:rPr>
        <w:t>Prostřed</w:t>
      </w:r>
      <w:r w:rsidR="00371A1C">
        <w:rPr>
          <w:b/>
          <w:szCs w:val="20"/>
        </w:rPr>
        <w:t>ky na národní spolufinanco</w:t>
      </w:r>
      <w:r>
        <w:rPr>
          <w:b/>
          <w:szCs w:val="20"/>
        </w:rPr>
        <w:t xml:space="preserve">vání </w:t>
      </w:r>
      <w:r w:rsidR="00371A1C">
        <w:rPr>
          <w:b/>
          <w:szCs w:val="20"/>
        </w:rPr>
        <w:t xml:space="preserve">ve výši </w:t>
      </w:r>
      <w:r w:rsidR="00371A1C" w:rsidRPr="0083504C">
        <w:rPr>
          <w:b/>
        </w:rPr>
        <w:t xml:space="preserve">cca </w:t>
      </w:r>
      <w:r w:rsidR="00766460">
        <w:rPr>
          <w:b/>
          <w:szCs w:val="20"/>
        </w:rPr>
        <w:t>238</w:t>
      </w:r>
      <w:r w:rsidR="00762C70">
        <w:rPr>
          <w:b/>
          <w:szCs w:val="20"/>
        </w:rPr>
        <w:t xml:space="preserve"> </w:t>
      </w:r>
      <w:r w:rsidR="00371A1C" w:rsidRPr="0083504C">
        <w:rPr>
          <w:b/>
          <w:szCs w:val="20"/>
        </w:rPr>
        <w:t>mil. Kč</w:t>
      </w:r>
      <w:r w:rsidR="00371A1C">
        <w:rPr>
          <w:szCs w:val="20"/>
        </w:rPr>
        <w:t xml:space="preserve"> budou kryty z rozpočtu Ministerstva pro místní rozvoj (MMR)</w:t>
      </w:r>
      <w:r w:rsidR="00F8260E">
        <w:rPr>
          <w:szCs w:val="20"/>
        </w:rPr>
        <w:t>, ČÚZK a ČTÚ. V roce 2020 poskytne MMR prostředky ve výši 12</w:t>
      </w:r>
      <w:r w:rsidR="00FA20FE">
        <w:rPr>
          <w:szCs w:val="20"/>
        </w:rPr>
        <w:t>,081</w:t>
      </w:r>
      <w:r w:rsidR="00F8260E">
        <w:rPr>
          <w:szCs w:val="20"/>
        </w:rPr>
        <w:t xml:space="preserve"> mil. Kč kapitole ČÚZK formou rozpočtového opatření. </w:t>
      </w:r>
      <w:r w:rsidR="00371A1C">
        <w:rPr>
          <w:szCs w:val="20"/>
        </w:rPr>
        <w:t xml:space="preserve">Případné </w:t>
      </w:r>
      <w:r w:rsidR="00371A1C" w:rsidRPr="00736D28">
        <w:rPr>
          <w:b/>
          <w:szCs w:val="20"/>
        </w:rPr>
        <w:t>nezpůsobilé výdaje projektu</w:t>
      </w:r>
      <w:r w:rsidR="00371A1C">
        <w:rPr>
          <w:szCs w:val="20"/>
        </w:rPr>
        <w:t xml:space="preserve"> budou kryty z rozpočtu příslušného žadatele, tedy ČÚZK, MMR</w:t>
      </w:r>
      <w:r w:rsidR="00762C70">
        <w:rPr>
          <w:szCs w:val="20"/>
        </w:rPr>
        <w:t>, resp. ČTÚ</w:t>
      </w:r>
      <w:r w:rsidR="00371A1C">
        <w:rPr>
          <w:szCs w:val="20"/>
        </w:rPr>
        <w:t>.</w:t>
      </w:r>
      <w:r w:rsidR="00371A1C">
        <w:rPr>
          <w:b/>
          <w:szCs w:val="20"/>
        </w:rPr>
        <w:t xml:space="preserve"> </w:t>
      </w:r>
    </w:p>
    <w:p w14:paraId="072452D0" w14:textId="535F1D9B" w:rsidR="00371A1C" w:rsidRPr="00371A1C" w:rsidRDefault="00371A1C" w:rsidP="00371A1C">
      <w:pPr>
        <w:spacing w:line="276" w:lineRule="auto"/>
        <w:rPr>
          <w:b/>
          <w:szCs w:val="20"/>
        </w:rPr>
      </w:pPr>
      <w:r>
        <w:rPr>
          <w:szCs w:val="20"/>
        </w:rPr>
        <w:t xml:space="preserve">Náklady na </w:t>
      </w:r>
      <w:r w:rsidRPr="00736D28">
        <w:rPr>
          <w:b/>
          <w:szCs w:val="20"/>
        </w:rPr>
        <w:t>provoz projektu</w:t>
      </w:r>
      <w:r w:rsidR="00DA1E75" w:rsidRPr="00BA4611">
        <w:rPr>
          <w:b/>
          <w:szCs w:val="20"/>
        </w:rPr>
        <w:t xml:space="preserve"> </w:t>
      </w:r>
      <w:r w:rsidR="00D43B4F">
        <w:rPr>
          <w:b/>
          <w:szCs w:val="20"/>
        </w:rPr>
        <w:t xml:space="preserve">IS </w:t>
      </w:r>
      <w:r w:rsidR="00DA1E75" w:rsidRPr="00BA4611">
        <w:rPr>
          <w:b/>
          <w:szCs w:val="20"/>
        </w:rPr>
        <w:t>DMVS</w:t>
      </w:r>
      <w:r w:rsidR="00DA1E75">
        <w:rPr>
          <w:szCs w:val="20"/>
        </w:rPr>
        <w:t xml:space="preserve"> jsou odhadnuty na 33 mil</w:t>
      </w:r>
      <w:r w:rsidR="000F6FB1">
        <w:rPr>
          <w:szCs w:val="20"/>
        </w:rPr>
        <w:t>.</w:t>
      </w:r>
      <w:r w:rsidR="00DA1E75">
        <w:rPr>
          <w:szCs w:val="20"/>
        </w:rPr>
        <w:t xml:space="preserve"> Kč za rok, a tyto budou financovány z rozpočtové kapitoly ČÚZK. </w:t>
      </w:r>
      <w:r w:rsidR="00DA1E75" w:rsidRPr="0006704A">
        <w:rPr>
          <w:b/>
          <w:szCs w:val="20"/>
        </w:rPr>
        <w:t>Náklady na p</w:t>
      </w:r>
      <w:r w:rsidR="00F17F08" w:rsidRPr="0006704A">
        <w:rPr>
          <w:b/>
          <w:szCs w:val="20"/>
        </w:rPr>
        <w:t>rovoz ostatních komponent DSŘ</w:t>
      </w:r>
      <w:r w:rsidR="00F17F08">
        <w:rPr>
          <w:szCs w:val="20"/>
        </w:rPr>
        <w:t xml:space="preserve"> jsou</w:t>
      </w:r>
      <w:r w:rsidR="00DA1E75">
        <w:rPr>
          <w:szCs w:val="20"/>
        </w:rPr>
        <w:t xml:space="preserve"> odhadnut</w:t>
      </w:r>
      <w:r w:rsidR="00F17F08">
        <w:rPr>
          <w:szCs w:val="20"/>
        </w:rPr>
        <w:t>y</w:t>
      </w:r>
      <w:r w:rsidR="00DA1E75">
        <w:rPr>
          <w:szCs w:val="20"/>
        </w:rPr>
        <w:t xml:space="preserve"> na 20</w:t>
      </w:r>
      <w:r w:rsidR="00F17F08">
        <w:rPr>
          <w:szCs w:val="20"/>
        </w:rPr>
        <w:t xml:space="preserve"> </w:t>
      </w:r>
      <w:r w:rsidR="00DA1E75">
        <w:rPr>
          <w:szCs w:val="20"/>
        </w:rPr>
        <w:t>% z investičních nákladů ročně</w:t>
      </w:r>
      <w:r w:rsidR="00F17F08">
        <w:rPr>
          <w:szCs w:val="20"/>
        </w:rPr>
        <w:t>,</w:t>
      </w:r>
      <w:r w:rsidR="00DA1E75">
        <w:rPr>
          <w:szCs w:val="20"/>
        </w:rPr>
        <w:t xml:space="preserve"> tedy na 198 mil Kč za rok, jež mají být financovány z rozpočtové kapitoly MMR. Tyto provozní náklady začnou nabíhat po uvedení informačních systémů do provozu</w:t>
      </w:r>
      <w:r w:rsidR="00F17F08">
        <w:rPr>
          <w:szCs w:val="20"/>
        </w:rPr>
        <w:t>, tj.</w:t>
      </w:r>
      <w:r w:rsidR="00DA1E75">
        <w:rPr>
          <w:szCs w:val="20"/>
        </w:rPr>
        <w:t xml:space="preserve"> od 1.</w:t>
      </w:r>
      <w:r w:rsidR="00F17F08">
        <w:rPr>
          <w:szCs w:val="20"/>
        </w:rPr>
        <w:t xml:space="preserve"> </w:t>
      </w:r>
      <w:r w:rsidR="00DA1E75">
        <w:rPr>
          <w:szCs w:val="20"/>
        </w:rPr>
        <w:t>7.</w:t>
      </w:r>
      <w:r w:rsidR="00F17F08">
        <w:rPr>
          <w:szCs w:val="20"/>
        </w:rPr>
        <w:t xml:space="preserve"> </w:t>
      </w:r>
      <w:r w:rsidR="00DA1E75">
        <w:rPr>
          <w:szCs w:val="20"/>
        </w:rPr>
        <w:t>2023</w:t>
      </w:r>
      <w:r w:rsidR="000F6FB1">
        <w:rPr>
          <w:szCs w:val="20"/>
        </w:rPr>
        <w:t>.</w:t>
      </w:r>
    </w:p>
    <w:p w14:paraId="1789B2B5" w14:textId="77777777" w:rsidR="00371A1C" w:rsidRPr="00371A1C" w:rsidRDefault="00371A1C" w:rsidP="002C40A7">
      <w:pPr>
        <w:shd w:val="clear" w:color="auto" w:fill="FFFFFF" w:themeFill="background1"/>
        <w:rPr>
          <w:szCs w:val="20"/>
        </w:rPr>
      </w:pPr>
      <w:r w:rsidRPr="00371A1C">
        <w:rPr>
          <w:szCs w:val="20"/>
        </w:rPr>
        <w:t>Očekávané dokončení projekt</w:t>
      </w:r>
      <w:r w:rsidR="00762C70">
        <w:rPr>
          <w:szCs w:val="20"/>
        </w:rPr>
        <w:t>ů</w:t>
      </w:r>
      <w:r w:rsidRPr="00371A1C">
        <w:rPr>
          <w:szCs w:val="20"/>
        </w:rPr>
        <w:t xml:space="preserve"> DSŘ je </w:t>
      </w:r>
      <w:r w:rsidR="00DA1E75" w:rsidRPr="008253FA">
        <w:rPr>
          <w:szCs w:val="20"/>
        </w:rPr>
        <w:t>k 30. 6. 2023</w:t>
      </w:r>
      <w:r w:rsidRPr="008253FA">
        <w:rPr>
          <w:szCs w:val="20"/>
        </w:rPr>
        <w:t>.</w:t>
      </w:r>
    </w:p>
    <w:p w14:paraId="189985A0" w14:textId="77777777" w:rsidR="00015492" w:rsidRPr="00FA76BD" w:rsidRDefault="00FB50CD" w:rsidP="00FB50CD">
      <w:pPr>
        <w:shd w:val="clear" w:color="auto" w:fill="FFFFFF" w:themeFill="background1"/>
        <w:rPr>
          <w:color w:val="5B9BD5" w:themeColor="accent1"/>
        </w:rPr>
      </w:pPr>
      <w:r w:rsidRPr="007E7BE7">
        <w:rPr>
          <w:szCs w:val="20"/>
        </w:rPr>
        <w:t>N</w:t>
      </w:r>
      <w:r w:rsidR="002C40A7" w:rsidRPr="007E7BE7">
        <w:rPr>
          <w:szCs w:val="20"/>
        </w:rPr>
        <w:t>ávrh</w:t>
      </w:r>
      <w:r w:rsidRPr="007E7BE7">
        <w:rPr>
          <w:szCs w:val="20"/>
        </w:rPr>
        <w:t xml:space="preserve"> na realokaci</w:t>
      </w:r>
      <w:r w:rsidR="002C40A7" w:rsidRPr="007E7BE7">
        <w:rPr>
          <w:szCs w:val="20"/>
        </w:rPr>
        <w:t xml:space="preserve"> </w:t>
      </w:r>
      <w:r w:rsidR="00DA39ED">
        <w:rPr>
          <w:szCs w:val="20"/>
        </w:rPr>
        <w:t xml:space="preserve">byl vytvořen v součinnosti s řídicími orgány OP PIK a IROP a </w:t>
      </w:r>
      <w:r w:rsidR="002C40A7" w:rsidRPr="007E7BE7">
        <w:rPr>
          <w:szCs w:val="20"/>
        </w:rPr>
        <w:t>byl rámcově před</w:t>
      </w:r>
      <w:r w:rsidR="002713BC">
        <w:rPr>
          <w:szCs w:val="20"/>
        </w:rPr>
        <w:t>staven</w:t>
      </w:r>
      <w:r w:rsidR="002C40A7" w:rsidRPr="007E7BE7">
        <w:rPr>
          <w:szCs w:val="20"/>
        </w:rPr>
        <w:t xml:space="preserve"> </w:t>
      </w:r>
      <w:r w:rsidR="002713BC">
        <w:rPr>
          <w:szCs w:val="20"/>
        </w:rPr>
        <w:t>z</w:t>
      </w:r>
      <w:r w:rsidR="002C40A7" w:rsidRPr="007E7BE7">
        <w:rPr>
          <w:szCs w:val="20"/>
        </w:rPr>
        <w:t>ástupc</w:t>
      </w:r>
      <w:r w:rsidR="002713BC">
        <w:rPr>
          <w:szCs w:val="20"/>
        </w:rPr>
        <w:t>ům</w:t>
      </w:r>
      <w:r w:rsidR="002C40A7" w:rsidRPr="007E7BE7">
        <w:rPr>
          <w:szCs w:val="20"/>
        </w:rPr>
        <w:t xml:space="preserve"> Evropské komise</w:t>
      </w:r>
      <w:r w:rsidR="002713BC">
        <w:rPr>
          <w:szCs w:val="20"/>
        </w:rPr>
        <w:t>. Pro provedení realokace je nezbytnou podmínkou její schválení monitorovacími výbory OP PIK a IROP a následné schválení Evropskou komisí.</w:t>
      </w:r>
    </w:p>
    <w:sectPr w:rsidR="00015492" w:rsidRPr="00FA76BD" w:rsidSect="00507019">
      <w:headerReference w:type="even" r:id="rId16"/>
      <w:headerReference w:type="default" r:id="rId17"/>
      <w:footerReference w:type="even" r:id="rId18"/>
      <w:footerReference w:type="default" r:id="rId19"/>
      <w:headerReference w:type="first" r:id="rId20"/>
      <w:footerReference w:type="first" r:id="rId21"/>
      <w:pgSz w:w="11906" w:h="16838"/>
      <w:pgMar w:top="1134" w:right="1077" w:bottom="1134" w:left="1077" w:header="709" w:footer="221"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2A05EC0" w16cid:durableId="031CD7AC"/>
  <w16cid:commentId w16cid:paraId="4D5FCAFC" w16cid:durableId="5DE272BD"/>
  <w16cid:commentId w16cid:paraId="4BF3C25F" w16cid:durableId="2DA6E3A5"/>
  <w16cid:commentId w16cid:paraId="3204D44A" w16cid:durableId="1FCDE859"/>
  <w16cid:commentId w16cid:paraId="6EFAFA37" w16cid:durableId="087C77FE"/>
  <w16cid:commentId w16cid:paraId="08559E3A" w16cid:durableId="49F44BB8"/>
  <w16cid:commentId w16cid:paraId="27226913" w16cid:durableId="4A961B62"/>
  <w16cid:commentId w16cid:paraId="57A3D26A" w16cid:durableId="4A2D07D5"/>
  <w16cid:commentId w16cid:paraId="5E4E75A0" w16cid:durableId="0CE1CF0A"/>
  <w16cid:commentId w16cid:paraId="030354BE" w16cid:durableId="53AF9534"/>
  <w16cid:commentId w16cid:paraId="31D6B9CB" w16cid:durableId="3D221587"/>
  <w16cid:commentId w16cid:paraId="15A26024" w16cid:durableId="11A91923"/>
  <w16cid:commentId w16cid:paraId="114F02D2" w16cid:durableId="79C6EE71"/>
  <w16cid:commentId w16cid:paraId="228F4EF3" w16cid:durableId="6A1B59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EA38E" w14:textId="77777777" w:rsidR="00CE463F" w:rsidRDefault="00CE463F" w:rsidP="00D0342E">
      <w:pPr>
        <w:spacing w:after="0" w:line="240" w:lineRule="auto"/>
      </w:pPr>
      <w:r>
        <w:separator/>
      </w:r>
    </w:p>
  </w:endnote>
  <w:endnote w:type="continuationSeparator" w:id="0">
    <w:p w14:paraId="5628C0F3" w14:textId="77777777" w:rsidR="00CE463F" w:rsidRDefault="00CE463F" w:rsidP="00D0342E">
      <w:pPr>
        <w:spacing w:after="0" w:line="240" w:lineRule="auto"/>
      </w:pPr>
      <w:r>
        <w:continuationSeparator/>
      </w:r>
    </w:p>
  </w:endnote>
  <w:endnote w:type="continuationNotice" w:id="1">
    <w:p w14:paraId="4A040B18" w14:textId="77777777" w:rsidR="00CE463F" w:rsidRDefault="00CE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71BF" w14:textId="77777777" w:rsidR="001E1E51" w:rsidRDefault="001E1E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6201"/>
      <w:docPartObj>
        <w:docPartGallery w:val="Page Numbers (Bottom of Page)"/>
        <w:docPartUnique/>
      </w:docPartObj>
    </w:sdtPr>
    <w:sdtEndPr/>
    <w:sdtContent>
      <w:p w14:paraId="5CBC851D" w14:textId="0EDE5CE4" w:rsidR="00AE7602" w:rsidRPr="00B01AB4" w:rsidRDefault="00AE7602" w:rsidP="001A6163">
        <w:pPr>
          <w:pStyle w:val="Zpat"/>
          <w:jc w:val="center"/>
        </w:pPr>
        <w:r w:rsidRPr="00B01AB4">
          <w:fldChar w:fldCharType="begin"/>
        </w:r>
        <w:r w:rsidRPr="00B01AB4">
          <w:instrText>PAGE   \* MERGEFORMAT</w:instrText>
        </w:r>
        <w:r w:rsidRPr="00B01AB4">
          <w:fldChar w:fldCharType="separate"/>
        </w:r>
        <w:r w:rsidR="00B933C3">
          <w:rPr>
            <w:noProof/>
          </w:rPr>
          <w:t>12</w:t>
        </w:r>
        <w:r w:rsidRPr="00B01AB4">
          <w:fldChar w:fldCharType="end"/>
        </w:r>
      </w:p>
    </w:sdtContent>
  </w:sdt>
  <w:p w14:paraId="474BA40B" w14:textId="77777777" w:rsidR="00AE7602" w:rsidRDefault="00AE7602" w:rsidP="001A61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EB94" w14:textId="77777777" w:rsidR="00AE7602" w:rsidRDefault="00AE7602">
    <w:pPr>
      <w:pStyle w:val="Zpat"/>
    </w:pPr>
    <w:r>
      <w:rPr>
        <w:noProof/>
      </w:rPr>
      <w:drawing>
        <wp:inline distT="0" distB="0" distL="0" distR="0" wp14:anchorId="4C290816" wp14:editId="5D281FF6">
          <wp:extent cx="6648450" cy="4953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4953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57788" w14:textId="77777777" w:rsidR="00CE463F" w:rsidRDefault="00CE463F" w:rsidP="00D0342E">
      <w:pPr>
        <w:spacing w:after="0" w:line="240" w:lineRule="auto"/>
      </w:pPr>
      <w:r>
        <w:separator/>
      </w:r>
    </w:p>
  </w:footnote>
  <w:footnote w:type="continuationSeparator" w:id="0">
    <w:p w14:paraId="61FBA631" w14:textId="77777777" w:rsidR="00CE463F" w:rsidRDefault="00CE463F" w:rsidP="00D0342E">
      <w:pPr>
        <w:spacing w:after="0" w:line="240" w:lineRule="auto"/>
      </w:pPr>
      <w:r>
        <w:continuationSeparator/>
      </w:r>
    </w:p>
  </w:footnote>
  <w:footnote w:type="continuationNotice" w:id="1">
    <w:p w14:paraId="045197D4" w14:textId="77777777" w:rsidR="00CE463F" w:rsidRDefault="00CE463F">
      <w:pPr>
        <w:spacing w:after="0" w:line="240" w:lineRule="auto"/>
      </w:pPr>
    </w:p>
  </w:footnote>
  <w:footnote w:id="2">
    <w:p w14:paraId="675F16C0" w14:textId="77777777" w:rsidR="00AE7602" w:rsidRPr="00304C19" w:rsidRDefault="00AE7602" w:rsidP="00304C19">
      <w:pPr>
        <w:pStyle w:val="typedudocumentcp1"/>
        <w:shd w:val="clear" w:color="auto" w:fill="FFFFFF"/>
        <w:jc w:val="left"/>
        <w:rPr>
          <w:b w:val="0"/>
          <w:color w:val="444444"/>
          <w:sz w:val="18"/>
          <w:szCs w:val="18"/>
          <w:lang w:val="en"/>
        </w:rPr>
      </w:pPr>
      <w:r>
        <w:rPr>
          <w:rStyle w:val="Znakapoznpodarou"/>
        </w:rPr>
        <w:footnoteRef/>
      </w:r>
      <w:r>
        <w:t xml:space="preserve"> </w:t>
      </w:r>
      <w:r w:rsidRPr="00304C19">
        <w:rPr>
          <w:b w:val="0"/>
          <w:color w:val="444444"/>
          <w:sz w:val="18"/>
          <w:szCs w:val="18"/>
          <w:lang w:val="en"/>
        </w:rPr>
        <w:t>COUNCIL RECOMMENDATION</w:t>
      </w:r>
      <w:r>
        <w:rPr>
          <w:b w:val="0"/>
          <w:color w:val="444444"/>
          <w:sz w:val="18"/>
          <w:szCs w:val="18"/>
          <w:lang w:val="en"/>
        </w:rPr>
        <w:t xml:space="preserve"> </w:t>
      </w:r>
      <w:r w:rsidRPr="00304C19">
        <w:rPr>
          <w:b w:val="0"/>
          <w:color w:val="444444"/>
          <w:sz w:val="18"/>
          <w:szCs w:val="18"/>
          <w:lang w:val="en"/>
        </w:rPr>
        <w:t>on the 2019 National Reform Programme of the Czech Republic and delivering a Council opinion on the 2019 Convergence Programme of the Czech Republic</w:t>
      </w:r>
      <w:r>
        <w:rPr>
          <w:b w:val="0"/>
          <w:color w:val="444444"/>
          <w:sz w:val="18"/>
          <w:szCs w:val="18"/>
          <w:lang w:val="en"/>
        </w:rPr>
        <w:t xml:space="preserve">; </w:t>
      </w:r>
      <w:r w:rsidRPr="00304C19">
        <w:rPr>
          <w:b w:val="0"/>
          <w:color w:val="444444"/>
          <w:sz w:val="18"/>
          <w:szCs w:val="18"/>
          <w:lang w:val="en"/>
        </w:rPr>
        <w:t xml:space="preserve">COM(2019) 503 final </w:t>
      </w:r>
    </w:p>
    <w:p w14:paraId="45F8C3A7" w14:textId="77777777" w:rsidR="00AE7602" w:rsidRDefault="00AE7602" w:rsidP="000065E9">
      <w:pPr>
        <w:pStyle w:val="Textpoznpodarou"/>
      </w:pPr>
    </w:p>
  </w:footnote>
  <w:footnote w:id="3">
    <w:p w14:paraId="7376B9D4" w14:textId="77777777" w:rsidR="002D577E" w:rsidRDefault="002D577E">
      <w:pPr>
        <w:pStyle w:val="Textpoznpodarou"/>
      </w:pPr>
      <w:r>
        <w:rPr>
          <w:rStyle w:val="Znakapoznpodarou"/>
        </w:rPr>
        <w:footnoteRef/>
      </w:r>
      <w:r>
        <w:t xml:space="preserve"> Stav k</w:t>
      </w:r>
      <w:r w:rsidR="00E14DD5">
        <w:t> 9. 7.</w:t>
      </w:r>
      <w:r>
        <w:t xml:space="preserve"> 2019. Výše volné alokace se může v závislosti na implementaci programu měnit.</w:t>
      </w:r>
    </w:p>
  </w:footnote>
  <w:footnote w:id="4">
    <w:p w14:paraId="2CC3E3E4" w14:textId="301BFD37" w:rsidR="005828AE" w:rsidRDefault="005828AE">
      <w:pPr>
        <w:pStyle w:val="Textpoznpodarou"/>
      </w:pPr>
      <w:r w:rsidRPr="009C585C">
        <w:rPr>
          <w:rStyle w:val="Znakapoznpodarou"/>
        </w:rPr>
        <w:footnoteRef/>
      </w:r>
      <w:r w:rsidRPr="009C585C">
        <w:t xml:space="preserve"> Převedeno kurzem 1 EUR = 25,</w:t>
      </w:r>
      <w:r w:rsidR="009C585C" w:rsidRPr="007D1C8E">
        <w:t>843</w:t>
      </w:r>
      <w:r w:rsidRPr="009C585C">
        <w:t xml:space="preserve"> CZK</w:t>
      </w:r>
    </w:p>
  </w:footnote>
  <w:footnote w:id="5">
    <w:p w14:paraId="720A6EA0" w14:textId="77777777" w:rsidR="002D577E" w:rsidRDefault="002D577E">
      <w:pPr>
        <w:pStyle w:val="Textpoznpodarou"/>
      </w:pPr>
      <w:r>
        <w:rPr>
          <w:rStyle w:val="Znakapoznpodarou"/>
        </w:rPr>
        <w:footnoteRef/>
      </w:r>
      <w:r>
        <w:t xml:space="preserve"> Stav k</w:t>
      </w:r>
      <w:r w:rsidR="00E14DD5">
        <w:t> 9. 7.</w:t>
      </w:r>
      <w:r>
        <w:t xml:space="preserve"> 2019. Výše volné alokace se může v závislosti na implementaci programu měnit.</w:t>
      </w:r>
    </w:p>
  </w:footnote>
  <w:footnote w:id="6">
    <w:p w14:paraId="1542F74C" w14:textId="61A9A1B0" w:rsidR="00B165F5" w:rsidRPr="00580659" w:rsidRDefault="00B165F5">
      <w:pPr>
        <w:pStyle w:val="Textpoznpodarou"/>
      </w:pPr>
      <w:r>
        <w:rPr>
          <w:rStyle w:val="Znakapoznpodarou"/>
        </w:rPr>
        <w:footnoteRef/>
      </w:r>
      <w:r>
        <w:t xml:space="preserve"> </w:t>
      </w:r>
      <w:r w:rsidRPr="009C585C">
        <w:t>Převedeno kurzem 1 EUR = 25,</w:t>
      </w:r>
      <w:r w:rsidR="009C585C" w:rsidRPr="009C585C">
        <w:t>843</w:t>
      </w:r>
      <w:r w:rsidRPr="009C585C">
        <w:t xml:space="preserve"> CZK</w:t>
      </w:r>
      <w:r w:rsidR="003567E7">
        <w:t xml:space="preserve">. </w:t>
      </w:r>
      <w:r w:rsidR="003567E7" w:rsidRPr="00580659">
        <w:rPr>
          <w:bCs/>
          <w:szCs w:val="16"/>
          <w:lang w:eastAsia="en-US"/>
        </w:rPr>
        <w:t>Pro přesné vyčíslení výše realokace v EUR, odpovídající požadavku na 1004 mil. Kč, bude použit směnný kurz aktuální v době přípravy návrhu realokace ke schválení monitorovacími výbory</w:t>
      </w:r>
      <w:r w:rsidR="003567E7" w:rsidRPr="00580659">
        <w:rPr>
          <w:szCs w:val="16"/>
        </w:rPr>
        <w:t xml:space="preserve"> operačních programů OP PIK a IROP.</w:t>
      </w:r>
    </w:p>
  </w:footnote>
  <w:footnote w:id="7">
    <w:p w14:paraId="4515EC29" w14:textId="77777777" w:rsidR="00AE7602" w:rsidRDefault="00AE7602">
      <w:pPr>
        <w:pStyle w:val="Textpoznpodarou"/>
      </w:pPr>
      <w:r>
        <w:rPr>
          <w:rStyle w:val="Znakapoznpodarou"/>
        </w:rPr>
        <w:footnoteRef/>
      </w:r>
      <w:r>
        <w:t xml:space="preserve"> Nařízení Evropského parlamentu a Rady (EU) č. 1303/2013 ze dne 17. prosince 2013</w:t>
      </w:r>
    </w:p>
  </w:footnote>
  <w:footnote w:id="8">
    <w:p w14:paraId="7511BAA8" w14:textId="3BA1ABC7" w:rsidR="006262F6" w:rsidRDefault="006262F6">
      <w:pPr>
        <w:pStyle w:val="Textpoznpodarou"/>
      </w:pPr>
      <w:r>
        <w:rPr>
          <w:rStyle w:val="Znakapoznpodarou"/>
        </w:rPr>
        <w:footnoteRef/>
      </w:r>
      <w:r>
        <w:t xml:space="preserve"> Převedeno </w:t>
      </w:r>
      <w:r w:rsidR="009C585C" w:rsidRPr="009C585C">
        <w:t>k</w:t>
      </w:r>
      <w:r w:rsidRPr="009C585C">
        <w:t>urzem 1 EUR = 25,</w:t>
      </w:r>
      <w:r w:rsidR="009C585C" w:rsidRPr="009C585C">
        <w:t>843</w:t>
      </w:r>
      <w:r w:rsidRPr="009C585C">
        <w:t xml:space="preserve"> CZK.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562C" w14:textId="77777777" w:rsidR="001E1E51" w:rsidRDefault="001E1E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ECF8A" w14:textId="77777777" w:rsidR="001E1E51" w:rsidRDefault="001E1E5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EFEC1" w14:textId="31704C7D" w:rsidR="001A638B" w:rsidRPr="001E1E51" w:rsidRDefault="001A638B">
    <w:pPr>
      <w:pStyle w:val="Zhlav"/>
      <w:rPr>
        <w:b/>
        <w:sz w:val="24"/>
        <w:szCs w:val="24"/>
      </w:rPr>
    </w:pPr>
    <w:r>
      <w:tab/>
    </w:r>
    <w:r>
      <w:tab/>
    </w:r>
    <w:r w:rsidRPr="001E1E51">
      <w:rPr>
        <w:b/>
        <w:sz w:val="24"/>
        <w:szCs w:val="24"/>
      </w:rPr>
      <w:t>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186"/>
    <w:multiLevelType w:val="hybridMultilevel"/>
    <w:tmpl w:val="3EB044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CA65D0E"/>
    <w:multiLevelType w:val="hybridMultilevel"/>
    <w:tmpl w:val="7096AB52"/>
    <w:lvl w:ilvl="0" w:tplc="04050001">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767799"/>
    <w:multiLevelType w:val="hybridMultilevel"/>
    <w:tmpl w:val="6C1E4582"/>
    <w:lvl w:ilvl="0" w:tplc="658E55F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B5157A"/>
    <w:multiLevelType w:val="hybridMultilevel"/>
    <w:tmpl w:val="196A4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AE4307"/>
    <w:multiLevelType w:val="hybridMultilevel"/>
    <w:tmpl w:val="7092F23A"/>
    <w:lvl w:ilvl="0" w:tplc="09BA9F0E">
      <w:start w:val="18"/>
      <w:numFmt w:val="bullet"/>
      <w:lvlText w:val="-"/>
      <w:lvlJc w:val="left"/>
      <w:pPr>
        <w:ind w:left="567" w:hanging="207"/>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2607F1"/>
    <w:multiLevelType w:val="hybridMultilevel"/>
    <w:tmpl w:val="32F4205A"/>
    <w:lvl w:ilvl="0" w:tplc="F54AA71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25CD51BE"/>
    <w:multiLevelType w:val="hybridMultilevel"/>
    <w:tmpl w:val="9FACF796"/>
    <w:lvl w:ilvl="0" w:tplc="240402B2">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1A11A59"/>
    <w:multiLevelType w:val="multilevel"/>
    <w:tmpl w:val="66D0B294"/>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817A54"/>
    <w:multiLevelType w:val="hybridMultilevel"/>
    <w:tmpl w:val="679AFD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2AE26E5"/>
    <w:multiLevelType w:val="hybridMultilevel"/>
    <w:tmpl w:val="29FC16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3B224C1"/>
    <w:multiLevelType w:val="hybridMultilevel"/>
    <w:tmpl w:val="777A1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4AF113A"/>
    <w:multiLevelType w:val="hybridMultilevel"/>
    <w:tmpl w:val="209448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9222CC2"/>
    <w:multiLevelType w:val="hybridMultilevel"/>
    <w:tmpl w:val="727EDC14"/>
    <w:lvl w:ilvl="0" w:tplc="5E6CE64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9A55BAD"/>
    <w:multiLevelType w:val="hybridMultilevel"/>
    <w:tmpl w:val="ABD0DE24"/>
    <w:lvl w:ilvl="0" w:tplc="C4046444">
      <w:start w:val="1"/>
      <w:numFmt w:val="decimal"/>
      <w:lvlText w:val="%1."/>
      <w:lvlJc w:val="left"/>
      <w:pPr>
        <w:tabs>
          <w:tab w:val="num" w:pos="720"/>
        </w:tabs>
        <w:ind w:left="720" w:hanging="360"/>
      </w:pPr>
    </w:lvl>
    <w:lvl w:ilvl="1" w:tplc="DCDC8D26">
      <w:start w:val="82"/>
      <w:numFmt w:val="bullet"/>
      <w:lvlText w:val="•"/>
      <w:lvlJc w:val="left"/>
      <w:pPr>
        <w:tabs>
          <w:tab w:val="num" w:pos="1440"/>
        </w:tabs>
        <w:ind w:left="1440" w:hanging="360"/>
      </w:pPr>
      <w:rPr>
        <w:rFonts w:ascii="Arial" w:hAnsi="Arial" w:hint="default"/>
      </w:rPr>
    </w:lvl>
    <w:lvl w:ilvl="2" w:tplc="5D1670DC" w:tentative="1">
      <w:start w:val="1"/>
      <w:numFmt w:val="decimal"/>
      <w:lvlText w:val="%3."/>
      <w:lvlJc w:val="left"/>
      <w:pPr>
        <w:tabs>
          <w:tab w:val="num" w:pos="2160"/>
        </w:tabs>
        <w:ind w:left="2160" w:hanging="360"/>
      </w:pPr>
    </w:lvl>
    <w:lvl w:ilvl="3" w:tplc="4B10F3BC" w:tentative="1">
      <w:start w:val="1"/>
      <w:numFmt w:val="decimal"/>
      <w:lvlText w:val="%4."/>
      <w:lvlJc w:val="left"/>
      <w:pPr>
        <w:tabs>
          <w:tab w:val="num" w:pos="2880"/>
        </w:tabs>
        <w:ind w:left="2880" w:hanging="360"/>
      </w:pPr>
    </w:lvl>
    <w:lvl w:ilvl="4" w:tplc="FCD89D1E" w:tentative="1">
      <w:start w:val="1"/>
      <w:numFmt w:val="decimal"/>
      <w:lvlText w:val="%5."/>
      <w:lvlJc w:val="left"/>
      <w:pPr>
        <w:tabs>
          <w:tab w:val="num" w:pos="3600"/>
        </w:tabs>
        <w:ind w:left="3600" w:hanging="360"/>
      </w:pPr>
    </w:lvl>
    <w:lvl w:ilvl="5" w:tplc="074C2FFC" w:tentative="1">
      <w:start w:val="1"/>
      <w:numFmt w:val="decimal"/>
      <w:lvlText w:val="%6."/>
      <w:lvlJc w:val="left"/>
      <w:pPr>
        <w:tabs>
          <w:tab w:val="num" w:pos="4320"/>
        </w:tabs>
        <w:ind w:left="4320" w:hanging="360"/>
      </w:pPr>
    </w:lvl>
    <w:lvl w:ilvl="6" w:tplc="3876947E" w:tentative="1">
      <w:start w:val="1"/>
      <w:numFmt w:val="decimal"/>
      <w:lvlText w:val="%7."/>
      <w:lvlJc w:val="left"/>
      <w:pPr>
        <w:tabs>
          <w:tab w:val="num" w:pos="5040"/>
        </w:tabs>
        <w:ind w:left="5040" w:hanging="360"/>
      </w:pPr>
    </w:lvl>
    <w:lvl w:ilvl="7" w:tplc="4FE2F198" w:tentative="1">
      <w:start w:val="1"/>
      <w:numFmt w:val="decimal"/>
      <w:lvlText w:val="%8."/>
      <w:lvlJc w:val="left"/>
      <w:pPr>
        <w:tabs>
          <w:tab w:val="num" w:pos="5760"/>
        </w:tabs>
        <w:ind w:left="5760" w:hanging="360"/>
      </w:pPr>
    </w:lvl>
    <w:lvl w:ilvl="8" w:tplc="F23EE928" w:tentative="1">
      <w:start w:val="1"/>
      <w:numFmt w:val="decimal"/>
      <w:lvlText w:val="%9."/>
      <w:lvlJc w:val="left"/>
      <w:pPr>
        <w:tabs>
          <w:tab w:val="num" w:pos="6480"/>
        </w:tabs>
        <w:ind w:left="6480" w:hanging="360"/>
      </w:pPr>
    </w:lvl>
  </w:abstractNum>
  <w:abstractNum w:abstractNumId="14">
    <w:nsid w:val="640F70B4"/>
    <w:multiLevelType w:val="hybridMultilevel"/>
    <w:tmpl w:val="0E7C2854"/>
    <w:lvl w:ilvl="0" w:tplc="04050001">
      <w:start w:val="1"/>
      <w:numFmt w:val="bullet"/>
      <w:lvlText w:val=""/>
      <w:lvlJc w:val="left"/>
      <w:pPr>
        <w:ind w:left="720" w:hanging="360"/>
      </w:pPr>
      <w:rPr>
        <w:rFonts w:ascii="Symbol" w:hAnsi="Symbol" w:hint="default"/>
      </w:rPr>
    </w:lvl>
    <w:lvl w:ilvl="1" w:tplc="85B87726">
      <w:numFmt w:val="bullet"/>
      <w:pStyle w:val="bul1"/>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F01B55"/>
    <w:multiLevelType w:val="hybridMultilevel"/>
    <w:tmpl w:val="A7C23EBA"/>
    <w:lvl w:ilvl="0" w:tplc="B9E8B276">
      <w:start w:val="1"/>
      <w:numFmt w:val="decimal"/>
      <w:lvlText w:val="%1."/>
      <w:lvlJc w:val="left"/>
      <w:pPr>
        <w:tabs>
          <w:tab w:val="num" w:pos="720"/>
        </w:tabs>
        <w:ind w:left="720" w:hanging="360"/>
      </w:pPr>
    </w:lvl>
    <w:lvl w:ilvl="1" w:tplc="F3A23506" w:tentative="1">
      <w:start w:val="1"/>
      <w:numFmt w:val="decimal"/>
      <w:lvlText w:val="%2."/>
      <w:lvlJc w:val="left"/>
      <w:pPr>
        <w:tabs>
          <w:tab w:val="num" w:pos="1440"/>
        </w:tabs>
        <w:ind w:left="1440" w:hanging="360"/>
      </w:pPr>
    </w:lvl>
    <w:lvl w:ilvl="2" w:tplc="8CD07E06" w:tentative="1">
      <w:start w:val="1"/>
      <w:numFmt w:val="decimal"/>
      <w:lvlText w:val="%3."/>
      <w:lvlJc w:val="left"/>
      <w:pPr>
        <w:tabs>
          <w:tab w:val="num" w:pos="2160"/>
        </w:tabs>
        <w:ind w:left="2160" w:hanging="360"/>
      </w:pPr>
    </w:lvl>
    <w:lvl w:ilvl="3" w:tplc="18B66ED4" w:tentative="1">
      <w:start w:val="1"/>
      <w:numFmt w:val="decimal"/>
      <w:lvlText w:val="%4."/>
      <w:lvlJc w:val="left"/>
      <w:pPr>
        <w:tabs>
          <w:tab w:val="num" w:pos="2880"/>
        </w:tabs>
        <w:ind w:left="2880" w:hanging="360"/>
      </w:pPr>
    </w:lvl>
    <w:lvl w:ilvl="4" w:tplc="1A2AFEAC" w:tentative="1">
      <w:start w:val="1"/>
      <w:numFmt w:val="decimal"/>
      <w:lvlText w:val="%5."/>
      <w:lvlJc w:val="left"/>
      <w:pPr>
        <w:tabs>
          <w:tab w:val="num" w:pos="3600"/>
        </w:tabs>
        <w:ind w:left="3600" w:hanging="360"/>
      </w:pPr>
    </w:lvl>
    <w:lvl w:ilvl="5" w:tplc="DA64DDC2" w:tentative="1">
      <w:start w:val="1"/>
      <w:numFmt w:val="decimal"/>
      <w:lvlText w:val="%6."/>
      <w:lvlJc w:val="left"/>
      <w:pPr>
        <w:tabs>
          <w:tab w:val="num" w:pos="4320"/>
        </w:tabs>
        <w:ind w:left="4320" w:hanging="360"/>
      </w:pPr>
    </w:lvl>
    <w:lvl w:ilvl="6" w:tplc="1D1AF294" w:tentative="1">
      <w:start w:val="1"/>
      <w:numFmt w:val="decimal"/>
      <w:lvlText w:val="%7."/>
      <w:lvlJc w:val="left"/>
      <w:pPr>
        <w:tabs>
          <w:tab w:val="num" w:pos="5040"/>
        </w:tabs>
        <w:ind w:left="5040" w:hanging="360"/>
      </w:pPr>
    </w:lvl>
    <w:lvl w:ilvl="7" w:tplc="9EFC9CC6" w:tentative="1">
      <w:start w:val="1"/>
      <w:numFmt w:val="decimal"/>
      <w:lvlText w:val="%8."/>
      <w:lvlJc w:val="left"/>
      <w:pPr>
        <w:tabs>
          <w:tab w:val="num" w:pos="5760"/>
        </w:tabs>
        <w:ind w:left="5760" w:hanging="360"/>
      </w:pPr>
    </w:lvl>
    <w:lvl w:ilvl="8" w:tplc="E2AC8B4C" w:tentative="1">
      <w:start w:val="1"/>
      <w:numFmt w:val="decimal"/>
      <w:lvlText w:val="%9."/>
      <w:lvlJc w:val="left"/>
      <w:pPr>
        <w:tabs>
          <w:tab w:val="num" w:pos="6480"/>
        </w:tabs>
        <w:ind w:left="6480" w:hanging="360"/>
      </w:pPr>
    </w:lvl>
  </w:abstractNum>
  <w:abstractNum w:abstractNumId="16">
    <w:nsid w:val="788845C8"/>
    <w:multiLevelType w:val="hybridMultilevel"/>
    <w:tmpl w:val="C9C046C0"/>
    <w:lvl w:ilvl="0" w:tplc="C75471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7E4323CE"/>
    <w:multiLevelType w:val="hybridMultilevel"/>
    <w:tmpl w:val="913EA548"/>
    <w:lvl w:ilvl="0" w:tplc="7430C1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10"/>
  </w:num>
  <w:num w:numId="7">
    <w:abstractNumId w:val="14"/>
  </w:num>
  <w:num w:numId="8">
    <w:abstractNumId w:val="11"/>
  </w:num>
  <w:num w:numId="9">
    <w:abstractNumId w:val="3"/>
  </w:num>
  <w:num w:numId="10">
    <w:abstractNumId w:val="15"/>
  </w:num>
  <w:num w:numId="11">
    <w:abstractNumId w:val="13"/>
  </w:num>
  <w:num w:numId="12">
    <w:abstractNumId w:val="16"/>
  </w:num>
  <w:num w:numId="13">
    <w:abstractNumId w:val="4"/>
  </w:num>
  <w:num w:numId="14">
    <w:abstractNumId w:val="2"/>
  </w:num>
  <w:num w:numId="15">
    <w:abstractNumId w:val="17"/>
  </w:num>
  <w:num w:numId="16">
    <w:abstractNumId w:val="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2E"/>
    <w:rsid w:val="00003E07"/>
    <w:rsid w:val="000065E9"/>
    <w:rsid w:val="00015492"/>
    <w:rsid w:val="00020194"/>
    <w:rsid w:val="00023F26"/>
    <w:rsid w:val="000349DA"/>
    <w:rsid w:val="00041835"/>
    <w:rsid w:val="000434A1"/>
    <w:rsid w:val="00044E04"/>
    <w:rsid w:val="0005002C"/>
    <w:rsid w:val="00050290"/>
    <w:rsid w:val="000663AF"/>
    <w:rsid w:val="0006704A"/>
    <w:rsid w:val="00081DCF"/>
    <w:rsid w:val="00085240"/>
    <w:rsid w:val="00097DCB"/>
    <w:rsid w:val="000A058F"/>
    <w:rsid w:val="000A27C0"/>
    <w:rsid w:val="000A76A3"/>
    <w:rsid w:val="000B30A4"/>
    <w:rsid w:val="000C4EDE"/>
    <w:rsid w:val="000C575D"/>
    <w:rsid w:val="000D21C7"/>
    <w:rsid w:val="000D61B7"/>
    <w:rsid w:val="000E5A5D"/>
    <w:rsid w:val="000F3C61"/>
    <w:rsid w:val="000F3EDE"/>
    <w:rsid w:val="000F6FB1"/>
    <w:rsid w:val="00110ACF"/>
    <w:rsid w:val="00113050"/>
    <w:rsid w:val="00123C68"/>
    <w:rsid w:val="00124D32"/>
    <w:rsid w:val="00127FF6"/>
    <w:rsid w:val="0013097F"/>
    <w:rsid w:val="001334C7"/>
    <w:rsid w:val="00136F60"/>
    <w:rsid w:val="00143BBC"/>
    <w:rsid w:val="001459AE"/>
    <w:rsid w:val="00172F39"/>
    <w:rsid w:val="00182CFA"/>
    <w:rsid w:val="001921CA"/>
    <w:rsid w:val="0019689E"/>
    <w:rsid w:val="001A6163"/>
    <w:rsid w:val="001A638B"/>
    <w:rsid w:val="001D0488"/>
    <w:rsid w:val="001D1154"/>
    <w:rsid w:val="001D55CB"/>
    <w:rsid w:val="001D6061"/>
    <w:rsid w:val="001E1E51"/>
    <w:rsid w:val="001E6DEF"/>
    <w:rsid w:val="001F03CE"/>
    <w:rsid w:val="001F47A4"/>
    <w:rsid w:val="001F6076"/>
    <w:rsid w:val="00200218"/>
    <w:rsid w:val="002132CA"/>
    <w:rsid w:val="0021413C"/>
    <w:rsid w:val="00214DFF"/>
    <w:rsid w:val="00215BD3"/>
    <w:rsid w:val="0022026B"/>
    <w:rsid w:val="002232D6"/>
    <w:rsid w:val="00225111"/>
    <w:rsid w:val="00246153"/>
    <w:rsid w:val="0024627E"/>
    <w:rsid w:val="00257A74"/>
    <w:rsid w:val="002628AD"/>
    <w:rsid w:val="0026698D"/>
    <w:rsid w:val="002713BC"/>
    <w:rsid w:val="0027239F"/>
    <w:rsid w:val="00272CA6"/>
    <w:rsid w:val="00273A5D"/>
    <w:rsid w:val="00273ABF"/>
    <w:rsid w:val="00274E74"/>
    <w:rsid w:val="0027504E"/>
    <w:rsid w:val="00286F4A"/>
    <w:rsid w:val="002873D6"/>
    <w:rsid w:val="00290A48"/>
    <w:rsid w:val="00293941"/>
    <w:rsid w:val="00296DBB"/>
    <w:rsid w:val="002A421E"/>
    <w:rsid w:val="002A6829"/>
    <w:rsid w:val="002A7820"/>
    <w:rsid w:val="002A7836"/>
    <w:rsid w:val="002C275E"/>
    <w:rsid w:val="002C40A7"/>
    <w:rsid w:val="002D4FD1"/>
    <w:rsid w:val="002D577E"/>
    <w:rsid w:val="002E01DC"/>
    <w:rsid w:val="002E079E"/>
    <w:rsid w:val="002E2140"/>
    <w:rsid w:val="002E305F"/>
    <w:rsid w:val="002E5868"/>
    <w:rsid w:val="002E7718"/>
    <w:rsid w:val="002F05A2"/>
    <w:rsid w:val="002F6E7F"/>
    <w:rsid w:val="0030129C"/>
    <w:rsid w:val="00304C19"/>
    <w:rsid w:val="003065DE"/>
    <w:rsid w:val="003114E8"/>
    <w:rsid w:val="003158F1"/>
    <w:rsid w:val="00317267"/>
    <w:rsid w:val="00322583"/>
    <w:rsid w:val="00325AF6"/>
    <w:rsid w:val="00327A33"/>
    <w:rsid w:val="00342D60"/>
    <w:rsid w:val="0034381F"/>
    <w:rsid w:val="003464F3"/>
    <w:rsid w:val="003567E7"/>
    <w:rsid w:val="003579C0"/>
    <w:rsid w:val="00363419"/>
    <w:rsid w:val="00363EF2"/>
    <w:rsid w:val="00364C55"/>
    <w:rsid w:val="00371A1C"/>
    <w:rsid w:val="00382448"/>
    <w:rsid w:val="00382B3C"/>
    <w:rsid w:val="00384126"/>
    <w:rsid w:val="00386680"/>
    <w:rsid w:val="003907F4"/>
    <w:rsid w:val="003A05A0"/>
    <w:rsid w:val="003B1DD3"/>
    <w:rsid w:val="003B54FB"/>
    <w:rsid w:val="003C5DF4"/>
    <w:rsid w:val="003E5260"/>
    <w:rsid w:val="003F1C74"/>
    <w:rsid w:val="003F5E03"/>
    <w:rsid w:val="003F5E4B"/>
    <w:rsid w:val="004016D3"/>
    <w:rsid w:val="00405DF5"/>
    <w:rsid w:val="00405FDD"/>
    <w:rsid w:val="004061EC"/>
    <w:rsid w:val="00412C4A"/>
    <w:rsid w:val="00425FB0"/>
    <w:rsid w:val="00430FF6"/>
    <w:rsid w:val="00431FC5"/>
    <w:rsid w:val="00437AEB"/>
    <w:rsid w:val="00437FE2"/>
    <w:rsid w:val="00452279"/>
    <w:rsid w:val="0045795F"/>
    <w:rsid w:val="00457BA7"/>
    <w:rsid w:val="00485FC4"/>
    <w:rsid w:val="0048628E"/>
    <w:rsid w:val="00487456"/>
    <w:rsid w:val="0049061C"/>
    <w:rsid w:val="00495477"/>
    <w:rsid w:val="00496C64"/>
    <w:rsid w:val="004A17F0"/>
    <w:rsid w:val="004A4916"/>
    <w:rsid w:val="004A5C00"/>
    <w:rsid w:val="004B46F4"/>
    <w:rsid w:val="004D0AE0"/>
    <w:rsid w:val="004D374C"/>
    <w:rsid w:val="004D4715"/>
    <w:rsid w:val="004D705D"/>
    <w:rsid w:val="00507019"/>
    <w:rsid w:val="00514CC9"/>
    <w:rsid w:val="00521DAC"/>
    <w:rsid w:val="005354C1"/>
    <w:rsid w:val="005447CE"/>
    <w:rsid w:val="00544CA7"/>
    <w:rsid w:val="00554C58"/>
    <w:rsid w:val="005557A1"/>
    <w:rsid w:val="005614C7"/>
    <w:rsid w:val="00580659"/>
    <w:rsid w:val="005828AE"/>
    <w:rsid w:val="005833BD"/>
    <w:rsid w:val="00585D58"/>
    <w:rsid w:val="00587EBA"/>
    <w:rsid w:val="00597946"/>
    <w:rsid w:val="005B0754"/>
    <w:rsid w:val="005B5476"/>
    <w:rsid w:val="005B72DB"/>
    <w:rsid w:val="005B77BF"/>
    <w:rsid w:val="005C0E7C"/>
    <w:rsid w:val="005D2A64"/>
    <w:rsid w:val="005D6F80"/>
    <w:rsid w:val="005E1568"/>
    <w:rsid w:val="005F3400"/>
    <w:rsid w:val="005F72BB"/>
    <w:rsid w:val="0060230A"/>
    <w:rsid w:val="006058DC"/>
    <w:rsid w:val="00605B3E"/>
    <w:rsid w:val="0061027C"/>
    <w:rsid w:val="006112F8"/>
    <w:rsid w:val="0061392B"/>
    <w:rsid w:val="00620712"/>
    <w:rsid w:val="006239CC"/>
    <w:rsid w:val="006254D0"/>
    <w:rsid w:val="006262F6"/>
    <w:rsid w:val="00631E9B"/>
    <w:rsid w:val="0064749C"/>
    <w:rsid w:val="00663821"/>
    <w:rsid w:val="00665660"/>
    <w:rsid w:val="006752F4"/>
    <w:rsid w:val="00685DF3"/>
    <w:rsid w:val="00690511"/>
    <w:rsid w:val="006A2A05"/>
    <w:rsid w:val="006B19E1"/>
    <w:rsid w:val="006C4242"/>
    <w:rsid w:val="006C7B14"/>
    <w:rsid w:val="006D1FEA"/>
    <w:rsid w:val="007010E2"/>
    <w:rsid w:val="0070483C"/>
    <w:rsid w:val="00705E14"/>
    <w:rsid w:val="0071127F"/>
    <w:rsid w:val="00712995"/>
    <w:rsid w:val="00713A2B"/>
    <w:rsid w:val="00722D3C"/>
    <w:rsid w:val="007236AF"/>
    <w:rsid w:val="00725448"/>
    <w:rsid w:val="00734684"/>
    <w:rsid w:val="00736D28"/>
    <w:rsid w:val="00737D49"/>
    <w:rsid w:val="00747894"/>
    <w:rsid w:val="0075163F"/>
    <w:rsid w:val="007627D1"/>
    <w:rsid w:val="00762C70"/>
    <w:rsid w:val="00764EE3"/>
    <w:rsid w:val="00766460"/>
    <w:rsid w:val="00772FCF"/>
    <w:rsid w:val="00775772"/>
    <w:rsid w:val="00777417"/>
    <w:rsid w:val="00793AD8"/>
    <w:rsid w:val="007A4EBD"/>
    <w:rsid w:val="007B7D60"/>
    <w:rsid w:val="007C440C"/>
    <w:rsid w:val="007C50B8"/>
    <w:rsid w:val="007D1C8E"/>
    <w:rsid w:val="007E00D9"/>
    <w:rsid w:val="007E1503"/>
    <w:rsid w:val="007E7BE7"/>
    <w:rsid w:val="007F1E5F"/>
    <w:rsid w:val="007F61F6"/>
    <w:rsid w:val="0080055F"/>
    <w:rsid w:val="008146AC"/>
    <w:rsid w:val="0081763C"/>
    <w:rsid w:val="008253C7"/>
    <w:rsid w:val="008253FA"/>
    <w:rsid w:val="0083020A"/>
    <w:rsid w:val="00834113"/>
    <w:rsid w:val="0083504C"/>
    <w:rsid w:val="00843DFD"/>
    <w:rsid w:val="0084733F"/>
    <w:rsid w:val="0085238D"/>
    <w:rsid w:val="008527D6"/>
    <w:rsid w:val="00854C8D"/>
    <w:rsid w:val="00860907"/>
    <w:rsid w:val="0086620A"/>
    <w:rsid w:val="00866C65"/>
    <w:rsid w:val="008815AD"/>
    <w:rsid w:val="00882143"/>
    <w:rsid w:val="00885C59"/>
    <w:rsid w:val="008914C2"/>
    <w:rsid w:val="00891BE7"/>
    <w:rsid w:val="00895538"/>
    <w:rsid w:val="008A3571"/>
    <w:rsid w:val="008A4F9D"/>
    <w:rsid w:val="008B1025"/>
    <w:rsid w:val="008C0608"/>
    <w:rsid w:val="008D6416"/>
    <w:rsid w:val="008D6D72"/>
    <w:rsid w:val="008D7544"/>
    <w:rsid w:val="008D776A"/>
    <w:rsid w:val="008E2A35"/>
    <w:rsid w:val="008E2E51"/>
    <w:rsid w:val="008F1B69"/>
    <w:rsid w:val="008F69CC"/>
    <w:rsid w:val="00900845"/>
    <w:rsid w:val="00901506"/>
    <w:rsid w:val="00903BEA"/>
    <w:rsid w:val="00910376"/>
    <w:rsid w:val="009137B0"/>
    <w:rsid w:val="00932824"/>
    <w:rsid w:val="00932CD2"/>
    <w:rsid w:val="009360BD"/>
    <w:rsid w:val="0094088D"/>
    <w:rsid w:val="0094216D"/>
    <w:rsid w:val="00945951"/>
    <w:rsid w:val="009578A0"/>
    <w:rsid w:val="0096075D"/>
    <w:rsid w:val="009616CE"/>
    <w:rsid w:val="00963C1A"/>
    <w:rsid w:val="009676D2"/>
    <w:rsid w:val="00974C0C"/>
    <w:rsid w:val="009813A2"/>
    <w:rsid w:val="00987FB7"/>
    <w:rsid w:val="00990210"/>
    <w:rsid w:val="00990275"/>
    <w:rsid w:val="00993F82"/>
    <w:rsid w:val="009958CB"/>
    <w:rsid w:val="009972E8"/>
    <w:rsid w:val="009A4852"/>
    <w:rsid w:val="009C585C"/>
    <w:rsid w:val="009D7DEF"/>
    <w:rsid w:val="009E2052"/>
    <w:rsid w:val="009F27EA"/>
    <w:rsid w:val="009F2C49"/>
    <w:rsid w:val="009F445B"/>
    <w:rsid w:val="00A010CB"/>
    <w:rsid w:val="00A039C4"/>
    <w:rsid w:val="00A10437"/>
    <w:rsid w:val="00A10F83"/>
    <w:rsid w:val="00A15994"/>
    <w:rsid w:val="00A2680C"/>
    <w:rsid w:val="00A275ED"/>
    <w:rsid w:val="00A30460"/>
    <w:rsid w:val="00A32657"/>
    <w:rsid w:val="00A3778B"/>
    <w:rsid w:val="00A43D9A"/>
    <w:rsid w:val="00A550F4"/>
    <w:rsid w:val="00A60BA9"/>
    <w:rsid w:val="00A657A9"/>
    <w:rsid w:val="00A6645B"/>
    <w:rsid w:val="00A74209"/>
    <w:rsid w:val="00A766C2"/>
    <w:rsid w:val="00A775BA"/>
    <w:rsid w:val="00A81488"/>
    <w:rsid w:val="00A922DE"/>
    <w:rsid w:val="00A948F2"/>
    <w:rsid w:val="00AA54D6"/>
    <w:rsid w:val="00AA6776"/>
    <w:rsid w:val="00AB6312"/>
    <w:rsid w:val="00AB7882"/>
    <w:rsid w:val="00AC508E"/>
    <w:rsid w:val="00AC6F2D"/>
    <w:rsid w:val="00AD1047"/>
    <w:rsid w:val="00AD203E"/>
    <w:rsid w:val="00AD342F"/>
    <w:rsid w:val="00AD378F"/>
    <w:rsid w:val="00AD5255"/>
    <w:rsid w:val="00AD71A2"/>
    <w:rsid w:val="00AE7602"/>
    <w:rsid w:val="00AF393F"/>
    <w:rsid w:val="00AF698B"/>
    <w:rsid w:val="00B01CF8"/>
    <w:rsid w:val="00B027D2"/>
    <w:rsid w:val="00B05786"/>
    <w:rsid w:val="00B065CE"/>
    <w:rsid w:val="00B06FFE"/>
    <w:rsid w:val="00B0739F"/>
    <w:rsid w:val="00B1241F"/>
    <w:rsid w:val="00B15EE7"/>
    <w:rsid w:val="00B165F5"/>
    <w:rsid w:val="00B24852"/>
    <w:rsid w:val="00B25240"/>
    <w:rsid w:val="00B2622F"/>
    <w:rsid w:val="00B263A8"/>
    <w:rsid w:val="00B501E4"/>
    <w:rsid w:val="00B64477"/>
    <w:rsid w:val="00B645B5"/>
    <w:rsid w:val="00B71CC4"/>
    <w:rsid w:val="00B739D7"/>
    <w:rsid w:val="00B73B14"/>
    <w:rsid w:val="00B75C53"/>
    <w:rsid w:val="00B848A4"/>
    <w:rsid w:val="00B8572B"/>
    <w:rsid w:val="00B933C3"/>
    <w:rsid w:val="00B93E49"/>
    <w:rsid w:val="00B943C4"/>
    <w:rsid w:val="00B970FB"/>
    <w:rsid w:val="00BA6C1B"/>
    <w:rsid w:val="00BB2637"/>
    <w:rsid w:val="00BC2A72"/>
    <w:rsid w:val="00BC65B6"/>
    <w:rsid w:val="00BC7E76"/>
    <w:rsid w:val="00BD3FF4"/>
    <w:rsid w:val="00BE5380"/>
    <w:rsid w:val="00BF30DE"/>
    <w:rsid w:val="00BF501A"/>
    <w:rsid w:val="00C10C18"/>
    <w:rsid w:val="00C159CA"/>
    <w:rsid w:val="00C16BD2"/>
    <w:rsid w:val="00C20968"/>
    <w:rsid w:val="00C2232E"/>
    <w:rsid w:val="00C24722"/>
    <w:rsid w:val="00C25458"/>
    <w:rsid w:val="00C35422"/>
    <w:rsid w:val="00C368A7"/>
    <w:rsid w:val="00C420FA"/>
    <w:rsid w:val="00C43099"/>
    <w:rsid w:val="00C5466F"/>
    <w:rsid w:val="00C57C10"/>
    <w:rsid w:val="00C61F0D"/>
    <w:rsid w:val="00C70FF2"/>
    <w:rsid w:val="00C72650"/>
    <w:rsid w:val="00C77842"/>
    <w:rsid w:val="00C81D85"/>
    <w:rsid w:val="00C84F17"/>
    <w:rsid w:val="00C87255"/>
    <w:rsid w:val="00C87DC5"/>
    <w:rsid w:val="00C90F27"/>
    <w:rsid w:val="00C94425"/>
    <w:rsid w:val="00CA2C44"/>
    <w:rsid w:val="00CA6FD8"/>
    <w:rsid w:val="00CC1B3E"/>
    <w:rsid w:val="00CC5116"/>
    <w:rsid w:val="00CC6A31"/>
    <w:rsid w:val="00CD1778"/>
    <w:rsid w:val="00CD1E22"/>
    <w:rsid w:val="00CD369B"/>
    <w:rsid w:val="00CE463F"/>
    <w:rsid w:val="00CE5A0A"/>
    <w:rsid w:val="00CF24EC"/>
    <w:rsid w:val="00CF7593"/>
    <w:rsid w:val="00D0342E"/>
    <w:rsid w:val="00D04514"/>
    <w:rsid w:val="00D11034"/>
    <w:rsid w:val="00D17142"/>
    <w:rsid w:val="00D34EE8"/>
    <w:rsid w:val="00D4262C"/>
    <w:rsid w:val="00D43B4F"/>
    <w:rsid w:val="00D44FBE"/>
    <w:rsid w:val="00D46836"/>
    <w:rsid w:val="00D51BC0"/>
    <w:rsid w:val="00D52617"/>
    <w:rsid w:val="00D606E5"/>
    <w:rsid w:val="00D62824"/>
    <w:rsid w:val="00D70448"/>
    <w:rsid w:val="00D75320"/>
    <w:rsid w:val="00D862EF"/>
    <w:rsid w:val="00D8736A"/>
    <w:rsid w:val="00D87FC7"/>
    <w:rsid w:val="00D94E0B"/>
    <w:rsid w:val="00DA1E75"/>
    <w:rsid w:val="00DA39ED"/>
    <w:rsid w:val="00DA5B3B"/>
    <w:rsid w:val="00DB461B"/>
    <w:rsid w:val="00DC3051"/>
    <w:rsid w:val="00DC3518"/>
    <w:rsid w:val="00DC6030"/>
    <w:rsid w:val="00DD497E"/>
    <w:rsid w:val="00DE688E"/>
    <w:rsid w:val="00DF0CF7"/>
    <w:rsid w:val="00DF24C2"/>
    <w:rsid w:val="00DF6455"/>
    <w:rsid w:val="00DF74B2"/>
    <w:rsid w:val="00E14DD5"/>
    <w:rsid w:val="00E150FC"/>
    <w:rsid w:val="00E2060F"/>
    <w:rsid w:val="00E20EF9"/>
    <w:rsid w:val="00E23223"/>
    <w:rsid w:val="00E2593C"/>
    <w:rsid w:val="00E270A0"/>
    <w:rsid w:val="00E367CC"/>
    <w:rsid w:val="00E53400"/>
    <w:rsid w:val="00E56ED6"/>
    <w:rsid w:val="00E71171"/>
    <w:rsid w:val="00E7208C"/>
    <w:rsid w:val="00E72A5E"/>
    <w:rsid w:val="00E73F57"/>
    <w:rsid w:val="00E7586A"/>
    <w:rsid w:val="00E80852"/>
    <w:rsid w:val="00E85CC3"/>
    <w:rsid w:val="00EA2260"/>
    <w:rsid w:val="00EA404D"/>
    <w:rsid w:val="00EB548A"/>
    <w:rsid w:val="00EC1726"/>
    <w:rsid w:val="00EE61E6"/>
    <w:rsid w:val="00EF63E9"/>
    <w:rsid w:val="00F15E3C"/>
    <w:rsid w:val="00F17F08"/>
    <w:rsid w:val="00F40135"/>
    <w:rsid w:val="00F52293"/>
    <w:rsid w:val="00F56ACB"/>
    <w:rsid w:val="00F60B05"/>
    <w:rsid w:val="00F61286"/>
    <w:rsid w:val="00F8260E"/>
    <w:rsid w:val="00F9085A"/>
    <w:rsid w:val="00F90C15"/>
    <w:rsid w:val="00F951FA"/>
    <w:rsid w:val="00F95530"/>
    <w:rsid w:val="00FA20FE"/>
    <w:rsid w:val="00FA76BD"/>
    <w:rsid w:val="00FB50CD"/>
    <w:rsid w:val="00FB7689"/>
    <w:rsid w:val="00FD414F"/>
    <w:rsid w:val="00FD5C86"/>
    <w:rsid w:val="00FD71C8"/>
    <w:rsid w:val="00FD7BB9"/>
    <w:rsid w:val="00FE434A"/>
    <w:rsid w:val="00FE5F67"/>
    <w:rsid w:val="06C0036D"/>
    <w:rsid w:val="1E2E9A05"/>
    <w:rsid w:val="23C3F2B3"/>
    <w:rsid w:val="258BA7D1"/>
    <w:rsid w:val="367A3920"/>
    <w:rsid w:val="4352F126"/>
    <w:rsid w:val="55A2005D"/>
    <w:rsid w:val="5DE45FCB"/>
    <w:rsid w:val="60841BC2"/>
    <w:rsid w:val="74A7D421"/>
    <w:rsid w:val="79E5B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42E"/>
    <w:pPr>
      <w:spacing w:after="120" w:line="264" w:lineRule="auto"/>
      <w:jc w:val="both"/>
    </w:pPr>
    <w:rPr>
      <w:rFonts w:ascii="Arial" w:hAnsi="Arial" w:cs="Arial"/>
      <w:sz w:val="20"/>
      <w:lang w:eastAsia="cs-CZ"/>
    </w:rPr>
  </w:style>
  <w:style w:type="paragraph" w:styleId="Nadpis1">
    <w:name w:val="heading 1"/>
    <w:basedOn w:val="Normln"/>
    <w:next w:val="Normln"/>
    <w:link w:val="Nadpis1Char"/>
    <w:uiPriority w:val="9"/>
    <w:qFormat/>
    <w:rsid w:val="00D0342E"/>
    <w:pPr>
      <w:keepNext/>
      <w:keepLines/>
      <w:numPr>
        <w:numId w:val="1"/>
      </w:numPr>
      <w:pBdr>
        <w:bottom w:val="single" w:sz="4" w:space="1" w:color="000099"/>
      </w:pBdr>
      <w:spacing w:before="360" w:after="240"/>
      <w:outlineLvl w:val="0"/>
    </w:pPr>
    <w:rPr>
      <w:rFonts w:eastAsia="Calibri"/>
      <w:b/>
      <w:bCs/>
      <w:color w:val="000099"/>
      <w:sz w:val="36"/>
      <w:szCs w:val="28"/>
    </w:rPr>
  </w:style>
  <w:style w:type="paragraph" w:styleId="Nadpis2">
    <w:name w:val="heading 2"/>
    <w:basedOn w:val="Nadpis1"/>
    <w:next w:val="Normln"/>
    <w:link w:val="Nadpis2Char"/>
    <w:uiPriority w:val="9"/>
    <w:unhideWhenUsed/>
    <w:qFormat/>
    <w:rsid w:val="00D0342E"/>
    <w:pPr>
      <w:numPr>
        <w:ilvl w:val="1"/>
      </w:numPr>
      <w:pBdr>
        <w:bottom w:val="none" w:sz="0" w:space="0" w:color="auto"/>
      </w:pBdr>
      <w:tabs>
        <w:tab w:val="left" w:pos="709"/>
      </w:tabs>
      <w:spacing w:before="240" w:after="120"/>
      <w:outlineLvl w:val="1"/>
    </w:pPr>
    <w:rPr>
      <w:sz w:val="32"/>
    </w:rPr>
  </w:style>
  <w:style w:type="paragraph" w:styleId="Nadpis3">
    <w:name w:val="heading 3"/>
    <w:basedOn w:val="Normln"/>
    <w:next w:val="Normln"/>
    <w:link w:val="Nadpis3Char"/>
    <w:uiPriority w:val="9"/>
    <w:unhideWhenUsed/>
    <w:qFormat/>
    <w:rsid w:val="00D0342E"/>
    <w:pPr>
      <w:numPr>
        <w:ilvl w:val="2"/>
        <w:numId w:val="1"/>
      </w:numPr>
      <w:spacing w:before="240" w:line="276" w:lineRule="auto"/>
      <w:outlineLvl w:val="2"/>
    </w:pPr>
    <w:rPr>
      <w:b/>
      <w:color w:val="000099"/>
      <w:sz w:val="24"/>
    </w:rPr>
  </w:style>
  <w:style w:type="paragraph" w:styleId="Nadpis4">
    <w:name w:val="heading 4"/>
    <w:basedOn w:val="Normln"/>
    <w:next w:val="Normln"/>
    <w:link w:val="Nadpis4Char"/>
    <w:uiPriority w:val="9"/>
    <w:semiHidden/>
    <w:unhideWhenUsed/>
    <w:qFormat/>
    <w:rsid w:val="00425F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42E"/>
    <w:rPr>
      <w:rFonts w:ascii="Arial" w:eastAsia="Calibri" w:hAnsi="Arial" w:cs="Arial"/>
      <w:b/>
      <w:bCs/>
      <w:color w:val="000099"/>
      <w:sz w:val="36"/>
      <w:szCs w:val="28"/>
      <w:lang w:eastAsia="cs-CZ"/>
    </w:rPr>
  </w:style>
  <w:style w:type="character" w:customStyle="1" w:styleId="Nadpis2Char">
    <w:name w:val="Nadpis 2 Char"/>
    <w:basedOn w:val="Standardnpsmoodstavce"/>
    <w:link w:val="Nadpis2"/>
    <w:uiPriority w:val="9"/>
    <w:rsid w:val="00D0342E"/>
    <w:rPr>
      <w:rFonts w:ascii="Arial" w:eastAsia="Calibri" w:hAnsi="Arial" w:cs="Arial"/>
      <w:b/>
      <w:bCs/>
      <w:color w:val="000099"/>
      <w:sz w:val="32"/>
      <w:szCs w:val="28"/>
      <w:lang w:eastAsia="cs-CZ"/>
    </w:rPr>
  </w:style>
  <w:style w:type="character" w:customStyle="1" w:styleId="Nadpis3Char">
    <w:name w:val="Nadpis 3 Char"/>
    <w:basedOn w:val="Standardnpsmoodstavce"/>
    <w:link w:val="Nadpis3"/>
    <w:uiPriority w:val="9"/>
    <w:rsid w:val="00D0342E"/>
    <w:rPr>
      <w:rFonts w:ascii="Arial" w:hAnsi="Arial" w:cs="Arial"/>
      <w:b/>
      <w:color w:val="000099"/>
      <w:sz w:val="24"/>
      <w:lang w:eastAsia="cs-CZ"/>
    </w:rPr>
  </w:style>
  <w:style w:type="paragraph" w:styleId="Textpoznpodarou">
    <w:name w:val="footnote text"/>
    <w:aliases w:val="Schriftart: 9 pt,Schriftart: 10 pt,Schriftart: 8 pt,Text poznámky pod čiarou 007,Footnote,Fußnotentextf,Geneva 9,Font: Geneva 9,Boston 10,f,pozn. pod čarou,Char1,Char12,Char,Text pozn. pod čarou1,Char Char Char1,Char Char1,o"/>
    <w:basedOn w:val="Normln"/>
    <w:link w:val="TextpoznpodarouChar"/>
    <w:uiPriority w:val="99"/>
    <w:unhideWhenUsed/>
    <w:rsid w:val="00D0342E"/>
    <w:pPr>
      <w:spacing w:after="0" w:line="240" w:lineRule="auto"/>
      <w:ind w:left="284" w:hanging="284"/>
    </w:pPr>
    <w:rPr>
      <w:sz w:val="16"/>
      <w:szCs w:val="20"/>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1 Char"/>
    <w:basedOn w:val="Standardnpsmoodstavce"/>
    <w:link w:val="Textpoznpodarou"/>
    <w:uiPriority w:val="99"/>
    <w:rsid w:val="00D0342E"/>
    <w:rPr>
      <w:rFonts w:ascii="Arial" w:hAnsi="Arial" w:cs="Arial"/>
      <w:sz w:val="16"/>
      <w:szCs w:val="20"/>
      <w:lang w:eastAsia="cs-CZ"/>
    </w:rPr>
  </w:style>
  <w:style w:type="paragraph" w:customStyle="1" w:styleId="TabulkaNOK-zdroj">
    <w:name w:val="Tabulka NOK - zdroj"/>
    <w:basedOn w:val="Textkomente"/>
    <w:link w:val="TabulkaNOK-zdrojChar"/>
    <w:rsid w:val="00D0342E"/>
    <w:rPr>
      <w:sz w:val="16"/>
    </w:rPr>
  </w:style>
  <w:style w:type="character" w:customStyle="1" w:styleId="TabulkaNOK-zdrojChar">
    <w:name w:val="Tabulka NOK - zdroj Char"/>
    <w:basedOn w:val="Standardnpsmoodstavce"/>
    <w:link w:val="TabulkaNOK-zdroj"/>
    <w:rsid w:val="00D0342E"/>
    <w:rPr>
      <w:rFonts w:ascii="Arial" w:eastAsia="Times New Roman" w:hAnsi="Arial" w:cs="Arial"/>
      <w:sz w:val="16"/>
      <w:szCs w:val="16"/>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basedOn w:val="Standardnpsmoodstavce"/>
    <w:uiPriority w:val="99"/>
    <w:rsid w:val="00D0342E"/>
    <w:rPr>
      <w:rFonts w:ascii="Calibri" w:hAnsi="Calibri" w:cs="Calibri"/>
      <w:color w:val="auto"/>
      <w:sz w:val="20"/>
      <w:szCs w:val="20"/>
      <w:u w:val="none"/>
      <w:vertAlign w:val="superscript"/>
      <w:lang w:val="cs-CZ" w:eastAsia="en-US"/>
    </w:rPr>
  </w:style>
  <w:style w:type="table" w:styleId="Mkatabulky">
    <w:name w:val="Table Grid"/>
    <w:basedOn w:val="Normlntabulka"/>
    <w:uiPriority w:val="39"/>
    <w:rsid w:val="00D0342E"/>
    <w:pPr>
      <w:spacing w:after="0" w:line="240" w:lineRule="auto"/>
    </w:pPr>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0342E"/>
    <w:pPr>
      <w:spacing w:before="60" w:line="240" w:lineRule="auto"/>
    </w:pPr>
    <w:rPr>
      <w:rFonts w:eastAsia="Times New Roman"/>
      <w:szCs w:val="16"/>
    </w:rPr>
  </w:style>
  <w:style w:type="character" w:customStyle="1" w:styleId="TextkomenteChar">
    <w:name w:val="Text komentáře Char"/>
    <w:basedOn w:val="Standardnpsmoodstavce"/>
    <w:link w:val="Textkomente"/>
    <w:uiPriority w:val="99"/>
    <w:rsid w:val="00D0342E"/>
    <w:rPr>
      <w:rFonts w:ascii="Arial" w:eastAsia="Times New Roman" w:hAnsi="Arial" w:cs="Arial"/>
      <w:sz w:val="20"/>
      <w:szCs w:val="16"/>
      <w:lang w:eastAsia="cs-CZ"/>
    </w:rPr>
  </w:style>
  <w:style w:type="character" w:styleId="Odkaznakoment">
    <w:name w:val="annotation reference"/>
    <w:basedOn w:val="Standardnpsmoodstavce"/>
    <w:uiPriority w:val="99"/>
    <w:semiHidden/>
    <w:rsid w:val="00D0342E"/>
    <w:rPr>
      <w:sz w:val="16"/>
      <w:szCs w:val="16"/>
    </w:rPr>
  </w:style>
  <w:style w:type="paragraph" w:styleId="Zpat">
    <w:name w:val="footer"/>
    <w:basedOn w:val="Normln"/>
    <w:link w:val="ZpatChar"/>
    <w:uiPriority w:val="99"/>
    <w:unhideWhenUsed/>
    <w:rsid w:val="00D0342E"/>
    <w:pPr>
      <w:tabs>
        <w:tab w:val="center" w:pos="4536"/>
        <w:tab w:val="right" w:pos="9072"/>
      </w:tabs>
      <w:spacing w:after="0" w:line="240" w:lineRule="auto"/>
    </w:pPr>
  </w:style>
  <w:style w:type="character" w:customStyle="1" w:styleId="ZpatChar">
    <w:name w:val="Zápatí Char"/>
    <w:basedOn w:val="Standardnpsmoodstavce"/>
    <w:link w:val="Zpat"/>
    <w:uiPriority w:val="99"/>
    <w:rsid w:val="00D0342E"/>
    <w:rPr>
      <w:rFonts w:ascii="Arial" w:hAnsi="Arial" w:cs="Arial"/>
      <w:sz w:val="20"/>
      <w:lang w:eastAsia="cs-CZ"/>
    </w:rPr>
  </w:style>
  <w:style w:type="paragraph" w:styleId="Odstavecseseznamem">
    <w:name w:val="List Paragraph"/>
    <w:aliases w:val="Nad,Odstavec cíl se seznamem,Odstavec se seznamem5,Odstavec_muj,_Odstavec se seznamem,Seznam - odrážky,Conclusion de partie,List Paragraph,Odstavec se seznamem2,List Paragraph (Czech Tourism),Odrážky,Odstavec se seznamem1,Odstavec1"/>
    <w:basedOn w:val="Normln"/>
    <w:link w:val="OdstavecseseznamemChar"/>
    <w:uiPriority w:val="34"/>
    <w:qFormat/>
    <w:rsid w:val="00D0342E"/>
    <w:pPr>
      <w:spacing w:after="0" w:line="240" w:lineRule="auto"/>
      <w:ind w:left="720"/>
    </w:pPr>
    <w:rPr>
      <w:rFonts w:ascii="Calibri" w:hAnsi="Calibri" w:cs="Times New Roman"/>
    </w:rPr>
  </w:style>
  <w:style w:type="character" w:customStyle="1" w:styleId="OdstavecseseznamemChar">
    <w:name w:val="Odstavec se seznamem Char"/>
    <w:aliases w:val="Nad Char,Odstavec cíl se seznamem Char,Odstavec se seznamem5 Char,Odstavec_muj Char,_Odstavec se seznamem Char,Seznam - odrážky Char,Conclusion de partie Char,List Paragraph Char,Odstavec se seznamem2 Char,Odrážky Char"/>
    <w:link w:val="Odstavecseseznamem"/>
    <w:uiPriority w:val="34"/>
    <w:qFormat/>
    <w:locked/>
    <w:rsid w:val="00D0342E"/>
    <w:rPr>
      <w:rFonts w:ascii="Calibri" w:hAnsi="Calibri" w:cs="Times New Roman"/>
      <w:sz w:val="20"/>
      <w:lang w:eastAsia="cs-CZ"/>
    </w:rPr>
  </w:style>
  <w:style w:type="paragraph" w:styleId="Textbubliny">
    <w:name w:val="Balloon Text"/>
    <w:basedOn w:val="Normln"/>
    <w:link w:val="TextbublinyChar"/>
    <w:uiPriority w:val="99"/>
    <w:semiHidden/>
    <w:unhideWhenUsed/>
    <w:rsid w:val="00D034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342E"/>
    <w:rPr>
      <w:rFonts w:ascii="Segoe UI" w:hAnsi="Segoe UI" w:cs="Segoe UI"/>
      <w:sz w:val="18"/>
      <w:szCs w:val="18"/>
      <w:lang w:eastAsia="cs-CZ"/>
    </w:rPr>
  </w:style>
  <w:style w:type="paragraph" w:customStyle="1" w:styleId="bul1">
    <w:name w:val="bul1"/>
    <w:basedOn w:val="Normln"/>
    <w:qFormat/>
    <w:rsid w:val="00690511"/>
    <w:pPr>
      <w:numPr>
        <w:ilvl w:val="1"/>
        <w:numId w:val="7"/>
      </w:numPr>
      <w:spacing w:after="0" w:line="240" w:lineRule="auto"/>
      <w:jc w:val="left"/>
    </w:pPr>
    <w:rPr>
      <w:rFonts w:eastAsia="Times New Roman" w:cs="Times New Roman"/>
      <w:sz w:val="22"/>
      <w:szCs w:val="20"/>
      <w:lang w:eastAsia="x-none"/>
    </w:rPr>
  </w:style>
  <w:style w:type="paragraph" w:styleId="Pedmtkomente">
    <w:name w:val="annotation subject"/>
    <w:basedOn w:val="Textkomente"/>
    <w:next w:val="Textkomente"/>
    <w:link w:val="PedmtkomenteChar"/>
    <w:uiPriority w:val="99"/>
    <w:semiHidden/>
    <w:unhideWhenUsed/>
    <w:rsid w:val="0086620A"/>
    <w:pPr>
      <w:spacing w:before="0"/>
    </w:pPr>
    <w:rPr>
      <w:rFonts w:eastAsiaTheme="minorHAnsi"/>
      <w:b/>
      <w:bCs/>
      <w:szCs w:val="20"/>
    </w:rPr>
  </w:style>
  <w:style w:type="character" w:customStyle="1" w:styleId="PedmtkomenteChar">
    <w:name w:val="Předmět komentáře Char"/>
    <w:basedOn w:val="TextkomenteChar"/>
    <w:link w:val="Pedmtkomente"/>
    <w:uiPriority w:val="99"/>
    <w:semiHidden/>
    <w:rsid w:val="0086620A"/>
    <w:rPr>
      <w:rFonts w:ascii="Arial" w:eastAsia="Times New Roman" w:hAnsi="Arial" w:cs="Arial"/>
      <w:b/>
      <w:bCs/>
      <w:sz w:val="20"/>
      <w:szCs w:val="20"/>
      <w:lang w:eastAsia="cs-CZ"/>
    </w:rPr>
  </w:style>
  <w:style w:type="paragraph" w:customStyle="1" w:styleId="Titulnstrana">
    <w:name w:val="Titulní strana"/>
    <w:basedOn w:val="Normln"/>
    <w:link w:val="TitulnstranaChar"/>
    <w:qFormat/>
    <w:rsid w:val="003C5DF4"/>
    <w:pPr>
      <w:jc w:val="center"/>
    </w:pPr>
    <w:rPr>
      <w:b/>
      <w:sz w:val="28"/>
    </w:rPr>
  </w:style>
  <w:style w:type="character" w:customStyle="1" w:styleId="TitulnstranaChar">
    <w:name w:val="Titulní strana Char"/>
    <w:basedOn w:val="Standardnpsmoodstavce"/>
    <w:link w:val="Titulnstrana"/>
    <w:rsid w:val="003C5DF4"/>
    <w:rPr>
      <w:rFonts w:ascii="Arial" w:hAnsi="Arial" w:cs="Arial"/>
      <w:b/>
      <w:sz w:val="28"/>
      <w:lang w:eastAsia="cs-CZ"/>
    </w:rPr>
  </w:style>
  <w:style w:type="paragraph" w:customStyle="1" w:styleId="Nadpis411">
    <w:name w:val="Nadpis 4 (1.1)"/>
    <w:basedOn w:val="Nadpis4"/>
    <w:link w:val="Nadpis411Char"/>
    <w:autoRedefine/>
    <w:qFormat/>
    <w:rsid w:val="00CE5A0A"/>
    <w:pPr>
      <w:keepLines w:val="0"/>
      <w:spacing w:before="0" w:after="120" w:line="276" w:lineRule="auto"/>
    </w:pPr>
    <w:rPr>
      <w:rFonts w:ascii="Arial" w:eastAsiaTheme="minorHAnsi" w:hAnsi="Arial" w:cs="Arial"/>
      <w:iCs w:val="0"/>
      <w:color w:val="auto"/>
      <w:sz w:val="18"/>
      <w:szCs w:val="18"/>
      <w:lang w:eastAsia="x-none"/>
    </w:rPr>
  </w:style>
  <w:style w:type="character" w:customStyle="1" w:styleId="Nadpis411Char">
    <w:name w:val="Nadpis 4 (1.1) Char"/>
    <w:basedOn w:val="Standardnpsmoodstavce"/>
    <w:link w:val="Nadpis411"/>
    <w:rsid w:val="00CE5A0A"/>
    <w:rPr>
      <w:rFonts w:ascii="Arial" w:hAnsi="Arial" w:cs="Arial"/>
      <w:i/>
      <w:sz w:val="18"/>
      <w:szCs w:val="18"/>
      <w:lang w:eastAsia="x-none"/>
    </w:rPr>
  </w:style>
  <w:style w:type="character" w:customStyle="1" w:styleId="Nadpis4Char">
    <w:name w:val="Nadpis 4 Char"/>
    <w:basedOn w:val="Standardnpsmoodstavce"/>
    <w:link w:val="Nadpis4"/>
    <w:uiPriority w:val="9"/>
    <w:semiHidden/>
    <w:rsid w:val="00425FB0"/>
    <w:rPr>
      <w:rFonts w:asciiTheme="majorHAnsi" w:eastAsiaTheme="majorEastAsia" w:hAnsiTheme="majorHAnsi" w:cstheme="majorBidi"/>
      <w:i/>
      <w:iCs/>
      <w:color w:val="2E74B5" w:themeColor="accent1" w:themeShade="BF"/>
      <w:sz w:val="20"/>
      <w:lang w:eastAsia="cs-CZ"/>
    </w:rPr>
  </w:style>
  <w:style w:type="paragraph" w:styleId="Textvysvtlivek">
    <w:name w:val="endnote text"/>
    <w:basedOn w:val="Normln"/>
    <w:link w:val="TextvysvtlivekChar"/>
    <w:uiPriority w:val="99"/>
    <w:semiHidden/>
    <w:unhideWhenUsed/>
    <w:rsid w:val="00286F4A"/>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286F4A"/>
    <w:rPr>
      <w:rFonts w:ascii="Arial" w:hAnsi="Arial" w:cs="Arial"/>
      <w:sz w:val="20"/>
      <w:szCs w:val="20"/>
      <w:lang w:eastAsia="cs-CZ"/>
    </w:rPr>
  </w:style>
  <w:style w:type="character" w:styleId="Odkaznavysvtlivky">
    <w:name w:val="endnote reference"/>
    <w:basedOn w:val="Standardnpsmoodstavce"/>
    <w:uiPriority w:val="99"/>
    <w:semiHidden/>
    <w:unhideWhenUsed/>
    <w:rsid w:val="00286F4A"/>
    <w:rPr>
      <w:vertAlign w:val="superscript"/>
    </w:rPr>
  </w:style>
  <w:style w:type="paragraph" w:styleId="Zhlav">
    <w:name w:val="header"/>
    <w:basedOn w:val="Normln"/>
    <w:link w:val="ZhlavChar"/>
    <w:uiPriority w:val="99"/>
    <w:unhideWhenUsed/>
    <w:rsid w:val="00705E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5E14"/>
    <w:rPr>
      <w:rFonts w:ascii="Arial" w:hAnsi="Arial" w:cs="Arial"/>
      <w:sz w:val="20"/>
      <w:lang w:eastAsia="cs-CZ"/>
    </w:rPr>
  </w:style>
  <w:style w:type="paragraph" w:styleId="Revize">
    <w:name w:val="Revision"/>
    <w:hidden/>
    <w:uiPriority w:val="99"/>
    <w:semiHidden/>
    <w:rsid w:val="00342D60"/>
    <w:pPr>
      <w:spacing w:after="0" w:line="240" w:lineRule="auto"/>
    </w:pPr>
    <w:rPr>
      <w:rFonts w:ascii="Arial" w:hAnsi="Arial" w:cs="Arial"/>
      <w:sz w:val="20"/>
      <w:lang w:eastAsia="cs-CZ"/>
    </w:rPr>
  </w:style>
  <w:style w:type="paragraph" w:customStyle="1" w:styleId="typedudocumentcp1">
    <w:name w:val="typedudocument_cp1"/>
    <w:basedOn w:val="Normln"/>
    <w:rsid w:val="00304C19"/>
    <w:pPr>
      <w:spacing w:after="0" w:line="240" w:lineRule="auto"/>
      <w:jc w:val="center"/>
    </w:pPr>
    <w:rPr>
      <w:rFonts w:ascii="Times New Roman" w:eastAsia="Times New Roman" w:hAnsi="Times New Roman" w:cs="Times New Roman"/>
      <w:b/>
      <w:bCs/>
      <w:sz w:val="24"/>
      <w:szCs w:val="24"/>
    </w:rPr>
  </w:style>
  <w:style w:type="paragraph" w:customStyle="1" w:styleId="titreobjetcp1">
    <w:name w:val="titreobjet_cp1"/>
    <w:basedOn w:val="Normln"/>
    <w:rsid w:val="00304C19"/>
    <w:pPr>
      <w:spacing w:after="0" w:line="240" w:lineRule="auto"/>
      <w:jc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42E"/>
    <w:pPr>
      <w:spacing w:after="120" w:line="264" w:lineRule="auto"/>
      <w:jc w:val="both"/>
    </w:pPr>
    <w:rPr>
      <w:rFonts w:ascii="Arial" w:hAnsi="Arial" w:cs="Arial"/>
      <w:sz w:val="20"/>
      <w:lang w:eastAsia="cs-CZ"/>
    </w:rPr>
  </w:style>
  <w:style w:type="paragraph" w:styleId="Nadpis1">
    <w:name w:val="heading 1"/>
    <w:basedOn w:val="Normln"/>
    <w:next w:val="Normln"/>
    <w:link w:val="Nadpis1Char"/>
    <w:uiPriority w:val="9"/>
    <w:qFormat/>
    <w:rsid w:val="00D0342E"/>
    <w:pPr>
      <w:keepNext/>
      <w:keepLines/>
      <w:numPr>
        <w:numId w:val="1"/>
      </w:numPr>
      <w:pBdr>
        <w:bottom w:val="single" w:sz="4" w:space="1" w:color="000099"/>
      </w:pBdr>
      <w:spacing w:before="360" w:after="240"/>
      <w:outlineLvl w:val="0"/>
    </w:pPr>
    <w:rPr>
      <w:rFonts w:eastAsia="Calibri"/>
      <w:b/>
      <w:bCs/>
      <w:color w:val="000099"/>
      <w:sz w:val="36"/>
      <w:szCs w:val="28"/>
    </w:rPr>
  </w:style>
  <w:style w:type="paragraph" w:styleId="Nadpis2">
    <w:name w:val="heading 2"/>
    <w:basedOn w:val="Nadpis1"/>
    <w:next w:val="Normln"/>
    <w:link w:val="Nadpis2Char"/>
    <w:uiPriority w:val="9"/>
    <w:unhideWhenUsed/>
    <w:qFormat/>
    <w:rsid w:val="00D0342E"/>
    <w:pPr>
      <w:numPr>
        <w:ilvl w:val="1"/>
      </w:numPr>
      <w:pBdr>
        <w:bottom w:val="none" w:sz="0" w:space="0" w:color="auto"/>
      </w:pBdr>
      <w:tabs>
        <w:tab w:val="left" w:pos="709"/>
      </w:tabs>
      <w:spacing w:before="240" w:after="120"/>
      <w:outlineLvl w:val="1"/>
    </w:pPr>
    <w:rPr>
      <w:sz w:val="32"/>
    </w:rPr>
  </w:style>
  <w:style w:type="paragraph" w:styleId="Nadpis3">
    <w:name w:val="heading 3"/>
    <w:basedOn w:val="Normln"/>
    <w:next w:val="Normln"/>
    <w:link w:val="Nadpis3Char"/>
    <w:uiPriority w:val="9"/>
    <w:unhideWhenUsed/>
    <w:qFormat/>
    <w:rsid w:val="00D0342E"/>
    <w:pPr>
      <w:numPr>
        <w:ilvl w:val="2"/>
        <w:numId w:val="1"/>
      </w:numPr>
      <w:spacing w:before="240" w:line="276" w:lineRule="auto"/>
      <w:outlineLvl w:val="2"/>
    </w:pPr>
    <w:rPr>
      <w:b/>
      <w:color w:val="000099"/>
      <w:sz w:val="24"/>
    </w:rPr>
  </w:style>
  <w:style w:type="paragraph" w:styleId="Nadpis4">
    <w:name w:val="heading 4"/>
    <w:basedOn w:val="Normln"/>
    <w:next w:val="Normln"/>
    <w:link w:val="Nadpis4Char"/>
    <w:uiPriority w:val="9"/>
    <w:semiHidden/>
    <w:unhideWhenUsed/>
    <w:qFormat/>
    <w:rsid w:val="00425F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42E"/>
    <w:rPr>
      <w:rFonts w:ascii="Arial" w:eastAsia="Calibri" w:hAnsi="Arial" w:cs="Arial"/>
      <w:b/>
      <w:bCs/>
      <w:color w:val="000099"/>
      <w:sz w:val="36"/>
      <w:szCs w:val="28"/>
      <w:lang w:eastAsia="cs-CZ"/>
    </w:rPr>
  </w:style>
  <w:style w:type="character" w:customStyle="1" w:styleId="Nadpis2Char">
    <w:name w:val="Nadpis 2 Char"/>
    <w:basedOn w:val="Standardnpsmoodstavce"/>
    <w:link w:val="Nadpis2"/>
    <w:uiPriority w:val="9"/>
    <w:rsid w:val="00D0342E"/>
    <w:rPr>
      <w:rFonts w:ascii="Arial" w:eastAsia="Calibri" w:hAnsi="Arial" w:cs="Arial"/>
      <w:b/>
      <w:bCs/>
      <w:color w:val="000099"/>
      <w:sz w:val="32"/>
      <w:szCs w:val="28"/>
      <w:lang w:eastAsia="cs-CZ"/>
    </w:rPr>
  </w:style>
  <w:style w:type="character" w:customStyle="1" w:styleId="Nadpis3Char">
    <w:name w:val="Nadpis 3 Char"/>
    <w:basedOn w:val="Standardnpsmoodstavce"/>
    <w:link w:val="Nadpis3"/>
    <w:uiPriority w:val="9"/>
    <w:rsid w:val="00D0342E"/>
    <w:rPr>
      <w:rFonts w:ascii="Arial" w:hAnsi="Arial" w:cs="Arial"/>
      <w:b/>
      <w:color w:val="000099"/>
      <w:sz w:val="24"/>
      <w:lang w:eastAsia="cs-CZ"/>
    </w:rPr>
  </w:style>
  <w:style w:type="paragraph" w:styleId="Textpoznpodarou">
    <w:name w:val="footnote text"/>
    <w:aliases w:val="Schriftart: 9 pt,Schriftart: 10 pt,Schriftart: 8 pt,Text poznámky pod čiarou 007,Footnote,Fußnotentextf,Geneva 9,Font: Geneva 9,Boston 10,f,pozn. pod čarou,Char1,Char12,Char,Text pozn. pod čarou1,Char Char Char1,Char Char1,o"/>
    <w:basedOn w:val="Normln"/>
    <w:link w:val="TextpoznpodarouChar"/>
    <w:uiPriority w:val="99"/>
    <w:unhideWhenUsed/>
    <w:rsid w:val="00D0342E"/>
    <w:pPr>
      <w:spacing w:after="0" w:line="240" w:lineRule="auto"/>
      <w:ind w:left="284" w:hanging="284"/>
    </w:pPr>
    <w:rPr>
      <w:sz w:val="16"/>
      <w:szCs w:val="20"/>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1 Char"/>
    <w:basedOn w:val="Standardnpsmoodstavce"/>
    <w:link w:val="Textpoznpodarou"/>
    <w:uiPriority w:val="99"/>
    <w:rsid w:val="00D0342E"/>
    <w:rPr>
      <w:rFonts w:ascii="Arial" w:hAnsi="Arial" w:cs="Arial"/>
      <w:sz w:val="16"/>
      <w:szCs w:val="20"/>
      <w:lang w:eastAsia="cs-CZ"/>
    </w:rPr>
  </w:style>
  <w:style w:type="paragraph" w:customStyle="1" w:styleId="TabulkaNOK-zdroj">
    <w:name w:val="Tabulka NOK - zdroj"/>
    <w:basedOn w:val="Textkomente"/>
    <w:link w:val="TabulkaNOK-zdrojChar"/>
    <w:rsid w:val="00D0342E"/>
    <w:rPr>
      <w:sz w:val="16"/>
    </w:rPr>
  </w:style>
  <w:style w:type="character" w:customStyle="1" w:styleId="TabulkaNOK-zdrojChar">
    <w:name w:val="Tabulka NOK - zdroj Char"/>
    <w:basedOn w:val="Standardnpsmoodstavce"/>
    <w:link w:val="TabulkaNOK-zdroj"/>
    <w:rsid w:val="00D0342E"/>
    <w:rPr>
      <w:rFonts w:ascii="Arial" w:eastAsia="Times New Roman" w:hAnsi="Arial" w:cs="Arial"/>
      <w:sz w:val="16"/>
      <w:szCs w:val="16"/>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basedOn w:val="Standardnpsmoodstavce"/>
    <w:uiPriority w:val="99"/>
    <w:rsid w:val="00D0342E"/>
    <w:rPr>
      <w:rFonts w:ascii="Calibri" w:hAnsi="Calibri" w:cs="Calibri"/>
      <w:color w:val="auto"/>
      <w:sz w:val="20"/>
      <w:szCs w:val="20"/>
      <w:u w:val="none"/>
      <w:vertAlign w:val="superscript"/>
      <w:lang w:val="cs-CZ" w:eastAsia="en-US"/>
    </w:rPr>
  </w:style>
  <w:style w:type="table" w:styleId="Mkatabulky">
    <w:name w:val="Table Grid"/>
    <w:basedOn w:val="Normlntabulka"/>
    <w:uiPriority w:val="39"/>
    <w:rsid w:val="00D0342E"/>
    <w:pPr>
      <w:spacing w:after="0" w:line="240" w:lineRule="auto"/>
    </w:pPr>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0342E"/>
    <w:pPr>
      <w:spacing w:before="60" w:line="240" w:lineRule="auto"/>
    </w:pPr>
    <w:rPr>
      <w:rFonts w:eastAsia="Times New Roman"/>
      <w:szCs w:val="16"/>
    </w:rPr>
  </w:style>
  <w:style w:type="character" w:customStyle="1" w:styleId="TextkomenteChar">
    <w:name w:val="Text komentáře Char"/>
    <w:basedOn w:val="Standardnpsmoodstavce"/>
    <w:link w:val="Textkomente"/>
    <w:uiPriority w:val="99"/>
    <w:rsid w:val="00D0342E"/>
    <w:rPr>
      <w:rFonts w:ascii="Arial" w:eastAsia="Times New Roman" w:hAnsi="Arial" w:cs="Arial"/>
      <w:sz w:val="20"/>
      <w:szCs w:val="16"/>
      <w:lang w:eastAsia="cs-CZ"/>
    </w:rPr>
  </w:style>
  <w:style w:type="character" w:styleId="Odkaznakoment">
    <w:name w:val="annotation reference"/>
    <w:basedOn w:val="Standardnpsmoodstavce"/>
    <w:uiPriority w:val="99"/>
    <w:semiHidden/>
    <w:rsid w:val="00D0342E"/>
    <w:rPr>
      <w:sz w:val="16"/>
      <w:szCs w:val="16"/>
    </w:rPr>
  </w:style>
  <w:style w:type="paragraph" w:styleId="Zpat">
    <w:name w:val="footer"/>
    <w:basedOn w:val="Normln"/>
    <w:link w:val="ZpatChar"/>
    <w:uiPriority w:val="99"/>
    <w:unhideWhenUsed/>
    <w:rsid w:val="00D0342E"/>
    <w:pPr>
      <w:tabs>
        <w:tab w:val="center" w:pos="4536"/>
        <w:tab w:val="right" w:pos="9072"/>
      </w:tabs>
      <w:spacing w:after="0" w:line="240" w:lineRule="auto"/>
    </w:pPr>
  </w:style>
  <w:style w:type="character" w:customStyle="1" w:styleId="ZpatChar">
    <w:name w:val="Zápatí Char"/>
    <w:basedOn w:val="Standardnpsmoodstavce"/>
    <w:link w:val="Zpat"/>
    <w:uiPriority w:val="99"/>
    <w:rsid w:val="00D0342E"/>
    <w:rPr>
      <w:rFonts w:ascii="Arial" w:hAnsi="Arial" w:cs="Arial"/>
      <w:sz w:val="20"/>
      <w:lang w:eastAsia="cs-CZ"/>
    </w:rPr>
  </w:style>
  <w:style w:type="paragraph" w:styleId="Odstavecseseznamem">
    <w:name w:val="List Paragraph"/>
    <w:aliases w:val="Nad,Odstavec cíl se seznamem,Odstavec se seznamem5,Odstavec_muj,_Odstavec se seznamem,Seznam - odrážky,Conclusion de partie,List Paragraph,Odstavec se seznamem2,List Paragraph (Czech Tourism),Odrážky,Odstavec se seznamem1,Odstavec1"/>
    <w:basedOn w:val="Normln"/>
    <w:link w:val="OdstavecseseznamemChar"/>
    <w:uiPriority w:val="34"/>
    <w:qFormat/>
    <w:rsid w:val="00D0342E"/>
    <w:pPr>
      <w:spacing w:after="0" w:line="240" w:lineRule="auto"/>
      <w:ind w:left="720"/>
    </w:pPr>
    <w:rPr>
      <w:rFonts w:ascii="Calibri" w:hAnsi="Calibri" w:cs="Times New Roman"/>
    </w:rPr>
  </w:style>
  <w:style w:type="character" w:customStyle="1" w:styleId="OdstavecseseznamemChar">
    <w:name w:val="Odstavec se seznamem Char"/>
    <w:aliases w:val="Nad Char,Odstavec cíl se seznamem Char,Odstavec se seznamem5 Char,Odstavec_muj Char,_Odstavec se seznamem Char,Seznam - odrážky Char,Conclusion de partie Char,List Paragraph Char,Odstavec se seznamem2 Char,Odrážky Char"/>
    <w:link w:val="Odstavecseseznamem"/>
    <w:uiPriority w:val="34"/>
    <w:qFormat/>
    <w:locked/>
    <w:rsid w:val="00D0342E"/>
    <w:rPr>
      <w:rFonts w:ascii="Calibri" w:hAnsi="Calibri" w:cs="Times New Roman"/>
      <w:sz w:val="20"/>
      <w:lang w:eastAsia="cs-CZ"/>
    </w:rPr>
  </w:style>
  <w:style w:type="paragraph" w:styleId="Textbubliny">
    <w:name w:val="Balloon Text"/>
    <w:basedOn w:val="Normln"/>
    <w:link w:val="TextbublinyChar"/>
    <w:uiPriority w:val="99"/>
    <w:semiHidden/>
    <w:unhideWhenUsed/>
    <w:rsid w:val="00D034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342E"/>
    <w:rPr>
      <w:rFonts w:ascii="Segoe UI" w:hAnsi="Segoe UI" w:cs="Segoe UI"/>
      <w:sz w:val="18"/>
      <w:szCs w:val="18"/>
      <w:lang w:eastAsia="cs-CZ"/>
    </w:rPr>
  </w:style>
  <w:style w:type="paragraph" w:customStyle="1" w:styleId="bul1">
    <w:name w:val="bul1"/>
    <w:basedOn w:val="Normln"/>
    <w:qFormat/>
    <w:rsid w:val="00690511"/>
    <w:pPr>
      <w:numPr>
        <w:ilvl w:val="1"/>
        <w:numId w:val="7"/>
      </w:numPr>
      <w:spacing w:after="0" w:line="240" w:lineRule="auto"/>
      <w:jc w:val="left"/>
    </w:pPr>
    <w:rPr>
      <w:rFonts w:eastAsia="Times New Roman" w:cs="Times New Roman"/>
      <w:sz w:val="22"/>
      <w:szCs w:val="20"/>
      <w:lang w:eastAsia="x-none"/>
    </w:rPr>
  </w:style>
  <w:style w:type="paragraph" w:styleId="Pedmtkomente">
    <w:name w:val="annotation subject"/>
    <w:basedOn w:val="Textkomente"/>
    <w:next w:val="Textkomente"/>
    <w:link w:val="PedmtkomenteChar"/>
    <w:uiPriority w:val="99"/>
    <w:semiHidden/>
    <w:unhideWhenUsed/>
    <w:rsid w:val="0086620A"/>
    <w:pPr>
      <w:spacing w:before="0"/>
    </w:pPr>
    <w:rPr>
      <w:rFonts w:eastAsiaTheme="minorHAnsi"/>
      <w:b/>
      <w:bCs/>
      <w:szCs w:val="20"/>
    </w:rPr>
  </w:style>
  <w:style w:type="character" w:customStyle="1" w:styleId="PedmtkomenteChar">
    <w:name w:val="Předmět komentáře Char"/>
    <w:basedOn w:val="TextkomenteChar"/>
    <w:link w:val="Pedmtkomente"/>
    <w:uiPriority w:val="99"/>
    <w:semiHidden/>
    <w:rsid w:val="0086620A"/>
    <w:rPr>
      <w:rFonts w:ascii="Arial" w:eastAsia="Times New Roman" w:hAnsi="Arial" w:cs="Arial"/>
      <w:b/>
      <w:bCs/>
      <w:sz w:val="20"/>
      <w:szCs w:val="20"/>
      <w:lang w:eastAsia="cs-CZ"/>
    </w:rPr>
  </w:style>
  <w:style w:type="paragraph" w:customStyle="1" w:styleId="Titulnstrana">
    <w:name w:val="Titulní strana"/>
    <w:basedOn w:val="Normln"/>
    <w:link w:val="TitulnstranaChar"/>
    <w:qFormat/>
    <w:rsid w:val="003C5DF4"/>
    <w:pPr>
      <w:jc w:val="center"/>
    </w:pPr>
    <w:rPr>
      <w:b/>
      <w:sz w:val="28"/>
    </w:rPr>
  </w:style>
  <w:style w:type="character" w:customStyle="1" w:styleId="TitulnstranaChar">
    <w:name w:val="Titulní strana Char"/>
    <w:basedOn w:val="Standardnpsmoodstavce"/>
    <w:link w:val="Titulnstrana"/>
    <w:rsid w:val="003C5DF4"/>
    <w:rPr>
      <w:rFonts w:ascii="Arial" w:hAnsi="Arial" w:cs="Arial"/>
      <w:b/>
      <w:sz w:val="28"/>
      <w:lang w:eastAsia="cs-CZ"/>
    </w:rPr>
  </w:style>
  <w:style w:type="paragraph" w:customStyle="1" w:styleId="Nadpis411">
    <w:name w:val="Nadpis 4 (1.1)"/>
    <w:basedOn w:val="Nadpis4"/>
    <w:link w:val="Nadpis411Char"/>
    <w:autoRedefine/>
    <w:qFormat/>
    <w:rsid w:val="00CE5A0A"/>
    <w:pPr>
      <w:keepLines w:val="0"/>
      <w:spacing w:before="0" w:after="120" w:line="276" w:lineRule="auto"/>
    </w:pPr>
    <w:rPr>
      <w:rFonts w:ascii="Arial" w:eastAsiaTheme="minorHAnsi" w:hAnsi="Arial" w:cs="Arial"/>
      <w:iCs w:val="0"/>
      <w:color w:val="auto"/>
      <w:sz w:val="18"/>
      <w:szCs w:val="18"/>
      <w:lang w:eastAsia="x-none"/>
    </w:rPr>
  </w:style>
  <w:style w:type="character" w:customStyle="1" w:styleId="Nadpis411Char">
    <w:name w:val="Nadpis 4 (1.1) Char"/>
    <w:basedOn w:val="Standardnpsmoodstavce"/>
    <w:link w:val="Nadpis411"/>
    <w:rsid w:val="00CE5A0A"/>
    <w:rPr>
      <w:rFonts w:ascii="Arial" w:hAnsi="Arial" w:cs="Arial"/>
      <w:i/>
      <w:sz w:val="18"/>
      <w:szCs w:val="18"/>
      <w:lang w:eastAsia="x-none"/>
    </w:rPr>
  </w:style>
  <w:style w:type="character" w:customStyle="1" w:styleId="Nadpis4Char">
    <w:name w:val="Nadpis 4 Char"/>
    <w:basedOn w:val="Standardnpsmoodstavce"/>
    <w:link w:val="Nadpis4"/>
    <w:uiPriority w:val="9"/>
    <w:semiHidden/>
    <w:rsid w:val="00425FB0"/>
    <w:rPr>
      <w:rFonts w:asciiTheme="majorHAnsi" w:eastAsiaTheme="majorEastAsia" w:hAnsiTheme="majorHAnsi" w:cstheme="majorBidi"/>
      <w:i/>
      <w:iCs/>
      <w:color w:val="2E74B5" w:themeColor="accent1" w:themeShade="BF"/>
      <w:sz w:val="20"/>
      <w:lang w:eastAsia="cs-CZ"/>
    </w:rPr>
  </w:style>
  <w:style w:type="paragraph" w:styleId="Textvysvtlivek">
    <w:name w:val="endnote text"/>
    <w:basedOn w:val="Normln"/>
    <w:link w:val="TextvysvtlivekChar"/>
    <w:uiPriority w:val="99"/>
    <w:semiHidden/>
    <w:unhideWhenUsed/>
    <w:rsid w:val="00286F4A"/>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286F4A"/>
    <w:rPr>
      <w:rFonts w:ascii="Arial" w:hAnsi="Arial" w:cs="Arial"/>
      <w:sz w:val="20"/>
      <w:szCs w:val="20"/>
      <w:lang w:eastAsia="cs-CZ"/>
    </w:rPr>
  </w:style>
  <w:style w:type="character" w:styleId="Odkaznavysvtlivky">
    <w:name w:val="endnote reference"/>
    <w:basedOn w:val="Standardnpsmoodstavce"/>
    <w:uiPriority w:val="99"/>
    <w:semiHidden/>
    <w:unhideWhenUsed/>
    <w:rsid w:val="00286F4A"/>
    <w:rPr>
      <w:vertAlign w:val="superscript"/>
    </w:rPr>
  </w:style>
  <w:style w:type="paragraph" w:styleId="Zhlav">
    <w:name w:val="header"/>
    <w:basedOn w:val="Normln"/>
    <w:link w:val="ZhlavChar"/>
    <w:uiPriority w:val="99"/>
    <w:unhideWhenUsed/>
    <w:rsid w:val="00705E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5E14"/>
    <w:rPr>
      <w:rFonts w:ascii="Arial" w:hAnsi="Arial" w:cs="Arial"/>
      <w:sz w:val="20"/>
      <w:lang w:eastAsia="cs-CZ"/>
    </w:rPr>
  </w:style>
  <w:style w:type="paragraph" w:styleId="Revize">
    <w:name w:val="Revision"/>
    <w:hidden/>
    <w:uiPriority w:val="99"/>
    <w:semiHidden/>
    <w:rsid w:val="00342D60"/>
    <w:pPr>
      <w:spacing w:after="0" w:line="240" w:lineRule="auto"/>
    </w:pPr>
    <w:rPr>
      <w:rFonts w:ascii="Arial" w:hAnsi="Arial" w:cs="Arial"/>
      <w:sz w:val="20"/>
      <w:lang w:eastAsia="cs-CZ"/>
    </w:rPr>
  </w:style>
  <w:style w:type="paragraph" w:customStyle="1" w:styleId="typedudocumentcp1">
    <w:name w:val="typedudocument_cp1"/>
    <w:basedOn w:val="Normln"/>
    <w:rsid w:val="00304C19"/>
    <w:pPr>
      <w:spacing w:after="0" w:line="240" w:lineRule="auto"/>
      <w:jc w:val="center"/>
    </w:pPr>
    <w:rPr>
      <w:rFonts w:ascii="Times New Roman" w:eastAsia="Times New Roman" w:hAnsi="Times New Roman" w:cs="Times New Roman"/>
      <w:b/>
      <w:bCs/>
      <w:sz w:val="24"/>
      <w:szCs w:val="24"/>
    </w:rPr>
  </w:style>
  <w:style w:type="paragraph" w:customStyle="1" w:styleId="titreobjetcp1">
    <w:name w:val="titreobjet_cp1"/>
    <w:basedOn w:val="Normln"/>
    <w:rsid w:val="00304C19"/>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7417">
      <w:bodyDiv w:val="1"/>
      <w:marLeft w:val="0"/>
      <w:marRight w:val="0"/>
      <w:marTop w:val="0"/>
      <w:marBottom w:val="0"/>
      <w:divBdr>
        <w:top w:val="none" w:sz="0" w:space="0" w:color="auto"/>
        <w:left w:val="none" w:sz="0" w:space="0" w:color="auto"/>
        <w:bottom w:val="none" w:sz="0" w:space="0" w:color="auto"/>
        <w:right w:val="none" w:sz="0" w:space="0" w:color="auto"/>
      </w:divBdr>
      <w:divsChild>
        <w:div w:id="416950000">
          <w:marLeft w:val="806"/>
          <w:marRight w:val="0"/>
          <w:marTop w:val="200"/>
          <w:marBottom w:val="200"/>
          <w:divBdr>
            <w:top w:val="none" w:sz="0" w:space="0" w:color="auto"/>
            <w:left w:val="none" w:sz="0" w:space="0" w:color="auto"/>
            <w:bottom w:val="none" w:sz="0" w:space="0" w:color="auto"/>
            <w:right w:val="none" w:sz="0" w:space="0" w:color="auto"/>
          </w:divBdr>
        </w:div>
        <w:div w:id="1200972157">
          <w:marLeft w:val="806"/>
          <w:marRight w:val="0"/>
          <w:marTop w:val="200"/>
          <w:marBottom w:val="200"/>
          <w:divBdr>
            <w:top w:val="none" w:sz="0" w:space="0" w:color="auto"/>
            <w:left w:val="none" w:sz="0" w:space="0" w:color="auto"/>
            <w:bottom w:val="none" w:sz="0" w:space="0" w:color="auto"/>
            <w:right w:val="none" w:sz="0" w:space="0" w:color="auto"/>
          </w:divBdr>
        </w:div>
        <w:div w:id="1460564296">
          <w:marLeft w:val="806"/>
          <w:marRight w:val="0"/>
          <w:marTop w:val="200"/>
          <w:marBottom w:val="200"/>
          <w:divBdr>
            <w:top w:val="none" w:sz="0" w:space="0" w:color="auto"/>
            <w:left w:val="none" w:sz="0" w:space="0" w:color="auto"/>
            <w:bottom w:val="none" w:sz="0" w:space="0" w:color="auto"/>
            <w:right w:val="none" w:sz="0" w:space="0" w:color="auto"/>
          </w:divBdr>
        </w:div>
      </w:divsChild>
    </w:div>
    <w:div w:id="117526682">
      <w:bodyDiv w:val="1"/>
      <w:marLeft w:val="0"/>
      <w:marRight w:val="0"/>
      <w:marTop w:val="0"/>
      <w:marBottom w:val="0"/>
      <w:divBdr>
        <w:top w:val="none" w:sz="0" w:space="0" w:color="auto"/>
        <w:left w:val="none" w:sz="0" w:space="0" w:color="auto"/>
        <w:bottom w:val="none" w:sz="0" w:space="0" w:color="auto"/>
        <w:right w:val="none" w:sz="0" w:space="0" w:color="auto"/>
      </w:divBdr>
    </w:div>
    <w:div w:id="228077038">
      <w:bodyDiv w:val="1"/>
      <w:marLeft w:val="0"/>
      <w:marRight w:val="0"/>
      <w:marTop w:val="0"/>
      <w:marBottom w:val="0"/>
      <w:divBdr>
        <w:top w:val="none" w:sz="0" w:space="0" w:color="auto"/>
        <w:left w:val="none" w:sz="0" w:space="0" w:color="auto"/>
        <w:bottom w:val="none" w:sz="0" w:space="0" w:color="auto"/>
        <w:right w:val="none" w:sz="0" w:space="0" w:color="auto"/>
      </w:divBdr>
      <w:divsChild>
        <w:div w:id="1659455850">
          <w:marLeft w:val="0"/>
          <w:marRight w:val="0"/>
          <w:marTop w:val="0"/>
          <w:marBottom w:val="0"/>
          <w:divBdr>
            <w:top w:val="none" w:sz="0" w:space="0" w:color="auto"/>
            <w:left w:val="none" w:sz="0" w:space="0" w:color="auto"/>
            <w:bottom w:val="none" w:sz="0" w:space="0" w:color="auto"/>
            <w:right w:val="none" w:sz="0" w:space="0" w:color="auto"/>
          </w:divBdr>
          <w:divsChild>
            <w:div w:id="1130630317">
              <w:marLeft w:val="0"/>
              <w:marRight w:val="0"/>
              <w:marTop w:val="0"/>
              <w:marBottom w:val="0"/>
              <w:divBdr>
                <w:top w:val="none" w:sz="0" w:space="0" w:color="auto"/>
                <w:left w:val="none" w:sz="0" w:space="0" w:color="auto"/>
                <w:bottom w:val="none" w:sz="0" w:space="0" w:color="auto"/>
                <w:right w:val="none" w:sz="0" w:space="0" w:color="auto"/>
              </w:divBdr>
              <w:divsChild>
                <w:div w:id="652492145">
                  <w:marLeft w:val="0"/>
                  <w:marRight w:val="0"/>
                  <w:marTop w:val="0"/>
                  <w:marBottom w:val="0"/>
                  <w:divBdr>
                    <w:top w:val="none" w:sz="0" w:space="0" w:color="auto"/>
                    <w:left w:val="none" w:sz="0" w:space="0" w:color="auto"/>
                    <w:bottom w:val="none" w:sz="0" w:space="0" w:color="auto"/>
                    <w:right w:val="none" w:sz="0" w:space="0" w:color="auto"/>
                  </w:divBdr>
                  <w:divsChild>
                    <w:div w:id="1830515297">
                      <w:marLeft w:val="-150"/>
                      <w:marRight w:val="-150"/>
                      <w:marTop w:val="0"/>
                      <w:marBottom w:val="0"/>
                      <w:divBdr>
                        <w:top w:val="none" w:sz="0" w:space="0" w:color="auto"/>
                        <w:left w:val="none" w:sz="0" w:space="0" w:color="auto"/>
                        <w:bottom w:val="none" w:sz="0" w:space="0" w:color="auto"/>
                        <w:right w:val="none" w:sz="0" w:space="0" w:color="auto"/>
                      </w:divBdr>
                      <w:divsChild>
                        <w:div w:id="1761216372">
                          <w:marLeft w:val="0"/>
                          <w:marRight w:val="0"/>
                          <w:marTop w:val="0"/>
                          <w:marBottom w:val="0"/>
                          <w:divBdr>
                            <w:top w:val="none" w:sz="0" w:space="0" w:color="auto"/>
                            <w:left w:val="none" w:sz="0" w:space="0" w:color="auto"/>
                            <w:bottom w:val="none" w:sz="0" w:space="0" w:color="auto"/>
                            <w:right w:val="none" w:sz="0" w:space="0" w:color="auto"/>
                          </w:divBdr>
                          <w:divsChild>
                            <w:div w:id="1849051661">
                              <w:marLeft w:val="0"/>
                              <w:marRight w:val="0"/>
                              <w:marTop w:val="0"/>
                              <w:marBottom w:val="0"/>
                              <w:divBdr>
                                <w:top w:val="none" w:sz="0" w:space="0" w:color="auto"/>
                                <w:left w:val="none" w:sz="0" w:space="0" w:color="auto"/>
                                <w:bottom w:val="none" w:sz="0" w:space="0" w:color="auto"/>
                                <w:right w:val="none" w:sz="0" w:space="0" w:color="auto"/>
                              </w:divBdr>
                              <w:divsChild>
                                <w:div w:id="2095470487">
                                  <w:marLeft w:val="0"/>
                                  <w:marRight w:val="0"/>
                                  <w:marTop w:val="0"/>
                                  <w:marBottom w:val="300"/>
                                  <w:divBdr>
                                    <w:top w:val="none" w:sz="0" w:space="0" w:color="auto"/>
                                    <w:left w:val="none" w:sz="0" w:space="0" w:color="auto"/>
                                    <w:bottom w:val="none" w:sz="0" w:space="0" w:color="auto"/>
                                    <w:right w:val="none" w:sz="0" w:space="0" w:color="auto"/>
                                  </w:divBdr>
                                  <w:divsChild>
                                    <w:div w:id="1465075180">
                                      <w:marLeft w:val="0"/>
                                      <w:marRight w:val="0"/>
                                      <w:marTop w:val="0"/>
                                      <w:marBottom w:val="0"/>
                                      <w:divBdr>
                                        <w:top w:val="none" w:sz="0" w:space="0" w:color="auto"/>
                                        <w:left w:val="none" w:sz="0" w:space="0" w:color="auto"/>
                                        <w:bottom w:val="none" w:sz="0" w:space="0" w:color="auto"/>
                                        <w:right w:val="none" w:sz="0" w:space="0" w:color="auto"/>
                                      </w:divBdr>
                                      <w:divsChild>
                                        <w:div w:id="2013216968">
                                          <w:marLeft w:val="0"/>
                                          <w:marRight w:val="0"/>
                                          <w:marTop w:val="0"/>
                                          <w:marBottom w:val="0"/>
                                          <w:divBdr>
                                            <w:top w:val="none" w:sz="0" w:space="0" w:color="auto"/>
                                            <w:left w:val="none" w:sz="0" w:space="0" w:color="auto"/>
                                            <w:bottom w:val="none" w:sz="0" w:space="0" w:color="auto"/>
                                            <w:right w:val="none" w:sz="0" w:space="0" w:color="auto"/>
                                          </w:divBdr>
                                          <w:divsChild>
                                            <w:div w:id="825124844">
                                              <w:marLeft w:val="0"/>
                                              <w:marRight w:val="0"/>
                                              <w:marTop w:val="0"/>
                                              <w:marBottom w:val="0"/>
                                              <w:divBdr>
                                                <w:top w:val="none" w:sz="0" w:space="0" w:color="auto"/>
                                                <w:left w:val="none" w:sz="0" w:space="0" w:color="auto"/>
                                                <w:bottom w:val="none" w:sz="0" w:space="0" w:color="auto"/>
                                                <w:right w:val="none" w:sz="0" w:space="0" w:color="auto"/>
                                              </w:divBdr>
                                              <w:divsChild>
                                                <w:div w:id="554778987">
                                                  <w:marLeft w:val="0"/>
                                                  <w:marRight w:val="0"/>
                                                  <w:marTop w:val="0"/>
                                                  <w:marBottom w:val="0"/>
                                                  <w:divBdr>
                                                    <w:top w:val="none" w:sz="0" w:space="0" w:color="auto"/>
                                                    <w:left w:val="none" w:sz="0" w:space="0" w:color="auto"/>
                                                    <w:bottom w:val="none" w:sz="0" w:space="0" w:color="auto"/>
                                                    <w:right w:val="none" w:sz="0" w:space="0" w:color="auto"/>
                                                  </w:divBdr>
                                                  <w:divsChild>
                                                    <w:div w:id="1174495313">
                                                      <w:marLeft w:val="0"/>
                                                      <w:marRight w:val="0"/>
                                                      <w:marTop w:val="0"/>
                                                      <w:marBottom w:val="0"/>
                                                      <w:divBdr>
                                                        <w:top w:val="none" w:sz="0" w:space="0" w:color="auto"/>
                                                        <w:left w:val="none" w:sz="0" w:space="0" w:color="auto"/>
                                                        <w:bottom w:val="none" w:sz="0" w:space="0" w:color="auto"/>
                                                        <w:right w:val="none" w:sz="0" w:space="0" w:color="auto"/>
                                                      </w:divBdr>
                                                      <w:divsChild>
                                                        <w:div w:id="172652117">
                                                          <w:marLeft w:val="0"/>
                                                          <w:marRight w:val="0"/>
                                                          <w:marTop w:val="0"/>
                                                          <w:marBottom w:val="0"/>
                                                          <w:divBdr>
                                                            <w:top w:val="none" w:sz="0" w:space="0" w:color="auto"/>
                                                            <w:left w:val="none" w:sz="0" w:space="0" w:color="auto"/>
                                                            <w:bottom w:val="none" w:sz="0" w:space="0" w:color="auto"/>
                                                            <w:right w:val="none" w:sz="0" w:space="0" w:color="auto"/>
                                                          </w:divBdr>
                                                          <w:divsChild>
                                                            <w:div w:id="1576432705">
                                                              <w:marLeft w:val="0"/>
                                                              <w:marRight w:val="0"/>
                                                              <w:marTop w:val="0"/>
                                                              <w:marBottom w:val="0"/>
                                                              <w:divBdr>
                                                                <w:top w:val="none" w:sz="0" w:space="0" w:color="auto"/>
                                                                <w:left w:val="none" w:sz="0" w:space="0" w:color="auto"/>
                                                                <w:bottom w:val="none" w:sz="0" w:space="0" w:color="auto"/>
                                                                <w:right w:val="none" w:sz="0" w:space="0" w:color="auto"/>
                                                              </w:divBdr>
                                                              <w:divsChild>
                                                                <w:div w:id="2020963712">
                                                                  <w:marLeft w:val="0"/>
                                                                  <w:marRight w:val="0"/>
                                                                  <w:marTop w:val="0"/>
                                                                  <w:marBottom w:val="0"/>
                                                                  <w:divBdr>
                                                                    <w:top w:val="none" w:sz="0" w:space="0" w:color="auto"/>
                                                                    <w:left w:val="none" w:sz="0" w:space="0" w:color="auto"/>
                                                                    <w:bottom w:val="none" w:sz="0" w:space="0" w:color="auto"/>
                                                                    <w:right w:val="none" w:sz="0" w:space="0" w:color="auto"/>
                                                                  </w:divBdr>
                                                                  <w:divsChild>
                                                                    <w:div w:id="1295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8476050">
      <w:bodyDiv w:val="1"/>
      <w:marLeft w:val="0"/>
      <w:marRight w:val="0"/>
      <w:marTop w:val="0"/>
      <w:marBottom w:val="0"/>
      <w:divBdr>
        <w:top w:val="none" w:sz="0" w:space="0" w:color="auto"/>
        <w:left w:val="none" w:sz="0" w:space="0" w:color="auto"/>
        <w:bottom w:val="none" w:sz="0" w:space="0" w:color="auto"/>
        <w:right w:val="none" w:sz="0" w:space="0" w:color="auto"/>
      </w:divBdr>
    </w:div>
    <w:div w:id="922761035">
      <w:bodyDiv w:val="1"/>
      <w:marLeft w:val="0"/>
      <w:marRight w:val="0"/>
      <w:marTop w:val="0"/>
      <w:marBottom w:val="0"/>
      <w:divBdr>
        <w:top w:val="none" w:sz="0" w:space="0" w:color="auto"/>
        <w:left w:val="none" w:sz="0" w:space="0" w:color="auto"/>
        <w:bottom w:val="none" w:sz="0" w:space="0" w:color="auto"/>
        <w:right w:val="none" w:sz="0" w:space="0" w:color="auto"/>
      </w:divBdr>
    </w:div>
    <w:div w:id="961154039">
      <w:bodyDiv w:val="1"/>
      <w:marLeft w:val="0"/>
      <w:marRight w:val="0"/>
      <w:marTop w:val="0"/>
      <w:marBottom w:val="0"/>
      <w:divBdr>
        <w:top w:val="none" w:sz="0" w:space="0" w:color="auto"/>
        <w:left w:val="none" w:sz="0" w:space="0" w:color="auto"/>
        <w:bottom w:val="none" w:sz="0" w:space="0" w:color="auto"/>
        <w:right w:val="none" w:sz="0" w:space="0" w:color="auto"/>
      </w:divBdr>
    </w:div>
    <w:div w:id="1119690326">
      <w:bodyDiv w:val="1"/>
      <w:marLeft w:val="0"/>
      <w:marRight w:val="0"/>
      <w:marTop w:val="0"/>
      <w:marBottom w:val="0"/>
      <w:divBdr>
        <w:top w:val="none" w:sz="0" w:space="0" w:color="auto"/>
        <w:left w:val="none" w:sz="0" w:space="0" w:color="auto"/>
        <w:bottom w:val="none" w:sz="0" w:space="0" w:color="auto"/>
        <w:right w:val="none" w:sz="0" w:space="0" w:color="auto"/>
      </w:divBdr>
    </w:div>
    <w:div w:id="1278872900">
      <w:bodyDiv w:val="1"/>
      <w:marLeft w:val="0"/>
      <w:marRight w:val="0"/>
      <w:marTop w:val="0"/>
      <w:marBottom w:val="0"/>
      <w:divBdr>
        <w:top w:val="none" w:sz="0" w:space="0" w:color="auto"/>
        <w:left w:val="none" w:sz="0" w:space="0" w:color="auto"/>
        <w:bottom w:val="none" w:sz="0" w:space="0" w:color="auto"/>
        <w:right w:val="none" w:sz="0" w:space="0" w:color="auto"/>
      </w:divBdr>
    </w:div>
    <w:div w:id="1595893958">
      <w:bodyDiv w:val="1"/>
      <w:marLeft w:val="0"/>
      <w:marRight w:val="0"/>
      <w:marTop w:val="0"/>
      <w:marBottom w:val="0"/>
      <w:divBdr>
        <w:top w:val="none" w:sz="0" w:space="0" w:color="auto"/>
        <w:left w:val="none" w:sz="0" w:space="0" w:color="auto"/>
        <w:bottom w:val="none" w:sz="0" w:space="0" w:color="auto"/>
        <w:right w:val="none" w:sz="0" w:space="0" w:color="auto"/>
      </w:divBdr>
      <w:divsChild>
        <w:div w:id="773213677">
          <w:marLeft w:val="806"/>
          <w:marRight w:val="0"/>
          <w:marTop w:val="200"/>
          <w:marBottom w:val="200"/>
          <w:divBdr>
            <w:top w:val="none" w:sz="0" w:space="0" w:color="auto"/>
            <w:left w:val="none" w:sz="0" w:space="0" w:color="auto"/>
            <w:bottom w:val="none" w:sz="0" w:space="0" w:color="auto"/>
            <w:right w:val="none" w:sz="0" w:space="0" w:color="auto"/>
          </w:divBdr>
        </w:div>
        <w:div w:id="245384791">
          <w:marLeft w:val="806"/>
          <w:marRight w:val="0"/>
          <w:marTop w:val="200"/>
          <w:marBottom w:val="200"/>
          <w:divBdr>
            <w:top w:val="none" w:sz="0" w:space="0" w:color="auto"/>
            <w:left w:val="none" w:sz="0" w:space="0" w:color="auto"/>
            <w:bottom w:val="none" w:sz="0" w:space="0" w:color="auto"/>
            <w:right w:val="none" w:sz="0" w:space="0" w:color="auto"/>
          </w:divBdr>
        </w:div>
        <w:div w:id="1378891622">
          <w:marLeft w:val="806"/>
          <w:marRight w:val="0"/>
          <w:marTop w:val="200"/>
          <w:marBottom w:val="200"/>
          <w:divBdr>
            <w:top w:val="none" w:sz="0" w:space="0" w:color="auto"/>
            <w:left w:val="none" w:sz="0" w:space="0" w:color="auto"/>
            <w:bottom w:val="none" w:sz="0" w:space="0" w:color="auto"/>
            <w:right w:val="none" w:sz="0" w:space="0" w:color="auto"/>
          </w:divBdr>
        </w:div>
      </w:divsChild>
    </w:div>
    <w:div w:id="1685281463">
      <w:bodyDiv w:val="1"/>
      <w:marLeft w:val="0"/>
      <w:marRight w:val="0"/>
      <w:marTop w:val="0"/>
      <w:marBottom w:val="0"/>
      <w:divBdr>
        <w:top w:val="none" w:sz="0" w:space="0" w:color="auto"/>
        <w:left w:val="none" w:sz="0" w:space="0" w:color="auto"/>
        <w:bottom w:val="none" w:sz="0" w:space="0" w:color="auto"/>
        <w:right w:val="none" w:sz="0" w:space="0" w:color="auto"/>
      </w:divBdr>
    </w:div>
    <w:div w:id="1803573796">
      <w:bodyDiv w:val="1"/>
      <w:marLeft w:val="0"/>
      <w:marRight w:val="0"/>
      <w:marTop w:val="0"/>
      <w:marBottom w:val="0"/>
      <w:divBdr>
        <w:top w:val="none" w:sz="0" w:space="0" w:color="auto"/>
        <w:left w:val="none" w:sz="0" w:space="0" w:color="auto"/>
        <w:bottom w:val="none" w:sz="0" w:space="0" w:color="auto"/>
        <w:right w:val="none" w:sz="0" w:space="0" w:color="auto"/>
      </w:divBdr>
      <w:divsChild>
        <w:div w:id="1795826288">
          <w:marLeft w:val="806"/>
          <w:marRight w:val="0"/>
          <w:marTop w:val="200"/>
          <w:marBottom w:val="200"/>
          <w:divBdr>
            <w:top w:val="none" w:sz="0" w:space="0" w:color="auto"/>
            <w:left w:val="none" w:sz="0" w:space="0" w:color="auto"/>
            <w:bottom w:val="none" w:sz="0" w:space="0" w:color="auto"/>
            <w:right w:val="none" w:sz="0" w:space="0" w:color="auto"/>
          </w:divBdr>
        </w:div>
        <w:div w:id="1397246769">
          <w:marLeft w:val="806"/>
          <w:marRight w:val="0"/>
          <w:marTop w:val="200"/>
          <w:marBottom w:val="200"/>
          <w:divBdr>
            <w:top w:val="none" w:sz="0" w:space="0" w:color="auto"/>
            <w:left w:val="none" w:sz="0" w:space="0" w:color="auto"/>
            <w:bottom w:val="none" w:sz="0" w:space="0" w:color="auto"/>
            <w:right w:val="none" w:sz="0" w:space="0" w:color="auto"/>
          </w:divBdr>
        </w:div>
        <w:div w:id="1161388769">
          <w:marLeft w:val="806"/>
          <w:marRight w:val="0"/>
          <w:marTop w:val="200"/>
          <w:marBottom w:val="200"/>
          <w:divBdr>
            <w:top w:val="none" w:sz="0" w:space="0" w:color="auto"/>
            <w:left w:val="none" w:sz="0" w:space="0" w:color="auto"/>
            <w:bottom w:val="none" w:sz="0" w:space="0" w:color="auto"/>
            <w:right w:val="none" w:sz="0" w:space="0" w:color="auto"/>
          </w:divBdr>
        </w:div>
        <w:div w:id="1828789091">
          <w:marLeft w:val="806"/>
          <w:marRight w:val="0"/>
          <w:marTop w:val="200"/>
          <w:marBottom w:val="200"/>
          <w:divBdr>
            <w:top w:val="none" w:sz="0" w:space="0" w:color="auto"/>
            <w:left w:val="none" w:sz="0" w:space="0" w:color="auto"/>
            <w:bottom w:val="none" w:sz="0" w:space="0" w:color="auto"/>
            <w:right w:val="none" w:sz="0" w:space="0" w:color="auto"/>
          </w:divBdr>
        </w:div>
        <w:div w:id="1466697096">
          <w:marLeft w:val="1987"/>
          <w:marRight w:val="0"/>
          <w:marTop w:val="82"/>
          <w:marBottom w:val="0"/>
          <w:divBdr>
            <w:top w:val="none" w:sz="0" w:space="0" w:color="auto"/>
            <w:left w:val="none" w:sz="0" w:space="0" w:color="auto"/>
            <w:bottom w:val="none" w:sz="0" w:space="0" w:color="auto"/>
            <w:right w:val="none" w:sz="0" w:space="0" w:color="auto"/>
          </w:divBdr>
        </w:div>
        <w:div w:id="2053578757">
          <w:marLeft w:val="1987"/>
          <w:marRight w:val="0"/>
          <w:marTop w:val="82"/>
          <w:marBottom w:val="0"/>
          <w:divBdr>
            <w:top w:val="none" w:sz="0" w:space="0" w:color="auto"/>
            <w:left w:val="none" w:sz="0" w:space="0" w:color="auto"/>
            <w:bottom w:val="none" w:sz="0" w:space="0" w:color="auto"/>
            <w:right w:val="none" w:sz="0" w:space="0" w:color="auto"/>
          </w:divBdr>
        </w:div>
      </w:divsChild>
    </w:div>
    <w:div w:id="21074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317f06e954224b87"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azev_zkracene xmlns="35554333-fb57-4d44-9303-137b28de0bf8">Realokace VRI 2019</Nazev_zkracene>
    <_dlc_DocId xmlns="a5dcb9bc-8d52-4d3e-a595-09c2d5420a48">MMR22-847115342-2408</_dlc_DocId>
    <_dlc_DocIdUrl xmlns="a5dcb9bc-8d52-4d3e-a595-09c2d5420a48">
      <Url>https://mmrcz.sharepoint.com/sites/22/_layouts/15/DocIdRedir.aspx?ID=MMR22-847115342-2408</Url>
      <Description>MMR22-847115342-2408</Description>
    </_dlc_DocIdUrl>
    <Reference xmlns="a5dcb9bc-8d52-4d3e-a595-09c2d5420a48">
      <Url xsi:nil="true"/>
      <Description xsi:nil="true"/>
    </Reference>
    <bf99feb62fc04af1bfc66fd70b94e872 xmlns="a5dcb9bc-8d52-4d3e-a595-09c2d5420a48">
      <Terms xmlns="http://schemas.microsoft.com/office/infopath/2007/PartnerControls"/>
    </bf99feb62fc04af1bfc66fd70b94e872>
    <Strategie xmlns="a5dcb9bc-8d52-4d3e-a595-09c2d5420a48" xsi:nil="true"/>
    <OnChange xmlns="35554333-fb57-4d44-9303-137b28de0bf8">
      <Url xsi:nil="true"/>
      <Description xsi:nil="true"/>
    </OnChange>
    <PartyRef xmlns="a5dcb9bc-8d52-4d3e-a595-09c2d5420a48" xsi:nil="true"/>
    <gf5387bdbc5341a5b5ea9b646f596e67 xmlns="a5dcb9bc-8d52-4d3e-a595-09c2d5420a48">
      <Terms xmlns="http://schemas.microsoft.com/office/infopath/2007/PartnerControls"/>
    </gf5387bdbc5341a5b5ea9b646f596e67>
    <IconOverlay xmlns="http://schemas.microsoft.com/sharepoint/v4" xsi:nil="true"/>
    <DocumentSetDescription xmlns="http://schemas.microsoft.com/sharepoint/v3" xsi:nil="true"/>
    <k4c75d6662e04772890c3ca629556e5e xmlns="a5dcb9bc-8d52-4d3e-a595-09c2d5420a48">
      <Terms xmlns="http://schemas.microsoft.com/office/infopath/2007/PartnerControls"/>
    </k4c75d6662e04772890c3ca629556e5e>
    <ZmenenoUvnitr xmlns="35554333-fb57-4d44-9303-137b28de0bf8" xsi:nil="true"/>
    <Rok xmlns="a5dcb9bc-8d52-4d3e-a595-09c2d5420a48">2019</Rok>
    <Predkladatel xmlns="a5dcb9bc-8d52-4d3e-a595-09c2d5420a48">
      <Value>1</Value>
    </Predkladatel>
    <MATERIAL_Mail_Conversation xmlns="35554333-fb57-4d44-9303-137b28de0bf8">
      <Url>https://mmrcz.sharepoint.com/sites/22/_layouts/15/wrkstat.aspx?List=35554333-fb57-4d44-9303-137b28de0bf8&amp;WorkflowInstanceName=9b606bb7-6d51-4782-b14d-7ae17b3fd909</Url>
      <Description>Stage 1</Description>
    </MATERIAL_Mail_Conversation>
    <Nadpis_sady xmlns="35554333-fb57-4d44-9303-137b28de0bf8" xsi:nil="true"/>
    <MATERIALY_zmen_x002d_na_x002d_Material xmlns="35554333-fb57-4d44-9303-137b28de0bf8">
      <Url xsi:nil="true"/>
      <Description xsi:nil="true"/>
    </MATERIALY_zmen_x002d_na_x002d_Material>
    <Zahajeno xmlns="35554333-fb57-4d44-9303-137b28de0bf8">2019-07-11T11:17:16+00:00</Zahajeno>
    <KatM xmlns="a5dcb9bc-8d52-4d3e-a595-09c2d5420a48">10</KatM>
    <Ukonceno xmlns="35554333-fb57-4d44-9303-137b28de0bf8" xsi:nil="true"/>
    <MATERIAL_zadej_x002d_UKOL xmlns="35554333-fb57-4d44-9303-137b28de0bf8">
      <Url xsi:nil="true"/>
      <Description xsi:nil="true"/>
    </MATERIAL_zadej_x002d_UKOL>
    <Ed xmlns="35554333-fb57-4d44-9303-137b28de0bf8" xsi:nil="true"/>
    <TaxCatchAll xmlns="a5dcb9bc-8d52-4d3e-a595-09c2d5420a48"/>
    <Vec xmlns="a5dcb9bc-8d52-4d3e-a595-09c2d5420a48">Návrh realokace ESIF v souvislosti s realizací projektů digitalizace stavebního řízení a územního plánování v České republice</Vec>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5830A1402B9C4DBA857678C1D9FE81" ma:contentTypeVersion="42" ma:contentTypeDescription="Vytvoří nový dokument" ma:contentTypeScope="" ma:versionID="21bdd3425841af8c46ca73ba37295154">
  <xsd:schema xmlns:xsd="http://www.w3.org/2001/XMLSchema" xmlns:xs="http://www.w3.org/2001/XMLSchema" xmlns:p="http://schemas.microsoft.com/office/2006/metadata/properties" xmlns:ns1="http://schemas.microsoft.com/sharepoint/v3" xmlns:ns2="35554333-fb57-4d44-9303-137b28de0bf8" xmlns:ns3="a5dcb9bc-8d52-4d3e-a595-09c2d5420a48" xmlns:ns4="http://schemas.microsoft.com/sharepoint/v4" targetNamespace="http://schemas.microsoft.com/office/2006/metadata/properties" ma:root="true" ma:fieldsID="28c72763107c6cb278e03683d2f3ba2f" ns1:_="" ns2:_="" ns3:_="" ns4:_="">
    <xsd:import namespace="http://schemas.microsoft.com/sharepoint/v3"/>
    <xsd:import namespace="35554333-fb57-4d44-9303-137b28de0bf8"/>
    <xsd:import namespace="a5dcb9bc-8d52-4d3e-a595-09c2d5420a4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trategie" minOccurs="0"/>
                <xsd:element ref="ns3:TaxCatchAll" minOccurs="0"/>
                <xsd:element ref="ns2:Zahajeno" minOccurs="0"/>
                <xsd:element ref="ns2:Ukonceno" minOccurs="0"/>
                <xsd:element ref="ns2:Nazev_zkracene" minOccurs="0"/>
                <xsd:element ref="ns2:OnChange" minOccurs="0"/>
                <xsd:element ref="ns3:k4c75d6662e04772890c3ca629556e5e" minOccurs="0"/>
                <xsd:element ref="ns3:bf99feb62fc04af1bfc66fd70b94e872" minOccurs="0"/>
                <xsd:element ref="ns3:gf5387bdbc5341a5b5ea9b646f596e67" minOccurs="0"/>
                <xsd:element ref="ns3:PartyRef" minOccurs="0"/>
                <xsd:element ref="ns3:KatM" minOccurs="0"/>
                <xsd:element ref="ns2:MATERIAL_Mail_Conversation" minOccurs="0"/>
                <xsd:element ref="ns2:MATERIAL_zadej_x002d_UKOL" minOccurs="0"/>
                <xsd:element ref="ns4:IconOverlay" minOccurs="0"/>
                <xsd:element ref="ns3:_dlc_DocId" minOccurs="0"/>
                <xsd:element ref="ns3:_dlc_DocIdUrl" minOccurs="0"/>
                <xsd:element ref="ns3:_dlc_DocIdPersistId" minOccurs="0"/>
                <xsd:element ref="ns2:Nadpis_sady" minOccurs="0"/>
                <xsd:element ref="ns3:SharedWithUsers" minOccurs="0"/>
                <xsd:element ref="ns3:SharedWithDetails" minOccurs="0"/>
                <xsd:element ref="ns3:Reference" minOccurs="0"/>
                <xsd:element ref="ns2:MATERIALY_zmen_x002d_na_x002d_Material" minOccurs="0"/>
                <xsd:element ref="ns2:Ed" minOccurs="0"/>
                <xsd:element ref="ns2:ZmenenoUvnitr" minOccurs="0"/>
                <xsd:element ref="ns1:DocumentSetDescription" minOccurs="0"/>
                <xsd:element ref="ns3:Predkladatel" minOccurs="0"/>
                <xsd:element ref="ns3:Rok" minOccurs="0"/>
                <xsd:element ref="ns3:Ve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Popis" ma:description="Popis sady dokumentů"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54333-fb57-4d44-9303-137b28de0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ahajeno" ma:index="12" nillable="true" ma:displayName="Zahajeno" ma:default="[today]" ma:description="Datum zahájení připomínkového řízení nebo datum vydání materiálu" ma:format="DateOnly" ma:internalName="Zahajeno">
      <xsd:simpleType>
        <xsd:restriction base="dms:DateTime"/>
      </xsd:simpleType>
    </xsd:element>
    <xsd:element name="Ukonceno" ma:index="13" nillable="true" ma:displayName="Ukonceno" ma:description="Vyplnit datum ukončení připomínkového řízení (dle eKlep apod)" ma:format="DateOnly" ma:internalName="Ukonceno">
      <xsd:simpleType>
        <xsd:restriction base="dms:DateTime"/>
      </xsd:simpleType>
    </xsd:element>
    <xsd:element name="Nazev_zkracene" ma:index="14" nillable="true" ma:displayName="Nazev_zkracene" ma:description="Výstižně obsah dokumentu. Max 30 znaků" ma:internalName="Nazev_zkracene">
      <xsd:simpleType>
        <xsd:restriction base="dms:Text">
          <xsd:maxLength value="35"/>
        </xsd:restriction>
      </xsd:simpleType>
    </xsd:element>
    <xsd:element name="OnChange" ma:index="15" nillable="true" ma:displayName="MATERIALY_upd" ma:internalName="OnChange">
      <xsd:complexType>
        <xsd:complexContent>
          <xsd:extension base="dms:URL">
            <xsd:sequence>
              <xsd:element name="Url" type="dms:ValidUrl" minOccurs="0" nillable="true"/>
              <xsd:element name="Description" type="xsd:string" nillable="true"/>
            </xsd:sequence>
          </xsd:extension>
        </xsd:complexContent>
      </xsd:complexType>
    </xsd:element>
    <xsd:element name="MATERIAL_Mail_Conversation" ma:index="24" nillable="true" ma:displayName="MATERIALY_Email-Conversation" ma:internalName="MATERIAL_Mail_Conversation">
      <xsd:complexType>
        <xsd:complexContent>
          <xsd:extension base="dms:URL">
            <xsd:sequence>
              <xsd:element name="Url" type="dms:ValidUrl" minOccurs="0" nillable="true"/>
              <xsd:element name="Description" type="xsd:string" nillable="true"/>
            </xsd:sequence>
          </xsd:extension>
        </xsd:complexContent>
      </xsd:complexType>
    </xsd:element>
    <xsd:element name="MATERIAL_zadej_x002d_UKOL" ma:index="25" nillable="true" ma:displayName="MATERIAL_zadej-UKOL" ma:internalName="MATERIAL_zadej_x002d_UKOL">
      <xsd:complexType>
        <xsd:complexContent>
          <xsd:extension base="dms:URL">
            <xsd:sequence>
              <xsd:element name="Url" type="dms:ValidUrl" minOccurs="0" nillable="true"/>
              <xsd:element name="Description" type="xsd:string" nillable="true"/>
            </xsd:sequence>
          </xsd:extension>
        </xsd:complexContent>
      </xsd:complexType>
    </xsd:element>
    <xsd:element name="Nadpis_sady" ma:index="31" nillable="true" ma:displayName="Nadpis_sady" ma:description="hodnotu převezme workflowem ze Sady dokumentů" ma:internalName="Nadpis_sady">
      <xsd:simpleType>
        <xsd:restriction base="dms:Text">
          <xsd:maxLength value="255"/>
        </xsd:restriction>
      </xsd:simpleType>
    </xsd:element>
    <xsd:element name="MATERIALY_zmen_x002d_na_x002d_Material" ma:index="35" nillable="true" ma:displayName="MATERIALY_zmen-Typ-obsahu" ma:internalName="MATERIALY_zmen_x002d_na_x002d_Material">
      <xsd:complexType>
        <xsd:complexContent>
          <xsd:extension base="dms:URL">
            <xsd:sequence>
              <xsd:element name="Url" type="dms:ValidUrl" minOccurs="0" nillable="true"/>
              <xsd:element name="Description" type="xsd:string" nillable="true"/>
            </xsd:sequence>
          </xsd:extension>
        </xsd:complexContent>
      </xsd:complexType>
    </xsd:element>
    <xsd:element name="Ed" ma:index="36" nillable="true" ma:displayName="Ed" ma:internalName="Ed">
      <xsd:simpleType>
        <xsd:restriction base="dms:Text">
          <xsd:maxLength value="1"/>
        </xsd:restriction>
      </xsd:simpleType>
    </xsd:element>
    <xsd:element name="ZmenenoUvnitr" ma:index="37" nillable="true" ma:displayName="ZmenenoUvnitr" ma:format="DateTime" ma:internalName="ZmenenoUvnit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dcb9bc-8d52-4d3e-a595-09c2d5420a48" elementFormDefault="qualified">
    <xsd:import namespace="http://schemas.microsoft.com/office/2006/documentManagement/types"/>
    <xsd:import namespace="http://schemas.microsoft.com/office/infopath/2007/PartnerControls"/>
    <xsd:element name="Strategie" ma:index="10" nillable="true" ma:displayName="Strategie" ma:list="{96b60b37-95b8-4894-8005-82b89b0d790a}" ma:internalName="Strategie" ma:showField="Zkr" ma:web="a5dcb9bc-8d52-4d3e-a595-09c2d5420a48">
      <xsd:simpleType>
        <xsd:restriction base="dms:Lookup"/>
      </xsd:simpleType>
    </xsd:element>
    <xsd:element name="TaxCatchAll" ma:index="11" nillable="true" ma:displayName="Taxonomy Catch All Column" ma:hidden="true" ma:list="{904505b2-f753-464f-8d1f-af5a75335438}" ma:internalName="TaxCatchAll" ma:showField="CatchAllData" ma:web="a5dcb9bc-8d52-4d3e-a595-09c2d5420a48">
      <xsd:complexType>
        <xsd:complexContent>
          <xsd:extension base="dms:MultiChoiceLookup">
            <xsd:sequence>
              <xsd:element name="Value" type="dms:Lookup" maxOccurs="unbounded" minOccurs="0" nillable="true"/>
            </xsd:sequence>
          </xsd:extension>
        </xsd:complexContent>
      </xsd:complexType>
    </xsd:element>
    <xsd:element name="k4c75d6662e04772890c3ca629556e5e" ma:index="17" nillable="true" ma:taxonomy="true" ma:internalName="k4c75d6662e04772890c3ca629556e5e" ma:taxonomyFieldName="Resort" ma:displayName="Resort" ma:default="" ma:fieldId="{44c75d66-62e0-4772-890c-3ca629556e5e}" ma:taxonomyMulti="true" ma:sspId="de97acfe-e349-49a2-9112-0b04129138de" ma:termSetId="c798fbed-c844-4608-a13a-bc9d64b3adbf" ma:anchorId="00000000-0000-0000-0000-000000000000" ma:open="false" ma:isKeyword="false">
      <xsd:complexType>
        <xsd:sequence>
          <xsd:element ref="pc:Terms" minOccurs="0" maxOccurs="1"/>
        </xsd:sequence>
      </xsd:complexType>
    </xsd:element>
    <xsd:element name="bf99feb62fc04af1bfc66fd70b94e872" ma:index="19" nillable="true" ma:taxonomy="true" ma:internalName="bf99feb62fc04af1bfc66fd70b94e872" ma:taxonomyFieldName="Agenda" ma:displayName="Agenda" ma:default="" ma:fieldId="{bf99feb6-2fc0-4af1-bfc6-6fd70b94e872}" ma:taxonomyMulti="true" ma:sspId="de97acfe-e349-49a2-9112-0b04129138de" ma:termSetId="de89336e-8b06-475e-a28d-0a49257d32d5" ma:anchorId="00000000-0000-0000-0000-000000000000" ma:open="true" ma:isKeyword="false">
      <xsd:complexType>
        <xsd:sequence>
          <xsd:element ref="pc:Terms" minOccurs="0" maxOccurs="1"/>
        </xsd:sequence>
      </xsd:complexType>
    </xsd:element>
    <xsd:element name="gf5387bdbc5341a5b5ea9b646f596e67" ma:index="21" nillable="true" ma:taxonomy="true" ma:internalName="gf5387bdbc5341a5b5ea9b646f596e67" ma:taxonomyFieldName="Akt" ma:displayName="Akt" ma:default="" ma:fieldId="{0f5387bd-bc53-41a5-b5ea-9b646f596e67}" ma:sspId="de97acfe-e349-49a2-9112-0b04129138de" ma:termSetId="f5eab2c0-1d93-446a-9d3e-8cb567d88251" ma:anchorId="00000000-0000-0000-0000-000000000000" ma:open="false" ma:isKeyword="false">
      <xsd:complexType>
        <xsd:sequence>
          <xsd:element ref="pc:Terms" minOccurs="0" maxOccurs="1"/>
        </xsd:sequence>
      </xsd:complexType>
    </xsd:element>
    <xsd:element name="PartyRef" ma:index="22" nillable="true" ma:displayName="PartyRef" ma:description="značka (číslo dokumentu), pod nímž jej eviduje protistrana" ma:internalName="PartyRef">
      <xsd:simpleType>
        <xsd:restriction base="dms:Text">
          <xsd:maxLength value="255"/>
        </xsd:restriction>
      </xsd:simpleType>
    </xsd:element>
    <xsd:element name="KatM" ma:index="23" nillable="true" ma:displayName="KatM" ma:description="Kategorie MATERIALU" ma:list="{c5bda73c-9aa3-42df-8fdd-31b5eb66d6d2}" ma:internalName="KatM" ma:showField="ubcs" ma:web="a5dcb9bc-8d52-4d3e-a595-09c2d5420a48">
      <xsd:simpleType>
        <xsd:restriction base="dms:Lookup"/>
      </xsd:simpleType>
    </xsd:element>
    <xsd:element name="_dlc_DocId" ma:index="28" nillable="true" ma:displayName="Hodnota ID dokumentu" ma:description="Hodnota ID dokumentu přiřazená této položce" ma:internalName="_dlc_DocId" ma:readOnly="true">
      <xsd:simpleType>
        <xsd:restriction base="dms:Text"/>
      </xsd:simpleType>
    </xsd:element>
    <xsd:element name="_dlc_DocIdUrl" ma:index="2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3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dílené s podrobnostmi" ma:internalName="SharedWithDetails" ma:readOnly="true">
      <xsd:simpleType>
        <xsd:restriction base="dms:Note">
          <xsd:maxLength value="255"/>
        </xsd:restriction>
      </xsd:simpleType>
    </xsd:element>
    <xsd:element name="Reference" ma:index="34" nillable="true" ma:displayName="Reference" ma:description="reference na autoritativní zdroj (ODOK, knihovna EK,...) jako popis dej ZDROJ:ID v tom zdroji.&#10;Zdroje: &#10;- Vláda … ODOK  &#10;- Rada … CONS&#10;- EP... OEIL&#10;- EK ... REGDOC" ma:format="Hyperlink" ma:internalName="Reference">
      <xsd:complexType>
        <xsd:complexContent>
          <xsd:extension base="dms:URL">
            <xsd:sequence>
              <xsd:element name="Url" type="dms:ValidUrl" minOccurs="0" nillable="true"/>
              <xsd:element name="Description" type="xsd:string" nillable="true"/>
            </xsd:sequence>
          </xsd:extension>
        </xsd:complexContent>
      </xsd:complexType>
    </xsd:element>
    <xsd:element name="Predkladatel" ma:index="39" nillable="true" ma:displayName="Predkladatel" ma:description="Předkladatel materiálu, může jich být i více" ma:list="{223d9d36-b309-4d6a-b6f2-3dee9e643320}" ma:internalName="Predkladatel" ma:showField="Zkr" ma:web="a5dcb9bc-8d52-4d3e-a595-09c2d5420a48">
      <xsd:complexType>
        <xsd:complexContent>
          <xsd:extension base="dms:MultiChoiceLookup">
            <xsd:sequence>
              <xsd:element name="Value" type="dms:Lookup" maxOccurs="unbounded" minOccurs="0" nillable="true"/>
            </xsd:sequence>
          </xsd:extension>
        </xsd:complexContent>
      </xsd:complexType>
    </xsd:element>
    <xsd:element name="Rok" ma:index="40" nillable="true" ma:displayName="Rok" ma:decimals="0" ma:description="roky 1900-2100&#10;MATERIAL má rok vydáni (při přípravě předpokládaný rok vydání)" ma:internalName="Rok0" ma:percentage="FALSE">
      <xsd:simpleType>
        <xsd:restriction base="dms:Number">
          <xsd:maxInclusive value="2100"/>
          <xsd:minInclusive value="1900"/>
        </xsd:restriction>
      </xsd:simpleType>
    </xsd:element>
    <xsd:element name="Vec" ma:index="41" ma:displayName="Vec" ma:internalName="Ve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B825-0F84-40C2-AB32-3B5067991A47}">
  <ds:schemaRefs>
    <ds:schemaRef ds:uri="http://schemas.microsoft.com/sharepoint/v3/contenttype/forms"/>
  </ds:schemaRefs>
</ds:datastoreItem>
</file>

<file path=customXml/itemProps2.xml><?xml version="1.0" encoding="utf-8"?>
<ds:datastoreItem xmlns:ds="http://schemas.openxmlformats.org/officeDocument/2006/customXml" ds:itemID="{757E9182-EAE8-476C-907E-47DB2E68D732}">
  <ds:schemaRefs>
    <ds:schemaRef ds:uri="http://schemas.microsoft.com/office/2006/metadata/properties"/>
    <ds:schemaRef ds:uri="http://schemas.microsoft.com/office/infopath/2007/PartnerControls"/>
    <ds:schemaRef ds:uri="35554333-fb57-4d44-9303-137b28de0bf8"/>
    <ds:schemaRef ds:uri="a5dcb9bc-8d52-4d3e-a595-09c2d5420a48"/>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BF1BC04F-49A4-4332-AC48-61050514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554333-fb57-4d44-9303-137b28de0bf8"/>
    <ds:schemaRef ds:uri="a5dcb9bc-8d52-4d3e-a595-09c2d5420a4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3A607-5C77-4D0C-AF51-81CFB08426B7}">
  <ds:schemaRefs>
    <ds:schemaRef ds:uri="http://schemas.microsoft.com/sharepoint/events"/>
  </ds:schemaRefs>
</ds:datastoreItem>
</file>

<file path=customXml/itemProps5.xml><?xml version="1.0" encoding="utf-8"?>
<ds:datastoreItem xmlns:ds="http://schemas.openxmlformats.org/officeDocument/2006/customXml" ds:itemID="{C5C33DC6-95C0-4485-924F-5AC752B8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5117</Words>
  <Characters>30195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MMR-NOK</dc:creator>
  <cp:lastModifiedBy>Aleš Pekárek</cp:lastModifiedBy>
  <cp:revision>2</cp:revision>
  <cp:lastPrinted>2019-07-09T10:12:00Z</cp:lastPrinted>
  <dcterms:created xsi:type="dcterms:W3CDTF">2019-10-22T09:14:00Z</dcterms:created>
  <dcterms:modified xsi:type="dcterms:W3CDTF">2019-10-22T09:14:00Z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0x010100235830A1402B9C4DBA857678C1D9FE81</vt:lpwstr>
  </property>
  <property fmtid="{D5CDD505-2E9C-101B-9397-08002B2CF9AE}" pid="3" name="_dlc_DocIdItemGuid">
    <vt:lpwstr>23a39fe2-4010-4ca3-9ef9-0d1e4d773fa2</vt:lpwstr>
  </property>
  <property fmtid="{D5CDD505-2E9C-101B-9397-08002B2CF9AE}" pid="4" name="Akt">
    <vt:lpwstr/>
  </property>
  <property fmtid="{D5CDD505-2E9C-101B-9397-08002B2CF9AE}" pid="5" name="Agenda">
    <vt:lpwstr/>
  </property>
  <property fmtid="{D5CDD505-2E9C-101B-9397-08002B2CF9AE}" pid="6" name="Resort">
    <vt:lpwstr/>
  </property>
</Properties>
</file>