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7CE14703"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1B0FCE">
        <w:rPr>
          <w:rFonts w:asciiTheme="majorHAnsi" w:hAnsiTheme="majorHAnsi" w:cs="MyriadPro-Black"/>
          <w:caps/>
          <w:color w:val="A6A6A6"/>
          <w:sz w:val="40"/>
          <w:szCs w:val="40"/>
        </w:rPr>
        <w:t>100</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668418C6"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26A91" w:rsidRPr="00026A91">
        <w:rPr>
          <w:rFonts w:asciiTheme="majorHAnsi" w:hAnsiTheme="majorHAnsi" w:cs="MyriadPro-Black"/>
          <w:caps/>
          <w:sz w:val="40"/>
          <w:szCs w:val="40"/>
        </w:rPr>
        <w:t>6</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46DCA39C"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612C21">
        <w:rPr>
          <w:rFonts w:asciiTheme="majorHAnsi" w:hAnsiTheme="majorHAnsi" w:cs="MyriadPro-Black"/>
          <w:caps/>
          <w:sz w:val="32"/>
          <w:szCs w:val="40"/>
        </w:rPr>
        <w:t xml:space="preserve">OD </w:t>
      </w:r>
      <w:r w:rsidR="00555784" w:rsidRPr="00612C21">
        <w:rPr>
          <w:rFonts w:asciiTheme="majorHAnsi" w:hAnsiTheme="majorHAnsi" w:cs="MyriadPro-Black"/>
          <w:caps/>
          <w:sz w:val="32"/>
          <w:szCs w:val="40"/>
        </w:rPr>
        <w:t>15</w:t>
      </w:r>
      <w:r w:rsidR="00985DE7" w:rsidRPr="00612C21">
        <w:rPr>
          <w:rFonts w:asciiTheme="majorHAnsi" w:hAnsiTheme="majorHAnsi" w:cs="MyriadPro-Black"/>
          <w:caps/>
          <w:sz w:val="32"/>
          <w:szCs w:val="40"/>
        </w:rPr>
        <w:t xml:space="preserve">. </w:t>
      </w:r>
      <w:r w:rsidR="00555784" w:rsidRPr="00612C21">
        <w:rPr>
          <w:rFonts w:asciiTheme="majorHAnsi" w:hAnsiTheme="majorHAnsi" w:cs="MyriadPro-Black"/>
          <w:caps/>
          <w:sz w:val="32"/>
          <w:szCs w:val="40"/>
        </w:rPr>
        <w:t>4</w:t>
      </w:r>
      <w:r w:rsidR="00A63DDD" w:rsidRPr="00612C21">
        <w:rPr>
          <w:rFonts w:asciiTheme="majorHAnsi" w:hAnsiTheme="majorHAnsi" w:cs="MyriadPro-Black"/>
          <w:caps/>
          <w:sz w:val="32"/>
          <w:szCs w:val="40"/>
        </w:rPr>
        <w:t>.</w:t>
      </w:r>
      <w:r w:rsidR="0044271A" w:rsidRPr="00612C21">
        <w:rPr>
          <w:rFonts w:asciiTheme="majorHAnsi" w:hAnsiTheme="majorHAnsi" w:cs="MyriadPro-Black"/>
          <w:caps/>
          <w:sz w:val="32"/>
          <w:szCs w:val="40"/>
        </w:rPr>
        <w:t xml:space="preserve"> 20</w:t>
      </w:r>
      <w:r w:rsidR="006C21FB" w:rsidRPr="00612C21">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4EAFD9C"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3DEEC669" w14:textId="77777777" w:rsidR="00066F64" w:rsidRPr="00C669A5" w:rsidRDefault="00066F64" w:rsidP="00066F64">
      <w:pPr>
        <w:widowControl w:val="0"/>
        <w:tabs>
          <w:tab w:val="left" w:pos="708"/>
        </w:tabs>
        <w:spacing w:after="120"/>
        <w:rPr>
          <w:rFonts w:asciiTheme="minorHAnsi" w:hAnsiTheme="minorHAnsi"/>
          <w:snapToGrid w:val="0"/>
        </w:rPr>
      </w:pPr>
    </w:p>
    <w:p w14:paraId="3656B9AB" w14:textId="77777777" w:rsidR="00410F20" w:rsidRPr="00C669A5" w:rsidRDefault="00410F20" w:rsidP="00066F64">
      <w:pPr>
        <w:widowControl w:val="0"/>
        <w:tabs>
          <w:tab w:val="left" w:pos="708"/>
        </w:tabs>
        <w:spacing w:after="120"/>
        <w:rPr>
          <w:rFonts w:asciiTheme="minorHAnsi" w:hAnsiTheme="minorHAnsi"/>
          <w:snapToGrid w:val="0"/>
        </w:rPr>
      </w:pP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w:t>
      </w:r>
      <w:proofErr w:type="gramStart"/>
      <w:r w:rsidRPr="00C669A5">
        <w:rPr>
          <w:rFonts w:asciiTheme="minorHAnsi" w:hAnsiTheme="minorHAnsi"/>
          <w:bCs/>
          <w:sz w:val="24"/>
          <w:szCs w:val="24"/>
        </w:rPr>
        <w:t>…….</w:t>
      </w:r>
      <w:proofErr w:type="gramEnd"/>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049F31CB" w14:textId="77777777" w:rsidR="00A02256" w:rsidRPr="00C669A5" w:rsidRDefault="00A02256" w:rsidP="00E6321E">
      <w:pPr>
        <w:pStyle w:val="Zkladntext3"/>
        <w:widowControl w:val="0"/>
        <w:ind w:left="360"/>
        <w:jc w:val="both"/>
        <w:rPr>
          <w:rFonts w:asciiTheme="minorHAnsi" w:hAnsiTheme="minorHAnsi"/>
        </w:rPr>
      </w:pPr>
    </w:p>
    <w:p w14:paraId="53128261" w14:textId="77777777" w:rsidR="00A02256" w:rsidRPr="00C669A5" w:rsidRDefault="00A02256"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DDBEF00"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E395691" w14:textId="77777777" w:rsidTr="00C669A5">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C669A5">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340"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C669A5">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340"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C669A5">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340"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C669A5">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340"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C669A5">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340"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w:t>
            </w:r>
            <w:r w:rsidR="00F271BA" w:rsidRPr="00C669A5">
              <w:rPr>
                <w:rFonts w:asciiTheme="minorHAnsi" w:hAnsiTheme="minorHAnsi" w:cstheme="minorHAnsi"/>
                <w:snapToGrid w:val="0"/>
                <w:sz w:val="22"/>
                <w:szCs w:val="22"/>
              </w:rPr>
              <w:lastRenderedPageBreak/>
              <w:t xml:space="preserve">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1AD13704">
        <w:trPr>
          <w:trHeight w:val="2542"/>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1AD13704">
        <w:trPr>
          <w:trHeight w:val="1550"/>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w:t>
            </w:r>
            <w:proofErr w:type="gramStart"/>
            <w:r w:rsidR="00D96A46" w:rsidRPr="00C669A5">
              <w:rPr>
                <w:rFonts w:asciiTheme="minorHAnsi" w:hAnsiTheme="minorHAnsi"/>
                <w:snapToGrid w:val="0"/>
                <w:sz w:val="22"/>
                <w:szCs w:val="22"/>
              </w:rPr>
              <w:t>let</w:t>
            </w:r>
            <w:proofErr w:type="gramEnd"/>
            <w:r w:rsidR="00D96A46" w:rsidRPr="00C669A5">
              <w:rPr>
                <w:rFonts w:asciiTheme="minorHAnsi" w:hAnsiTheme="minorHAnsi"/>
                <w:snapToGrid w:val="0"/>
                <w:sz w:val="22"/>
                <w:szCs w:val="22"/>
              </w:rPr>
              <w:t xml:space="preserve">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0D360754"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Pr="253D0146">
              <w:rPr>
                <w:rFonts w:asciiTheme="minorHAnsi" w:hAnsiTheme="minorHAnsi"/>
                <w:snapToGrid w:val="0"/>
                <w:sz w:val="22"/>
                <w:szCs w:val="22"/>
              </w:rPr>
              <w:t>, maximálně však o 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lastRenderedPageBreak/>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156D2A16"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Pr="4BD29531">
              <w:rPr>
                <w:rFonts w:asciiTheme="minorHAnsi" w:hAnsiTheme="minorHAnsi"/>
                <w:snapToGrid w:val="0"/>
                <w:sz w:val="22"/>
                <w:szCs w:val="22"/>
              </w:rPr>
              <w:t>o 10 000,- 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0CEBBD9E"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prokázat, že indikátory </w:t>
            </w:r>
            <w:r w:rsidR="11CB2BAF" w:rsidRPr="253D0146">
              <w:rPr>
                <w:rFonts w:asciiTheme="minorHAnsi" w:hAnsiTheme="minorHAnsi"/>
                <w:snapToGrid w:val="0"/>
                <w:sz w:val="22"/>
                <w:szCs w:val="22"/>
              </w:rPr>
              <w:t xml:space="preserve">I. - III. </w:t>
            </w:r>
            <w:r w:rsidRPr="253D0146">
              <w:rPr>
                <w:rFonts w:asciiTheme="minorHAnsi" w:hAnsiTheme="minorHAnsi"/>
                <w:snapToGrid w:val="0"/>
                <w:sz w:val="22"/>
                <w:szCs w:val="22"/>
              </w:rPr>
              <w:t>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r w:rsidR="0F55B322" w:rsidRPr="253D0146">
              <w:rPr>
                <w:rFonts w:asciiTheme="minorHAnsi" w:hAnsiTheme="minorHAnsi"/>
                <w:snapToGrid w:val="0"/>
                <w:sz w:val="22"/>
                <w:szCs w:val="22"/>
              </w:rPr>
              <w:t xml:space="preserve"> Naplnění indikátorů IV.  je příjemce povinen vykázat nejpozději při podání první zprávy o udržitelnosti</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DDDF48E" w14:textId="017049F5" w:rsidR="4A097A7C" w:rsidRPr="00026A91" w:rsidRDefault="4ECC107C" w:rsidP="34955BD5">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179CF9BB" w:rsidRPr="2920B9B6">
              <w:rPr>
                <w:rFonts w:asciiTheme="minorHAnsi" w:hAnsiTheme="minorHAnsi"/>
                <w:b/>
                <w:bCs/>
                <w:snapToGrid w:val="0"/>
                <w:sz w:val="22"/>
                <w:szCs w:val="22"/>
              </w:rPr>
              <w:t>9</w:t>
            </w:r>
            <w:r w:rsidRPr="2920B9B6">
              <w:rPr>
                <w:rFonts w:asciiTheme="minorHAnsi" w:hAnsiTheme="minorHAnsi"/>
                <w:b/>
                <w:bCs/>
                <w:snapToGrid w:val="0"/>
                <w:sz w:val="22"/>
                <w:szCs w:val="22"/>
              </w:rPr>
              <w:t xml:space="preserve">308 (CV8) </w:t>
            </w:r>
            <w:r w:rsidRPr="34955BD5">
              <w:rPr>
                <w:rFonts w:asciiTheme="minorHAnsi" w:hAnsiTheme="minorHAnsi"/>
                <w:snapToGrid w:val="0"/>
                <w:sz w:val="22"/>
                <w:szCs w:val="22"/>
              </w:rPr>
              <w:t>- Nově vytvořená lůžka pro pacienty s COVID</w:t>
            </w:r>
            <w:r w:rsidR="73F2CE1E" w:rsidRPr="2920B9B6">
              <w:rPr>
                <w:rFonts w:asciiTheme="minorHAnsi" w:hAnsiTheme="minorHAnsi"/>
                <w:sz w:val="22"/>
                <w:szCs w:val="22"/>
              </w:rPr>
              <w:t>-</w:t>
            </w:r>
            <w:r w:rsidRPr="34955BD5">
              <w:rPr>
                <w:rFonts w:asciiTheme="minorHAnsi" w:hAnsiTheme="minorHAnsi"/>
                <w:snapToGrid w:val="0"/>
                <w:sz w:val="22"/>
                <w:szCs w:val="22"/>
              </w:rPr>
              <w:t>19,</w:t>
            </w:r>
          </w:p>
          <w:p w14:paraId="461FCD8E" w14:textId="0725123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496B085C" w14:textId="43A1104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5CFB1C8D"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019FA1CE" w14:textId="114B3C48"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snapToGrid w:val="0"/>
                <w:sz w:val="22"/>
                <w:szCs w:val="22"/>
              </w:rPr>
              <w:t>prostředků z IROP (REACT</w:t>
            </w:r>
            <w:r w:rsidR="0615E2EB" w:rsidRPr="2920B9B6">
              <w:rPr>
                <w:rFonts w:asciiTheme="minorHAnsi" w:hAnsiTheme="minorHAnsi"/>
                <w:snapToGrid w:val="0"/>
                <w:sz w:val="22"/>
                <w:szCs w:val="22"/>
              </w:rPr>
              <w:t xml:space="preserve"> EU</w:t>
            </w:r>
            <w:r w:rsidRPr="2920B9B6">
              <w:rPr>
                <w:rFonts w:asciiTheme="minorHAnsi" w:hAnsiTheme="minorHAnsi"/>
                <w:snapToGrid w:val="0"/>
                <w:sz w:val="22"/>
                <w:szCs w:val="22"/>
              </w:rPr>
              <w:t xml:space="preserve">) na celkovém počtu </w:t>
            </w:r>
            <w:r w:rsidRPr="2920B9B6">
              <w:rPr>
                <w:rFonts w:asciiTheme="minorHAnsi" w:hAnsiTheme="minorHAnsi"/>
                <w:snapToGrid w:val="0"/>
                <w:sz w:val="22"/>
                <w:szCs w:val="22"/>
              </w:rPr>
              <w:lastRenderedPageBreak/>
              <w:t>hospitalizací daného pracoviště.</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0A0B9C8B" w:rsidR="004F2303" w:rsidRPr="002D57AB" w:rsidRDefault="004F2303" w:rsidP="253D0146">
            <w:pPr>
              <w:widowControl w:val="0"/>
              <w:spacing w:after="120"/>
              <w:jc w:val="both"/>
              <w:rPr>
                <w:rFonts w:asciiTheme="minorHAnsi" w:hAnsiTheme="minorHAnsi"/>
                <w:snapToGrid w:val="0"/>
                <w:sz w:val="22"/>
                <w:szCs w:val="22"/>
              </w:rPr>
            </w:pPr>
            <w:proofErr w:type="gramStart"/>
            <w:r w:rsidRPr="253D0146">
              <w:rPr>
                <w:rFonts w:asciiTheme="minorHAnsi" w:hAnsiTheme="minorHAnsi"/>
                <w:snapToGrid w:val="0"/>
                <w:sz w:val="22"/>
                <w:szCs w:val="22"/>
              </w:rPr>
              <w:t>Nenaplnění</w:t>
            </w:r>
            <w:proofErr w:type="gramEnd"/>
            <w:r w:rsidRPr="253D0146">
              <w:rPr>
                <w:rFonts w:asciiTheme="minorHAnsi" w:hAnsiTheme="minorHAnsi"/>
                <w:snapToGrid w:val="0"/>
                <w:sz w:val="22"/>
                <w:szCs w:val="22"/>
              </w:rPr>
              <w:t xml:space="preserve"> resp. překročení cílové hodnoty indikátor</w:t>
            </w:r>
            <w:r w:rsidR="695F980E"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686ED543"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686ED543"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F3A884" w14:textId="11A32D52" w:rsidR="2722B93C" w:rsidRPr="00026A91" w:rsidRDefault="0F6734A8" w:rsidP="34955BD5">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673AEBDA" w:rsidRPr="2920B9B6">
              <w:rPr>
                <w:rFonts w:asciiTheme="minorHAnsi" w:hAnsiTheme="minorHAnsi"/>
                <w:b/>
                <w:bCs/>
                <w:snapToGrid w:val="0"/>
                <w:sz w:val="22"/>
                <w:szCs w:val="22"/>
              </w:rPr>
              <w:t>9</w:t>
            </w:r>
            <w:r w:rsidRPr="2920B9B6">
              <w:rPr>
                <w:rFonts w:asciiTheme="minorHAnsi" w:hAnsiTheme="minorHAnsi"/>
                <w:b/>
                <w:bCs/>
                <w:snapToGrid w:val="0"/>
                <w:sz w:val="22"/>
                <w:szCs w:val="22"/>
              </w:rPr>
              <w:t>308 (CV8)</w:t>
            </w:r>
            <w:r w:rsidRPr="34955BD5">
              <w:rPr>
                <w:rFonts w:asciiTheme="minorHAnsi" w:hAnsiTheme="minorHAnsi"/>
                <w:snapToGrid w:val="0"/>
                <w:sz w:val="22"/>
                <w:szCs w:val="22"/>
              </w:rPr>
              <w:t xml:space="preserve"> - Nově vytvořená lůžka pro pacienty s COVID</w:t>
            </w:r>
            <w:r w:rsidR="76AC4AEF" w:rsidRPr="2920B9B6">
              <w:rPr>
                <w:rFonts w:asciiTheme="minorHAnsi" w:hAnsiTheme="minorHAnsi"/>
                <w:sz w:val="22"/>
                <w:szCs w:val="22"/>
              </w:rPr>
              <w:t>-</w:t>
            </w:r>
            <w:r w:rsidRPr="34955BD5">
              <w:rPr>
                <w:rFonts w:asciiTheme="minorHAnsi" w:hAnsiTheme="minorHAnsi"/>
                <w:snapToGrid w:val="0"/>
                <w:sz w:val="22"/>
                <w:szCs w:val="22"/>
              </w:rPr>
              <w:t>19,</w:t>
            </w:r>
          </w:p>
          <w:p w14:paraId="1BF7388D" w14:textId="0126962B"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3A121CB7" w14:textId="4EBEB74F"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79AEB03B"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90DFD9A"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646B26" w:rsidR="004F2303" w:rsidRPr="00C669A5" w:rsidRDefault="004F2303" w:rsidP="253D0146">
            <w:pPr>
              <w:pStyle w:val="Default"/>
              <w:spacing w:after="120"/>
              <w:jc w:val="both"/>
              <w:rPr>
                <w:rFonts w:asciiTheme="minorHAnsi" w:hAnsiTheme="minorHAnsi"/>
                <w:sz w:val="22"/>
                <w:szCs w:val="22"/>
              </w:rPr>
            </w:pPr>
            <w:r w:rsidRPr="253D0146">
              <w:rPr>
                <w:rFonts w:asciiTheme="minorHAnsi" w:hAnsiTheme="minorHAnsi"/>
                <w:snapToGrid w:val="0"/>
                <w:sz w:val="22"/>
                <w:szCs w:val="22"/>
              </w:rPr>
              <w:t>Neudržení cílové hodnoty indikátor</w:t>
            </w:r>
            <w:r w:rsidR="619A3BE2"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05EC5DF9"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05EC5DF9"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w:t>
            </w:r>
            <w:proofErr w:type="gramStart"/>
            <w:r w:rsidRPr="00C669A5">
              <w:rPr>
                <w:rFonts w:asciiTheme="minorHAnsi" w:hAnsiTheme="minorHAnsi" w:cstheme="minorHAnsi"/>
                <w:sz w:val="22"/>
                <w:szCs w:val="22"/>
                <w:lang w:eastAsia="ar-SA"/>
              </w:rPr>
              <w:t>získaný</w:t>
            </w:r>
            <w:proofErr w:type="gramEnd"/>
            <w:r w:rsidRPr="00C669A5">
              <w:rPr>
                <w:rFonts w:asciiTheme="minorHAnsi" w:hAnsiTheme="minorHAnsi" w:cstheme="minorHAnsi"/>
                <w:sz w:val="22"/>
                <w:szCs w:val="22"/>
                <w:lang w:eastAsia="ar-SA"/>
              </w:rPr>
              <w:t xml:space="preserve"> byť i 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77777777" w:rsidR="00DE695E" w:rsidRPr="00C669A5" w:rsidRDefault="00313269"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w:t>
            </w:r>
            <w:proofErr w:type="gramStart"/>
            <w:r w:rsidRPr="00C669A5">
              <w:rPr>
                <w:rFonts w:asciiTheme="minorHAnsi" w:hAnsiTheme="minorHAnsi" w:cstheme="minorHAnsi"/>
                <w:sz w:val="22"/>
                <w:szCs w:val="22"/>
                <w:lang w:eastAsia="ar-SA"/>
              </w:rPr>
              <w:t>získaný</w:t>
            </w:r>
            <w:proofErr w:type="gramEnd"/>
            <w:r w:rsidRPr="00C669A5">
              <w:rPr>
                <w:rFonts w:asciiTheme="minorHAnsi" w:hAnsiTheme="minorHAnsi" w:cstheme="minorHAnsi"/>
                <w:sz w:val="22"/>
                <w:szCs w:val="22"/>
                <w:lang w:eastAsia="ar-SA"/>
              </w:rPr>
              <w:t xml:space="preserve">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w:t>
            </w:r>
            <w:r w:rsidR="00C44408" w:rsidRPr="253D0146">
              <w:rPr>
                <w:rFonts w:asciiTheme="minorHAnsi" w:hAnsiTheme="minorHAnsi" w:cstheme="minorBidi"/>
                <w:sz w:val="22"/>
                <w:szCs w:val="22"/>
                <w:lang w:eastAsia="ar-SA"/>
              </w:rPr>
              <w:lastRenderedPageBreak/>
              <w:t>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lastRenderedPageBreak/>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w:t>
            </w:r>
            <w:r w:rsidR="3108D251" w:rsidRPr="34955BD5">
              <w:rPr>
                <w:rFonts w:asciiTheme="minorHAnsi" w:hAnsiTheme="minorHAnsi"/>
                <w:snapToGrid w:val="0"/>
                <w:sz w:val="22"/>
                <w:szCs w:val="22"/>
              </w:rPr>
              <w:lastRenderedPageBreak/>
              <w:t xml:space="preserve">maximálně </w:t>
            </w:r>
            <w:r w:rsidR="66E5214E" w:rsidRPr="34955BD5">
              <w:rPr>
                <w:rFonts w:asciiTheme="minorHAnsi" w:hAnsiTheme="minorHAnsi"/>
                <w:snapToGrid w:val="0"/>
                <w:sz w:val="22"/>
                <w:szCs w:val="22"/>
              </w:rPr>
              <w:t xml:space="preserve">však </w:t>
            </w:r>
            <w:r w:rsidR="3108D251" w:rsidRPr="34955BD5">
              <w:rPr>
                <w:rFonts w:asciiTheme="minorHAnsi" w:hAnsiTheme="minorHAnsi"/>
                <w:snapToGrid w:val="0"/>
                <w:sz w:val="22"/>
                <w:szCs w:val="22"/>
              </w:rPr>
              <w:t>o 10 000,- 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lastRenderedPageBreak/>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w:t>
            </w:r>
            <w:r w:rsidRPr="253D0146">
              <w:rPr>
                <w:rFonts w:asciiTheme="minorHAnsi" w:hAnsiTheme="minorHAnsi"/>
                <w:snapToGrid w:val="0"/>
                <w:sz w:val="22"/>
                <w:szCs w:val="22"/>
              </w:rPr>
              <w:lastRenderedPageBreak/>
              <w:t xml:space="preserve">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 xml:space="preserve">nápravě v dodatečné </w:t>
            </w:r>
            <w:r w:rsidRPr="253D0146">
              <w:rPr>
                <w:rFonts w:asciiTheme="minorHAnsi" w:hAnsiTheme="minorHAnsi" w:cstheme="minorBidi"/>
                <w:sz w:val="22"/>
                <w:szCs w:val="22"/>
                <w:lang w:eastAsia="ar-SA"/>
              </w:rPr>
              <w:lastRenderedPageBreak/>
              <w:t>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lastRenderedPageBreak/>
              <w:t xml:space="preserve">V případě neprovedení opatření k nápravě ve stanovené lhůtě bude dotace </w:t>
            </w:r>
            <w:r w:rsidRPr="34955BD5">
              <w:rPr>
                <w:rFonts w:asciiTheme="minorHAnsi" w:hAnsiTheme="minorHAnsi"/>
                <w:snapToGrid w:val="0"/>
                <w:sz w:val="22"/>
                <w:szCs w:val="22"/>
              </w:rPr>
              <w:lastRenderedPageBreak/>
              <w:t>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lastRenderedPageBreak/>
              <w:t>19.</w:t>
            </w:r>
          </w:p>
        </w:tc>
        <w:tc>
          <w:tcPr>
            <w:tcW w:w="3574" w:type="dxa"/>
          </w:tcPr>
          <w:p w14:paraId="2C937557" w14:textId="32120D51"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ýt pověřen k výkonu SOHZ v souladu s Rozhodnutím 2012/21/EU nejméně do konce doby udržitelnosti projektu.</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34955BD5">
        <w:rPr>
          <w:rFonts w:asciiTheme="minorHAnsi" w:hAnsiTheme="minorHAnsi"/>
          <w:sz w:val="24"/>
          <w:szCs w:val="24"/>
        </w:rPr>
        <w:t>C(</w:t>
      </w:r>
      <w:proofErr w:type="gramEnd"/>
      <w:r w:rsidRPr="34955BD5">
        <w:rPr>
          <w:rFonts w:asciiTheme="minorHAnsi" w:hAnsiTheme="minorHAnsi"/>
          <w:sz w:val="24"/>
          <w:szCs w:val="24"/>
        </w:rPr>
        <w:t>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47E058DE" w:rsidRPr="34955BD5">
        <w:rPr>
          <w:rFonts w:asciiTheme="minorHAnsi" w:hAnsiTheme="minorHAnsi"/>
          <w:sz w:val="24"/>
          <w:szCs w:val="24"/>
        </w:rPr>
        <w:t>C(</w:t>
      </w:r>
      <w:proofErr w:type="gramEnd"/>
      <w:r w:rsidR="47E058DE" w:rsidRPr="34955BD5">
        <w:rPr>
          <w:rFonts w:asciiTheme="minorHAnsi" w:hAnsiTheme="minorHAnsi"/>
          <w:sz w:val="24"/>
          <w:szCs w:val="24"/>
        </w:rPr>
        <w:t xml:space="preserve">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 xml:space="preserve">inanční oprava bude uložena ve výši </w:t>
      </w:r>
      <w:proofErr w:type="gramStart"/>
      <w:r w:rsidRPr="00C669A5">
        <w:rPr>
          <w:rFonts w:asciiTheme="minorHAnsi" w:hAnsiTheme="minorHAnsi"/>
          <w:sz w:val="24"/>
        </w:rPr>
        <w:t>100%</w:t>
      </w:r>
      <w:proofErr w:type="gramEnd"/>
      <w:r w:rsidRPr="00C669A5">
        <w:rPr>
          <w:rFonts w:asciiTheme="minorHAnsi" w:hAnsiTheme="minorHAnsi"/>
          <w:sz w:val="24"/>
        </w:rPr>
        <w:t xml:space="preserve">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 xml:space="preserve">Nařízení </w:t>
      </w:r>
      <w:r w:rsidR="004428F0" w:rsidRPr="253D0146">
        <w:rPr>
          <w:rFonts w:asciiTheme="minorHAnsi" w:hAnsiTheme="minorHAnsi"/>
        </w:rPr>
        <w:lastRenderedPageBreak/>
        <w:t>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w:t>
      </w:r>
      <w:proofErr w:type="gramStart"/>
      <w:r w:rsidR="0097623C" w:rsidRPr="00C669A5">
        <w:rPr>
          <w:rFonts w:asciiTheme="minorHAnsi" w:hAnsiTheme="minorHAnsi"/>
          <w:snapToGrid w:val="0"/>
        </w:rPr>
        <w:t>bodu  části</w:t>
      </w:r>
      <w:proofErr w:type="gramEnd"/>
      <w:r w:rsidR="0097623C" w:rsidRPr="00C669A5">
        <w:rPr>
          <w:rFonts w:asciiTheme="minorHAnsi" w:hAnsiTheme="minorHAnsi"/>
          <w:snapToGrid w:val="0"/>
        </w:rPr>
        <w:t xml:space="preserve"> III Podmínek. </w:t>
      </w:r>
      <w:r w:rsidR="007045BB" w:rsidRPr="00C669A5">
        <w:rPr>
          <w:rFonts w:asciiTheme="minorHAnsi" w:hAnsiTheme="minorHAnsi"/>
          <w:b/>
          <w:snapToGrid w:val="0"/>
        </w:rPr>
        <w:t xml:space="preserve">Sankce za porušení Podmínek bude vypočtena </w:t>
      </w:r>
      <w:proofErr w:type="gramStart"/>
      <w:r w:rsidR="007045BB" w:rsidRPr="00C669A5">
        <w:rPr>
          <w:rFonts w:asciiTheme="minorHAnsi" w:hAnsiTheme="minorHAnsi"/>
          <w:b/>
          <w:snapToGrid w:val="0"/>
        </w:rPr>
        <w:t>z  částky</w:t>
      </w:r>
      <w:proofErr w:type="gramEnd"/>
      <w:r w:rsidR="007045BB" w:rsidRPr="00C669A5">
        <w:rPr>
          <w:rFonts w:asciiTheme="minorHAnsi" w:hAnsiTheme="minorHAnsi"/>
          <w:b/>
          <w:snapToGrid w:val="0"/>
        </w:rPr>
        <w:t xml:space="preserve">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44977C02" w:rsidR="002F2F4B" w:rsidRPr="00C669A5"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46098A24"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E265B8">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6B6F6FE1"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 xml:space="preserve">Příjemce dotace jako poskytovatel SOHZ musí být pověřen k výkonu SOHZ v souladu s Rozhodnutím 2012/21/EU minimálně do konce </w:t>
      </w:r>
      <w:r w:rsidR="007E041D">
        <w:rPr>
          <w:rFonts w:ascii="Calibri" w:eastAsia="Calibri" w:hAnsi="Calibri" w:cs="Calibri"/>
          <w:color w:val="000000" w:themeColor="text1"/>
        </w:rPr>
        <w:t xml:space="preserve">doby </w:t>
      </w:r>
      <w:r w:rsidRPr="356EDD3C">
        <w:rPr>
          <w:rFonts w:ascii="Calibri" w:eastAsia="Calibri" w:hAnsi="Calibri" w:cs="Calibri"/>
          <w:color w:val="000000" w:themeColor="text1"/>
        </w:rPr>
        <w:t>udržitelnosti</w:t>
      </w:r>
      <w:r w:rsidR="007E041D">
        <w:rPr>
          <w:rFonts w:ascii="Calibri" w:eastAsia="Calibri" w:hAnsi="Calibri" w:cs="Calibri"/>
          <w:color w:val="000000" w:themeColor="text1"/>
        </w:rPr>
        <w:t xml:space="preserve"> </w:t>
      </w:r>
      <w:r w:rsidRPr="356EDD3C">
        <w:rPr>
          <w:rFonts w:ascii="Calibri" w:eastAsia="Calibri" w:hAnsi="Calibri" w:cs="Calibri"/>
          <w:color w:val="000000" w:themeColor="text1"/>
        </w:rPr>
        <w:t>projektu.</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77777777"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bookmarkStart w:id="5" w:name="_GoBack"/>
      <w:bookmarkEnd w:id="5"/>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w:t>
      </w:r>
      <w:r w:rsidRPr="253D0146">
        <w:rPr>
          <w:rFonts w:asciiTheme="minorHAnsi" w:hAnsiTheme="minorHAnsi"/>
          <w:snapToGrid w:val="0"/>
        </w:rPr>
        <w:lastRenderedPageBreak/>
        <w:t xml:space="preserve">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350D0859"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265B8">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265B8">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497DD4AC"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265B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265B8">
            <w:rPr>
              <w:rFonts w:ascii="Arial" w:hAnsi="Arial" w:cs="Arial"/>
              <w:noProof/>
              <w:sz w:val="20"/>
            </w:rPr>
            <w:t>14</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0FCE"/>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C21"/>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420"/>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65B8"/>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6456C-AA54-484B-88E3-0370D86D21A7}">
  <ds:schemaRefs>
    <ds:schemaRef ds:uri="http://schemas.openxmlformats.org/officeDocument/2006/bibliography"/>
  </ds:schemaRefs>
</ds:datastoreItem>
</file>

<file path=customXml/itemProps10.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customXml/itemProps11.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2.xml><?xml version="1.0" encoding="utf-8"?>
<ds:datastoreItem xmlns:ds="http://schemas.openxmlformats.org/officeDocument/2006/customXml" ds:itemID="{32E77E64-18FE-4645-8F57-91F255564610}">
  <ds:schemaRefs>
    <ds:schemaRef ds:uri="http://schemas.openxmlformats.org/officeDocument/2006/bibliography"/>
  </ds:schemaRefs>
</ds:datastoreItem>
</file>

<file path=customXml/itemProps13.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14.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14B4EB0C-1D41-44A5-9B98-4179D7A55269}">
  <ds:schemaRefs>
    <ds:schemaRef ds:uri="http://schemas.openxmlformats.org/officeDocument/2006/bibliography"/>
  </ds:schemaRefs>
</ds:datastoreItem>
</file>

<file path=customXml/itemProps16.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18.xml><?xml version="1.0" encoding="utf-8"?>
<ds:datastoreItem xmlns:ds="http://schemas.openxmlformats.org/officeDocument/2006/customXml" ds:itemID="{BF1559B1-A9A0-4B9A-B522-7E55D37274E8}">
  <ds:schemaRefs>
    <ds:schemaRef ds:uri="http://schemas.openxmlformats.org/officeDocument/2006/bibliography"/>
  </ds:schemaRefs>
</ds:datastoreItem>
</file>

<file path=customXml/itemProps19.xml><?xml version="1.0" encoding="utf-8"?>
<ds:datastoreItem xmlns:ds="http://schemas.openxmlformats.org/officeDocument/2006/customXml" ds:itemID="{3A26C5C8-0985-4ACB-9645-E45D683B3501}">
  <ds:schemaRefs>
    <ds:schemaRef ds:uri="http://schemas.openxmlformats.org/officeDocument/2006/bibliography"/>
  </ds:schemaRefs>
</ds:datastoreItem>
</file>

<file path=customXml/itemProps2.xml><?xml version="1.0" encoding="utf-8"?>
<ds:datastoreItem xmlns:ds="http://schemas.openxmlformats.org/officeDocument/2006/customXml" ds:itemID="{54F23373-E3E1-4DA1-AA44-245B69FFE947}">
  <ds:schemaRefs>
    <ds:schemaRef ds:uri="http://schemas.openxmlformats.org/officeDocument/2006/bibliography"/>
  </ds:schemaRefs>
</ds:datastoreItem>
</file>

<file path=customXml/itemProps20.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21.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22.xml><?xml version="1.0" encoding="utf-8"?>
<ds:datastoreItem xmlns:ds="http://schemas.openxmlformats.org/officeDocument/2006/customXml" ds:itemID="{1F7F24BC-BC6D-4B1E-9C8B-9D5C15A690C3}">
  <ds:schemaRefs>
    <ds:schemaRef ds:uri="http://schemas.openxmlformats.org/officeDocument/2006/bibliography"/>
  </ds:schemaRefs>
</ds:datastoreItem>
</file>

<file path=customXml/itemProps23.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24.xml><?xml version="1.0" encoding="utf-8"?>
<ds:datastoreItem xmlns:ds="http://schemas.openxmlformats.org/officeDocument/2006/customXml" ds:itemID="{9D3B71AA-4AF6-4F0E-AA34-366F19E6B80A}">
  <ds:schemaRefs>
    <ds:schemaRef ds:uri="http://schemas.openxmlformats.org/officeDocument/2006/bibliography"/>
  </ds:schemaRefs>
</ds:datastoreItem>
</file>

<file path=customXml/itemProps25.xml><?xml version="1.0" encoding="utf-8"?>
<ds:datastoreItem xmlns:ds="http://schemas.openxmlformats.org/officeDocument/2006/customXml" ds:itemID="{A512E2C0-EBF1-42D5-86AF-0E1BDF4751E1}">
  <ds:schemaRefs>
    <ds:schemaRef ds:uri="http://schemas.openxmlformats.org/officeDocument/2006/bibliography"/>
  </ds:schemaRefs>
</ds:datastoreItem>
</file>

<file path=customXml/itemProps3.xml><?xml version="1.0" encoding="utf-8"?>
<ds:datastoreItem xmlns:ds="http://schemas.openxmlformats.org/officeDocument/2006/customXml" ds:itemID="{7F3DE639-1766-4C53-ABAF-CEC4F5FF48D6}">
  <ds:schemaRefs>
    <ds:schemaRef ds:uri="http://schemas.openxmlformats.org/officeDocument/2006/bibliography"/>
  </ds:schemaRefs>
</ds:datastoreItem>
</file>

<file path=customXml/itemProps4.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5.xml><?xml version="1.0" encoding="utf-8"?>
<ds:datastoreItem xmlns:ds="http://schemas.openxmlformats.org/officeDocument/2006/customXml" ds:itemID="{155D3755-DCF9-4241-9D73-BA8BDD4A8C24}">
  <ds:schemaRefs>
    <ds:schemaRef ds:uri="http://schemas.openxmlformats.org/officeDocument/2006/bibliography"/>
  </ds:schemaRefs>
</ds:datastoreItem>
</file>

<file path=customXml/itemProps6.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7.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8.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customXml/itemProps9.xml><?xml version="1.0" encoding="utf-8"?>
<ds:datastoreItem xmlns:ds="http://schemas.openxmlformats.org/officeDocument/2006/customXml" ds:itemID="{53FA4582-5C5A-44CF-A456-BC2C6ABA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3399</Words>
  <Characters>19560</Characters>
  <Application>Microsoft Office Word</Application>
  <DocSecurity>0</DocSecurity>
  <Lines>163</Lines>
  <Paragraphs>45</Paragraphs>
  <ScaleCrop>false</ScaleCrop>
  <Company>MMR</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16</cp:revision>
  <cp:lastPrinted>2014-05-14T09:54:00Z</cp:lastPrinted>
  <dcterms:created xsi:type="dcterms:W3CDTF">2021-02-16T08:37:00Z</dcterms:created>
  <dcterms:modified xsi:type="dcterms:W3CDTF">2021-04-14T17:28:00Z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