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5F7BB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EDABDC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3E6D21D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9178F68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7E55FB4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595247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45A53CFA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F2128CC" w14:textId="0CBF2E72" w:rsidR="00C0286A" w:rsidRDefault="00CD20E0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6.1</w:t>
      </w:r>
    </w:p>
    <w:p w14:paraId="6626FC1D" w14:textId="7E514192" w:rsidR="007C0ABF" w:rsidRDefault="004F0529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CD20E0">
        <w:rPr>
          <w:rFonts w:asciiTheme="majorHAnsi" w:hAnsiTheme="majorHAnsi" w:cs="MyriadPro-Black"/>
          <w:caps/>
          <w:color w:val="A6A6A6"/>
          <w:sz w:val="40"/>
          <w:szCs w:val="40"/>
        </w:rPr>
        <w:t>96</w:t>
      </w:r>
    </w:p>
    <w:p w14:paraId="00A2D4DB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1CC93C1" w14:textId="5DAF65C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F37BA7">
        <w:rPr>
          <w:rFonts w:asciiTheme="majorHAnsi" w:hAnsiTheme="majorHAnsi" w:cs="MyriadPro-Black"/>
          <w:caps/>
          <w:sz w:val="40"/>
          <w:szCs w:val="40"/>
        </w:rPr>
        <w:t>3</w:t>
      </w:r>
    </w:p>
    <w:p w14:paraId="204CFD7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44A3FBCE" w14:textId="77777777" w:rsidR="007C0ABF" w:rsidRDefault="00A621C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 w:rsidRPr="00A621CF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PRAVIDLA PRO VYDÁNÍ STANOVISKA ODBORU HLAVNÍHO ARCHITEKTA EGOVERNMENTU</w:t>
      </w:r>
    </w:p>
    <w:p w14:paraId="61FFE2EA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30B121B2" w14:textId="4BC3B212" w:rsidR="00F45CCF" w:rsidRPr="007979A3" w:rsidRDefault="00450777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B73D4A">
        <w:rPr>
          <w:rFonts w:asciiTheme="majorHAnsi" w:hAnsiTheme="majorHAnsi" w:cs="MyriadPro-Black"/>
          <w:caps/>
          <w:sz w:val="32"/>
          <w:szCs w:val="40"/>
        </w:rPr>
        <w:t>21</w:t>
      </w:r>
      <w:r w:rsidR="004F0529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B73D4A">
        <w:rPr>
          <w:rFonts w:asciiTheme="majorHAnsi" w:hAnsiTheme="majorHAnsi" w:cs="MyriadPro-Black"/>
          <w:caps/>
          <w:sz w:val="32"/>
          <w:szCs w:val="40"/>
        </w:rPr>
        <w:t>4</w:t>
      </w:r>
      <w:r w:rsidR="00CE5CF5">
        <w:rPr>
          <w:rFonts w:asciiTheme="majorHAnsi" w:hAnsiTheme="majorHAnsi" w:cs="MyriadPro-Black"/>
          <w:caps/>
          <w:sz w:val="32"/>
          <w:szCs w:val="40"/>
        </w:rPr>
        <w:t>. 20</w:t>
      </w:r>
      <w:r w:rsidR="00CD20E0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166678B7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431D028" w14:textId="77777777" w:rsidR="006F2634" w:rsidRDefault="006F2634" w:rsidP="006F2634"/>
    <w:p w14:paraId="360B79E8" w14:textId="77777777" w:rsidR="009B3631" w:rsidRDefault="009B3631" w:rsidP="006F2634"/>
    <w:p w14:paraId="715077FE" w14:textId="77777777" w:rsidR="006F2634" w:rsidRDefault="006F2634" w:rsidP="006F2634"/>
    <w:p w14:paraId="37184CC0" w14:textId="77777777" w:rsidR="00A621CF" w:rsidRPr="00491A08" w:rsidRDefault="00A621CF" w:rsidP="000561A8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lastRenderedPageBreak/>
        <w:t>Způsob podání žádosti</w:t>
      </w:r>
    </w:p>
    <w:p w14:paraId="3A4536CB" w14:textId="278F0E1B" w:rsidR="000561A8" w:rsidRPr="00491A08" w:rsidRDefault="000561A8" w:rsidP="00FF467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Žádost </w:t>
      </w:r>
      <w:r w:rsidR="00236E57" w:rsidRPr="00491A08">
        <w:rPr>
          <w:rFonts w:asciiTheme="majorHAnsi" w:hAnsiTheme="majorHAnsi"/>
        </w:rPr>
        <w:t xml:space="preserve">o vydání stanoviska </w:t>
      </w:r>
      <w:r w:rsidR="00791F5D">
        <w:rPr>
          <w:rFonts w:asciiTheme="majorHAnsi" w:hAnsiTheme="majorHAnsi"/>
        </w:rPr>
        <w:t>s</w:t>
      </w:r>
      <w:r w:rsidRPr="00491A08">
        <w:rPr>
          <w:rFonts w:asciiTheme="majorHAnsi" w:hAnsiTheme="majorHAnsi"/>
        </w:rPr>
        <w:t>e podá</w:t>
      </w:r>
      <w:r w:rsidR="00791F5D">
        <w:rPr>
          <w:rFonts w:asciiTheme="majorHAnsi" w:hAnsiTheme="majorHAnsi"/>
        </w:rPr>
        <w:t>vá na</w:t>
      </w:r>
      <w:r w:rsidRPr="00491A08">
        <w:rPr>
          <w:rFonts w:asciiTheme="majorHAnsi" w:hAnsiTheme="majorHAnsi"/>
        </w:rPr>
        <w:t xml:space="preserve"> Ministerstvu vnitra, Odboru Hlavního architekta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="00CE5CF5" w:rsidRPr="00491A08">
        <w:rPr>
          <w:rFonts w:asciiTheme="majorHAnsi" w:hAnsiTheme="majorHAnsi"/>
        </w:rPr>
        <w:t xml:space="preserve"> (OHA)</w:t>
      </w:r>
      <w:r w:rsidRPr="00491A08">
        <w:rPr>
          <w:rFonts w:asciiTheme="majorHAnsi" w:hAnsiTheme="majorHAnsi"/>
        </w:rPr>
        <w:t xml:space="preserve"> prostřednictvím Informačního systému datových schránek (ID DS: 6bnaawp)</w:t>
      </w:r>
      <w:r w:rsidR="00FF4677" w:rsidRPr="00491A08">
        <w:rPr>
          <w:rFonts w:asciiTheme="majorHAnsi" w:hAnsiTheme="majorHAnsi"/>
        </w:rPr>
        <w:t>.</w:t>
      </w:r>
    </w:p>
    <w:p w14:paraId="0C53E9CF" w14:textId="77777777" w:rsidR="000561A8" w:rsidRPr="00491A08" w:rsidRDefault="000561A8" w:rsidP="00FF4677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Přílohou žádosti je Studie proveditelnosti vypracovaná v souladu s níže uvedenými pravidly</w:t>
      </w:r>
      <w:r w:rsidR="00FF4677" w:rsidRPr="00491A08">
        <w:rPr>
          <w:rFonts w:asciiTheme="majorHAnsi" w:hAnsiTheme="majorHAnsi"/>
        </w:rPr>
        <w:t>.</w:t>
      </w:r>
    </w:p>
    <w:p w14:paraId="0A3D586F" w14:textId="633AE8B3" w:rsidR="000561A8" w:rsidRPr="00491A08" w:rsidRDefault="000561A8" w:rsidP="002D504A">
      <w:pPr>
        <w:pStyle w:val="Odstavecseseznamem"/>
        <w:numPr>
          <w:ilvl w:val="0"/>
          <w:numId w:val="26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V</w:t>
      </w:r>
      <w:r w:rsidR="00791F5D">
        <w:rPr>
          <w:rFonts w:asciiTheme="majorHAnsi" w:hAnsiTheme="majorHAnsi"/>
        </w:rPr>
        <w:t> </w:t>
      </w:r>
      <w:r w:rsidRPr="00491A08">
        <w:rPr>
          <w:rFonts w:asciiTheme="majorHAnsi" w:hAnsiTheme="majorHAnsi"/>
        </w:rPr>
        <w:t>případě</w:t>
      </w:r>
      <w:r w:rsidR="00791F5D">
        <w:rPr>
          <w:rFonts w:asciiTheme="majorHAnsi" w:hAnsiTheme="majorHAnsi"/>
        </w:rPr>
        <w:t>,</w:t>
      </w:r>
      <w:r w:rsidRPr="00491A08">
        <w:rPr>
          <w:rFonts w:asciiTheme="majorHAnsi" w:hAnsiTheme="majorHAnsi"/>
        </w:rPr>
        <w:t xml:space="preserve"> že Studie proveditelnosti překračuje povolenou velikost datové zprávy, je možné ji doručit osobně na sekretariát odboru</w:t>
      </w:r>
      <w:r w:rsidR="009A55EE" w:rsidRPr="00491A08">
        <w:rPr>
          <w:rFonts w:asciiTheme="majorHAnsi" w:hAnsiTheme="majorHAnsi"/>
        </w:rPr>
        <w:t xml:space="preserve"> na adresu</w:t>
      </w:r>
      <w:r w:rsidR="002D504A" w:rsidRPr="00491A08">
        <w:rPr>
          <w:rFonts w:asciiTheme="majorHAnsi" w:hAnsiTheme="majorHAnsi"/>
        </w:rPr>
        <w:t xml:space="preserve"> nám. Hrdinů 1634/3, Praha 4.</w:t>
      </w:r>
    </w:p>
    <w:p w14:paraId="6E765092" w14:textId="67A2BA92" w:rsidR="00A621CF" w:rsidRPr="00491A08" w:rsidRDefault="00A621CF" w:rsidP="000561A8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Lhůt</w:t>
      </w:r>
      <w:r w:rsidR="00791F5D">
        <w:rPr>
          <w:rFonts w:cs="Arial"/>
        </w:rPr>
        <w:t>a</w:t>
      </w:r>
      <w:r w:rsidRPr="00491A08">
        <w:rPr>
          <w:rFonts w:cs="Arial"/>
        </w:rPr>
        <w:t xml:space="preserve"> pro vydání Stanoviska</w:t>
      </w:r>
    </w:p>
    <w:p w14:paraId="4BFDDE5C" w14:textId="391EDE1B" w:rsidR="000561A8" w:rsidRPr="00491A08" w:rsidRDefault="000561A8" w:rsidP="00FF4677">
      <w:pPr>
        <w:pStyle w:val="Odstavecseseznamem"/>
        <w:numPr>
          <w:ilvl w:val="0"/>
          <w:numId w:val="27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OHA vydá Stanovisko nejpozději do </w:t>
      </w:r>
      <w:r w:rsidR="00DD548D">
        <w:rPr>
          <w:rFonts w:asciiTheme="majorHAnsi" w:hAnsiTheme="majorHAnsi"/>
        </w:rPr>
        <w:t>3</w:t>
      </w:r>
      <w:r w:rsidR="00A17C09">
        <w:rPr>
          <w:rFonts w:asciiTheme="majorHAnsi" w:hAnsiTheme="majorHAnsi"/>
        </w:rPr>
        <w:t>0</w:t>
      </w:r>
      <w:r w:rsidRPr="00491A08">
        <w:rPr>
          <w:rFonts w:asciiTheme="majorHAnsi" w:hAnsiTheme="majorHAnsi"/>
        </w:rPr>
        <w:t xml:space="preserve"> </w:t>
      </w:r>
      <w:r w:rsidR="00DD548D">
        <w:rPr>
          <w:rFonts w:asciiTheme="majorHAnsi" w:hAnsiTheme="majorHAnsi"/>
        </w:rPr>
        <w:t>kalendářních</w:t>
      </w:r>
      <w:r w:rsidRPr="00491A08">
        <w:rPr>
          <w:rFonts w:asciiTheme="majorHAnsi" w:hAnsiTheme="majorHAnsi"/>
        </w:rPr>
        <w:t xml:space="preserve"> dnů</w:t>
      </w:r>
      <w:r w:rsidR="00FF4677" w:rsidRPr="00491A08">
        <w:rPr>
          <w:rFonts w:asciiTheme="majorHAnsi" w:hAnsiTheme="majorHAnsi"/>
        </w:rPr>
        <w:t>.</w:t>
      </w:r>
    </w:p>
    <w:p w14:paraId="654849DC" w14:textId="77777777" w:rsidR="00A621CF" w:rsidRPr="00491A08" w:rsidRDefault="00A621CF" w:rsidP="000561A8">
      <w:pPr>
        <w:pStyle w:val="Nadpis1"/>
        <w:spacing w:after="240" w:line="276" w:lineRule="auto"/>
        <w:ind w:left="360" w:hanging="360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Další informace</w:t>
      </w:r>
    </w:p>
    <w:p w14:paraId="259E4452" w14:textId="48EF66E4" w:rsidR="00EF6785" w:rsidRDefault="00EF6785" w:rsidP="00EF6785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V rámci Stanoviska k projektům ve výzvě č. 9</w:t>
      </w:r>
      <w:r w:rsidR="00CD20E0">
        <w:rPr>
          <w:rFonts w:asciiTheme="majorHAnsi" w:hAnsiTheme="majorHAnsi"/>
        </w:rPr>
        <w:t>6</w:t>
      </w:r>
      <w:r w:rsidRPr="008E10EB">
        <w:rPr>
          <w:rFonts w:asciiTheme="majorHAnsi" w:hAnsiTheme="majorHAnsi"/>
        </w:rPr>
        <w:t xml:space="preserve"> je posuzován soulad řešení projektu s Informační koncepcí úřadu</w:t>
      </w:r>
      <w:r w:rsidR="00791F5D">
        <w:rPr>
          <w:rFonts w:asciiTheme="majorHAnsi" w:hAnsiTheme="majorHAnsi"/>
        </w:rPr>
        <w:t xml:space="preserve">, </w:t>
      </w:r>
      <w:r w:rsidRPr="008E10EB">
        <w:rPr>
          <w:rFonts w:asciiTheme="majorHAnsi" w:hAnsiTheme="majorHAnsi"/>
        </w:rPr>
        <w:t>s Informační koncepcí ČR a cíli či principy Digitálního Česka.</w:t>
      </w:r>
    </w:p>
    <w:p w14:paraId="234B1644" w14:textId="53A5E56C" w:rsidR="006F12FD" w:rsidRPr="008E10EB" w:rsidRDefault="006F12FD" w:rsidP="00EF6785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V rámci Stanoviska je posuzován soulad řešení projektu se zákony č. 181/2014 Sb., o kybernetické bezpečnosti a o změně souvisejících zákonů; č. 365/2000 Sb., o informačních systémech a o změně některých dalších zákonů; č. 111/2009 Sb., o základních registrech.</w:t>
      </w:r>
    </w:p>
    <w:p w14:paraId="21465FFB" w14:textId="4E5ECAFE" w:rsidR="0096029E" w:rsidRPr="0096029E" w:rsidRDefault="0096029E" w:rsidP="0096029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96029E">
        <w:rPr>
          <w:rFonts w:asciiTheme="majorHAnsi" w:hAnsiTheme="majorHAnsi"/>
        </w:rPr>
        <w:t>V rámci Stanoviska mohou být nad rámec architektonického a technologického řešení uplatněna další doporučení k projektovému záměru.</w:t>
      </w:r>
    </w:p>
    <w:p w14:paraId="6A6E8387" w14:textId="77777777" w:rsidR="0096029E" w:rsidRPr="0096029E" w:rsidRDefault="0096029E" w:rsidP="0096029E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96029E">
        <w:rPr>
          <w:rFonts w:asciiTheme="majorHAnsi" w:hAnsiTheme="majorHAnsi"/>
        </w:rPr>
        <w:t>Po dohodě je možné poskytnout ze strany OHA konzultaci k projektu v nutném rozsahu. Konzultace je bezplatná.</w:t>
      </w:r>
    </w:p>
    <w:p w14:paraId="17DDA107" w14:textId="00110914" w:rsidR="0096029E" w:rsidRPr="00CB7E06" w:rsidRDefault="0096029E" w:rsidP="00CB7E06">
      <w:pPr>
        <w:pStyle w:val="Odstavecseseznamem"/>
        <w:numPr>
          <w:ilvl w:val="0"/>
          <w:numId w:val="31"/>
        </w:numPr>
        <w:spacing w:after="160" w:line="256" w:lineRule="auto"/>
        <w:jc w:val="both"/>
        <w:rPr>
          <w:rFonts w:asciiTheme="majorHAnsi" w:hAnsiTheme="majorHAnsi"/>
        </w:rPr>
      </w:pPr>
      <w:r w:rsidRPr="0096029E">
        <w:rPr>
          <w:rFonts w:asciiTheme="majorHAnsi" w:hAnsiTheme="majorHAnsi"/>
        </w:rPr>
        <w:t xml:space="preserve">Podrobnosti a další informace jsou průběžně zveřejnovány na adrese </w:t>
      </w:r>
      <w:hyperlink r:id="rId11" w:history="1">
        <w:r w:rsidR="00CB7E06" w:rsidRPr="00AA2F24">
          <w:rPr>
            <w:rStyle w:val="Hypertextovodkaz"/>
            <w:rFonts w:asciiTheme="majorHAnsi" w:hAnsiTheme="majorHAnsi"/>
          </w:rPr>
          <w:t>https://www.mvcr.cz/clanek/agenda-odboru-hlavniho-architekta-egovernmentu-agenda-odboru-hlavniho-architekta-egovernmentu.aspx?q=Y2hudW09NA%3d%3d</w:t>
        </w:r>
      </w:hyperlink>
    </w:p>
    <w:p w14:paraId="2C77444A" w14:textId="77777777" w:rsidR="00A621CF" w:rsidRPr="00491A08" w:rsidRDefault="00A17C09" w:rsidP="000561A8">
      <w:pPr>
        <w:pStyle w:val="Nadpis1"/>
        <w:spacing w:after="240" w:line="276" w:lineRule="auto"/>
        <w:jc w:val="both"/>
        <w:rPr>
          <w:rFonts w:cs="Arial"/>
        </w:rPr>
      </w:pPr>
      <w:r>
        <w:rPr>
          <w:rFonts w:cs="Arial"/>
        </w:rPr>
        <w:t>Ř</w:t>
      </w:r>
      <w:r w:rsidR="00A621CF" w:rsidRPr="00491A08">
        <w:rPr>
          <w:rFonts w:cs="Arial"/>
        </w:rPr>
        <w:t>ešení projektu (požadavky na zpracování Studie proveditelnosti)</w:t>
      </w:r>
    </w:p>
    <w:p w14:paraId="76838DF1" w14:textId="492051CE" w:rsidR="000561A8" w:rsidRPr="00491A08" w:rsidRDefault="000561A8" w:rsidP="000561A8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Součástí předkládané </w:t>
      </w:r>
      <w:r w:rsidR="00EB09C4">
        <w:rPr>
          <w:rFonts w:asciiTheme="majorHAnsi" w:hAnsiTheme="majorHAnsi"/>
        </w:rPr>
        <w:t>S</w:t>
      </w:r>
      <w:r w:rsidRPr="00491A08">
        <w:rPr>
          <w:rFonts w:asciiTheme="majorHAnsi" w:hAnsiTheme="majorHAnsi"/>
        </w:rPr>
        <w:t xml:space="preserve">tudie proveditelnosti projektu musí být vždy i odpovídající architektonické výstupy spojené s projektem. Je požadováno, aby byly do </w:t>
      </w:r>
      <w:r w:rsidR="00EB09C4">
        <w:rPr>
          <w:rFonts w:asciiTheme="majorHAnsi" w:hAnsiTheme="majorHAnsi"/>
        </w:rPr>
        <w:t>S</w:t>
      </w:r>
      <w:r w:rsidRPr="00491A08">
        <w:rPr>
          <w:rFonts w:asciiTheme="majorHAnsi" w:hAnsiTheme="majorHAnsi"/>
        </w:rPr>
        <w:t xml:space="preserve">tudie zapracovány architektonické diagramy (pohledy) doprovázené vysvětlením. Architektonický obsah je nezbytný zejména </w:t>
      </w:r>
      <w:r w:rsidR="00EB09C4">
        <w:rPr>
          <w:rFonts w:asciiTheme="majorHAnsi" w:hAnsiTheme="majorHAnsi"/>
        </w:rPr>
        <w:t>kvůli</w:t>
      </w:r>
      <w:r w:rsidRPr="00491A08">
        <w:rPr>
          <w:rFonts w:asciiTheme="majorHAnsi" w:hAnsiTheme="majorHAnsi"/>
        </w:rPr>
        <w:t xml:space="preserve"> prokázání, že při návrhu projektu byl uplatněn celostní architektonický přístup, byly uplatněny stanovené architektonické </w:t>
      </w:r>
      <w:r w:rsidRPr="00491A08">
        <w:rPr>
          <w:rFonts w:asciiTheme="majorHAnsi" w:hAnsiTheme="majorHAnsi"/>
        </w:rPr>
        <w:lastRenderedPageBreak/>
        <w:t xml:space="preserve">principy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Pr="00491A08">
        <w:rPr>
          <w:rFonts w:asciiTheme="majorHAnsi" w:hAnsiTheme="majorHAnsi"/>
        </w:rPr>
        <w:t xml:space="preserve"> a jim odpovídající návrhové vzory. Povinné architektonické vzory jsou vypracovány na různých úrovních detailu, architektury úřadu i architektury řešení. </w:t>
      </w:r>
    </w:p>
    <w:p w14:paraId="2FE94632" w14:textId="77777777" w:rsidR="000561A8" w:rsidRPr="00491A08" w:rsidRDefault="000561A8" w:rsidP="000561A8">
      <w:pPr>
        <w:jc w:val="both"/>
        <w:rPr>
          <w:rFonts w:asciiTheme="majorHAnsi" w:hAnsiTheme="majorHAnsi"/>
        </w:rPr>
      </w:pPr>
    </w:p>
    <w:p w14:paraId="2336B885" w14:textId="155FAC25" w:rsidR="000561A8" w:rsidRPr="00470F82" w:rsidRDefault="000561A8" w:rsidP="000561A8">
      <w:pPr>
        <w:jc w:val="both"/>
        <w:rPr>
          <w:color w:val="0000FF"/>
          <w:u w:val="single"/>
        </w:rPr>
      </w:pPr>
      <w:r w:rsidRPr="00491A08">
        <w:rPr>
          <w:rFonts w:asciiTheme="majorHAnsi" w:hAnsiTheme="majorHAnsi"/>
        </w:rPr>
        <w:t xml:space="preserve">Pro modelování a grafické vyjádření architektury úřadu (EA dle TOGAF) je doporučeno používat nemodifikovanou notaci jazyka </w:t>
      </w:r>
      <w:proofErr w:type="spellStart"/>
      <w:r w:rsidRPr="00491A08">
        <w:rPr>
          <w:rFonts w:asciiTheme="majorHAnsi" w:hAnsiTheme="majorHAnsi"/>
        </w:rPr>
        <w:t>ArchiMate</w:t>
      </w:r>
      <w:proofErr w:type="spellEnd"/>
      <w:r w:rsidRPr="00491A08">
        <w:rPr>
          <w:rFonts w:asciiTheme="majorHAnsi" w:hAnsiTheme="majorHAnsi"/>
        </w:rPr>
        <w:t xml:space="preserve"> </w:t>
      </w:r>
      <w:r w:rsidR="00DD548D">
        <w:rPr>
          <w:rFonts w:asciiTheme="majorHAnsi" w:hAnsiTheme="majorHAnsi"/>
        </w:rPr>
        <w:t>3</w:t>
      </w:r>
      <w:r w:rsidRPr="00491A08">
        <w:rPr>
          <w:rFonts w:asciiTheme="majorHAnsi" w:hAnsiTheme="majorHAnsi"/>
        </w:rPr>
        <w:t xml:space="preserve">.1, který </w:t>
      </w:r>
      <w:r w:rsidR="00DD548D">
        <w:rPr>
          <w:rFonts w:asciiTheme="majorHAnsi" w:hAnsiTheme="majorHAnsi"/>
        </w:rPr>
        <w:t>je použit v Národním architektonickém rámci</w:t>
      </w:r>
      <w:r w:rsidR="00470F82">
        <w:rPr>
          <w:rFonts w:asciiTheme="majorHAnsi" w:hAnsiTheme="majorHAnsi"/>
        </w:rPr>
        <w:t xml:space="preserve"> </w:t>
      </w:r>
      <w:r w:rsidR="00470F82">
        <w:rPr>
          <w:rStyle w:val="Hypertextovodkaz"/>
        </w:rPr>
        <w:t xml:space="preserve"> </w:t>
      </w:r>
      <w:hyperlink r:id="rId12" w:history="1">
        <w:r w:rsidR="00470F82" w:rsidRPr="00E8558E">
          <w:rPr>
            <w:rStyle w:val="Hypertextovodkaz"/>
          </w:rPr>
          <w:t>https://archi.gov.cz/nar_dokum</w:t>
        </w:r>
        <w:r w:rsidR="00470F82" w:rsidRPr="00E8558E">
          <w:rPr>
            <w:rStyle w:val="Hypertextovodkaz"/>
          </w:rPr>
          <w:t>e</w:t>
        </w:r>
        <w:r w:rsidR="00470F82" w:rsidRPr="00E8558E">
          <w:rPr>
            <w:rStyle w:val="Hypertextovodkaz"/>
          </w:rPr>
          <w:t>nt</w:t>
        </w:r>
      </w:hyperlink>
      <w:r w:rsidRPr="00491A08">
        <w:rPr>
          <w:rFonts w:asciiTheme="majorHAnsi" w:hAnsiTheme="majorHAnsi"/>
        </w:rPr>
        <w:t xml:space="preserve">. </w:t>
      </w:r>
    </w:p>
    <w:p w14:paraId="05517D51" w14:textId="77777777" w:rsidR="00A621CF" w:rsidRPr="00491A08" w:rsidRDefault="00A621CF" w:rsidP="000561A8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proofErr w:type="spellStart"/>
      <w:r w:rsidRPr="00491A08">
        <w:rPr>
          <w:rFonts w:cs="Arial"/>
        </w:rPr>
        <w:t>Enterprise</w:t>
      </w:r>
      <w:proofErr w:type="spellEnd"/>
      <w:r w:rsidRPr="00491A08">
        <w:rPr>
          <w:rFonts w:cs="Arial"/>
        </w:rPr>
        <w:t xml:space="preserve"> architektura projektu</w:t>
      </w:r>
      <w:r w:rsidR="00094F26" w:rsidRPr="00491A08">
        <w:rPr>
          <w:rFonts w:cs="Arial"/>
        </w:rPr>
        <w:t xml:space="preserve"> samotného – prokázání dodržení </w:t>
      </w:r>
      <w:r w:rsidRPr="00491A08">
        <w:rPr>
          <w:rFonts w:cs="Arial"/>
        </w:rPr>
        <w:t xml:space="preserve">metodik, standardů a vzorů Národního architektonického plánu veřejné správy ČR </w:t>
      </w:r>
    </w:p>
    <w:p w14:paraId="22414C57" w14:textId="1584A1D1" w:rsidR="000561A8" w:rsidRPr="00491A08" w:rsidRDefault="000561A8" w:rsidP="006A6802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proofErr w:type="spellStart"/>
      <w:r w:rsidRPr="00491A08">
        <w:rPr>
          <w:rFonts w:asciiTheme="majorHAnsi" w:hAnsiTheme="majorHAnsi"/>
        </w:rPr>
        <w:t>Enterprise</w:t>
      </w:r>
      <w:proofErr w:type="spellEnd"/>
      <w:r w:rsidRPr="00491A08">
        <w:rPr>
          <w:rFonts w:asciiTheme="majorHAnsi" w:hAnsiTheme="majorHAnsi"/>
        </w:rPr>
        <w:t xml:space="preserve"> Architektura projektu </w:t>
      </w:r>
      <w:r w:rsidR="00EB09C4">
        <w:rPr>
          <w:rFonts w:asciiTheme="majorHAnsi" w:hAnsiTheme="majorHAnsi"/>
        </w:rPr>
        <w:t>o</w:t>
      </w:r>
      <w:r w:rsidRPr="00491A08">
        <w:rPr>
          <w:rFonts w:asciiTheme="majorHAnsi" w:hAnsiTheme="majorHAnsi"/>
        </w:rPr>
        <w:t xml:space="preserve">dpovídá </w:t>
      </w:r>
      <w:r w:rsidR="00DD548D">
        <w:rPr>
          <w:rFonts w:asciiTheme="majorHAnsi" w:hAnsiTheme="majorHAnsi"/>
        </w:rPr>
        <w:t>požadavkům</w:t>
      </w:r>
      <w:r w:rsidRPr="00491A08">
        <w:rPr>
          <w:rFonts w:asciiTheme="majorHAnsi" w:hAnsiTheme="majorHAnsi"/>
        </w:rPr>
        <w:t xml:space="preserve"> dle TOGAF</w:t>
      </w:r>
      <w:r w:rsidR="00470F82">
        <w:rPr>
          <w:rStyle w:val="Znakapoznpodarou"/>
          <w:rFonts w:asciiTheme="majorHAnsi" w:hAnsiTheme="majorHAnsi"/>
        </w:rPr>
        <w:footnoteReference w:id="1"/>
      </w:r>
      <w:r w:rsidRPr="00491A08">
        <w:rPr>
          <w:rFonts w:asciiTheme="majorHAnsi" w:hAnsiTheme="majorHAnsi"/>
        </w:rPr>
        <w:t xml:space="preserve"> a </w:t>
      </w:r>
      <w:r w:rsidR="00DD548D">
        <w:rPr>
          <w:rFonts w:asciiTheme="majorHAnsi" w:hAnsiTheme="majorHAnsi"/>
        </w:rPr>
        <w:t>Národního architektonického rámce</w:t>
      </w:r>
      <w:r w:rsidRPr="00491A08">
        <w:rPr>
          <w:rFonts w:asciiTheme="majorHAnsi" w:hAnsiTheme="majorHAnsi"/>
        </w:rPr>
        <w:t>. Postihuje relevantní díl všech struktur a vztahů z </w:t>
      </w:r>
      <w:proofErr w:type="spellStart"/>
      <w:r w:rsidRPr="00491A08">
        <w:rPr>
          <w:rFonts w:asciiTheme="majorHAnsi" w:hAnsiTheme="majorHAnsi"/>
        </w:rPr>
        <w:t>enterprise</w:t>
      </w:r>
      <w:proofErr w:type="spellEnd"/>
      <w:r w:rsidRPr="00491A08">
        <w:rPr>
          <w:rFonts w:asciiTheme="majorHAnsi" w:hAnsiTheme="majorHAnsi"/>
        </w:rPr>
        <w:t xml:space="preserve"> architektury úřadu</w:t>
      </w:r>
      <w:r w:rsidRPr="00491A08">
        <w:rPr>
          <w:rStyle w:val="Znakapoznpodarou"/>
          <w:rFonts w:asciiTheme="majorHAnsi" w:eastAsiaTheme="majorEastAsia" w:hAnsiTheme="majorHAnsi"/>
        </w:rPr>
        <w:footnoteReference w:id="2"/>
      </w:r>
      <w:r w:rsidRPr="00491A08">
        <w:rPr>
          <w:rFonts w:asciiTheme="majorHAnsi" w:hAnsiTheme="majorHAnsi"/>
        </w:rPr>
        <w:t xml:space="preserve"> zahrnutých do projektu nebo s ním bezprostředně souvisejících. Úkolem předkladatele je v této architektuře představit prvky řešení na všech vrstvách tzv. čtyřvrstvé vize architektury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Pr="00491A08">
        <w:rPr>
          <w:rStyle w:val="Znakapoznpodarou"/>
          <w:rFonts w:asciiTheme="majorHAnsi" w:eastAsiaTheme="majorEastAsia" w:hAnsiTheme="majorHAnsi"/>
        </w:rPr>
        <w:footnoteReference w:id="3"/>
      </w:r>
      <w:r w:rsidRPr="00491A08">
        <w:rPr>
          <w:rFonts w:asciiTheme="majorHAnsi" w:hAnsiTheme="majorHAnsi"/>
        </w:rPr>
        <w:t>, jejich stávající a plánovanou existenci a vzájemné vztahy. Zejména je potřebné uvést:</w:t>
      </w:r>
    </w:p>
    <w:p w14:paraId="3E1A7D1F" w14:textId="77777777" w:rsidR="000561A8" w:rsidRPr="00491A08" w:rsidRDefault="000561A8" w:rsidP="006A6802">
      <w:pPr>
        <w:pStyle w:val="Odstavecseseznamem"/>
        <w:spacing w:after="160" w:line="259" w:lineRule="auto"/>
        <w:jc w:val="both"/>
        <w:rPr>
          <w:rFonts w:asciiTheme="majorHAnsi" w:hAnsiTheme="majorHAnsi"/>
        </w:rPr>
      </w:pPr>
    </w:p>
    <w:p w14:paraId="193EEE19" w14:textId="37BD750A" w:rsidR="000561A8" w:rsidRPr="00491A08" w:rsidRDefault="000561A8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funkce, procesy a služby veřejné správy (externí a interní), které budou řešením podporovány</w:t>
      </w:r>
      <w:r w:rsidR="00F869D9">
        <w:rPr>
          <w:rFonts w:asciiTheme="majorHAnsi" w:hAnsiTheme="majorHAnsi"/>
        </w:rPr>
        <w:t>;</w:t>
      </w:r>
    </w:p>
    <w:p w14:paraId="1E40F4C6" w14:textId="1BBC2610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r</w:t>
      </w:r>
      <w:r w:rsidR="000561A8" w:rsidRPr="00491A08">
        <w:rPr>
          <w:rFonts w:asciiTheme="majorHAnsi" w:hAnsiTheme="majorHAnsi"/>
        </w:rPr>
        <w:t>ole uživatelů řešení a komunikační rozhraní, kterými budou klienti službu veřejné správy využívat</w:t>
      </w:r>
      <w:r>
        <w:rPr>
          <w:rFonts w:asciiTheme="majorHAnsi" w:hAnsiTheme="majorHAnsi"/>
        </w:rPr>
        <w:t>;</w:t>
      </w:r>
    </w:p>
    <w:p w14:paraId="3CFB128B" w14:textId="797AC1CF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</w:t>
      </w:r>
      <w:r w:rsidR="000561A8" w:rsidRPr="00491A08">
        <w:rPr>
          <w:rFonts w:asciiTheme="majorHAnsi" w:hAnsiTheme="majorHAnsi"/>
        </w:rPr>
        <w:t>plikační komponenty podporující služby veřejné správy, jejich základní aplikační funkce a aplikační rozhraní n</w:t>
      </w:r>
      <w:r w:rsidR="008E10EB">
        <w:rPr>
          <w:rFonts w:asciiTheme="majorHAnsi" w:hAnsiTheme="majorHAnsi"/>
        </w:rPr>
        <w:t>a ostatní komponenty (interní a </w:t>
      </w:r>
      <w:r w:rsidR="000561A8" w:rsidRPr="00491A08">
        <w:rPr>
          <w:rFonts w:asciiTheme="majorHAnsi" w:hAnsiTheme="majorHAnsi"/>
        </w:rPr>
        <w:t>externí z pohledu úřadu)</w:t>
      </w:r>
      <w:r>
        <w:rPr>
          <w:rFonts w:asciiTheme="majorHAnsi" w:hAnsiTheme="majorHAnsi"/>
        </w:rPr>
        <w:t>;</w:t>
      </w:r>
      <w:r w:rsidR="000561A8" w:rsidRPr="00491A08">
        <w:rPr>
          <w:rFonts w:asciiTheme="majorHAnsi" w:hAnsiTheme="majorHAnsi"/>
        </w:rPr>
        <w:t xml:space="preserve"> </w:t>
      </w:r>
    </w:p>
    <w:p w14:paraId="07032455" w14:textId="6D4543E1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561A8" w:rsidRPr="00491A08">
        <w:rPr>
          <w:rFonts w:asciiTheme="majorHAnsi" w:hAnsiTheme="majorHAnsi"/>
        </w:rPr>
        <w:t xml:space="preserve">echnologické komponenty a </w:t>
      </w:r>
      <w:proofErr w:type="spellStart"/>
      <w:r w:rsidR="000561A8" w:rsidRPr="00491A08">
        <w:rPr>
          <w:rFonts w:asciiTheme="majorHAnsi" w:hAnsiTheme="majorHAnsi"/>
        </w:rPr>
        <w:t>platformové</w:t>
      </w:r>
      <w:proofErr w:type="spellEnd"/>
      <w:r w:rsidR="000561A8" w:rsidRPr="00491A08">
        <w:rPr>
          <w:rFonts w:asciiTheme="majorHAnsi" w:hAnsiTheme="majorHAnsi"/>
        </w:rPr>
        <w:t xml:space="preserve"> (IT) služby datového centra využívané pro příslušné aplikační komponenty</w:t>
      </w:r>
      <w:r>
        <w:rPr>
          <w:rFonts w:asciiTheme="majorHAnsi" w:hAnsiTheme="majorHAnsi"/>
        </w:rPr>
        <w:t>;</w:t>
      </w:r>
    </w:p>
    <w:p w14:paraId="1E958F72" w14:textId="29498B87" w:rsidR="000561A8" w:rsidRPr="00491A08" w:rsidRDefault="00F869D9" w:rsidP="006A6802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t</w:t>
      </w:r>
      <w:r w:rsidR="000561A8" w:rsidRPr="00491A08">
        <w:rPr>
          <w:rFonts w:asciiTheme="majorHAnsi" w:hAnsiTheme="majorHAnsi"/>
        </w:rPr>
        <w:t>echnologické komponenty a služby komunikační infrastruktury využívané pro příslušné aplikační komponenty.</w:t>
      </w:r>
    </w:p>
    <w:p w14:paraId="6AACD597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Pozice navrhovaného řešení v kontextu strategické a aplikační architektury úřadu a navazujících subjektů veřejné správy</w:t>
      </w:r>
    </w:p>
    <w:p w14:paraId="038ADF25" w14:textId="2CAB6D26" w:rsidR="000561A8" w:rsidRPr="00491A08" w:rsidRDefault="000561A8" w:rsidP="00A4456C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Pozic</w:t>
      </w:r>
      <w:r w:rsidR="0052240D">
        <w:rPr>
          <w:rFonts w:asciiTheme="majorHAnsi" w:hAnsiTheme="majorHAnsi"/>
        </w:rPr>
        <w:t>e</w:t>
      </w:r>
      <w:r w:rsidRPr="00491A08">
        <w:rPr>
          <w:rFonts w:asciiTheme="majorHAnsi" w:hAnsiTheme="majorHAnsi"/>
        </w:rPr>
        <w:t xml:space="preserve"> (kontext) navrhovaného projektu ve strategické (celkové) architektuře úřadu, resp. resortu nebo vyššího správního celku.</w:t>
      </w:r>
    </w:p>
    <w:p w14:paraId="019F4764" w14:textId="77777777" w:rsidR="000561A8" w:rsidRPr="00491A08" w:rsidRDefault="000561A8" w:rsidP="000561A8">
      <w:pPr>
        <w:pStyle w:val="Odstavecseseznamem"/>
        <w:spacing w:after="160" w:line="259" w:lineRule="auto"/>
        <w:rPr>
          <w:rFonts w:asciiTheme="majorHAnsi" w:hAnsiTheme="majorHAnsi"/>
        </w:rPr>
      </w:pPr>
    </w:p>
    <w:p w14:paraId="56827C9A" w14:textId="3AA4A54D" w:rsidR="000561A8" w:rsidRPr="00491A08" w:rsidRDefault="000561A8" w:rsidP="000561A8">
      <w:pPr>
        <w:pStyle w:val="Odstavecseseznamem"/>
        <w:numPr>
          <w:ilvl w:val="1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lastRenderedPageBreak/>
        <w:t xml:space="preserve">Pro kontext úřadu je nutné na každé z vrstev architektury umístit prvky architektury, zahrnuté do projektu, do celkové mapy příslušné vrstvy architektury úřadu a ukázat souvislosti. Například jak souvisí implementovaná služba s ostatními službami úřadu, jak nová služba využívá sdílené komunikační kanály úřadu (přepážky, </w:t>
      </w:r>
      <w:proofErr w:type="spellStart"/>
      <w:r w:rsidRPr="00491A08">
        <w:rPr>
          <w:rFonts w:asciiTheme="majorHAnsi" w:hAnsiTheme="majorHAnsi"/>
        </w:rPr>
        <w:t>CzechPOINT</w:t>
      </w:r>
      <w:proofErr w:type="spellEnd"/>
      <w:r w:rsidRPr="00491A08">
        <w:rPr>
          <w:rFonts w:asciiTheme="majorHAnsi" w:hAnsiTheme="majorHAnsi"/>
        </w:rPr>
        <w:t>, portál apod.), zda nově implementovaná aplikační komponenta je první svého druhu v úřadu nebo zda vzniká duplicita, multiplicita (dosud chybně často v případě spisových služeb, portálů, analytických nástrojů apod.).</w:t>
      </w:r>
    </w:p>
    <w:p w14:paraId="66F2FF67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 xml:space="preserve">Způsob využití sdílených prvků architektury úřadu a </w:t>
      </w:r>
      <w:proofErr w:type="spellStart"/>
      <w:r w:rsidRPr="00491A08">
        <w:rPr>
          <w:rFonts w:cs="Arial"/>
        </w:rPr>
        <w:t>eGovernmentu</w:t>
      </w:r>
      <w:proofErr w:type="spellEnd"/>
    </w:p>
    <w:p w14:paraId="133D0776" w14:textId="749BF32D" w:rsidR="00DD548D" w:rsidRDefault="006A6802" w:rsidP="001A6BC9">
      <w:pPr>
        <w:pStyle w:val="Odstavecseseznamem"/>
        <w:numPr>
          <w:ilvl w:val="0"/>
          <w:numId w:val="25"/>
        </w:numPr>
        <w:spacing w:after="160" w:line="259" w:lineRule="auto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Pro kontext s celkem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Pr="00491A08">
        <w:rPr>
          <w:rFonts w:asciiTheme="majorHAnsi" w:hAnsiTheme="majorHAnsi"/>
        </w:rPr>
        <w:t xml:space="preserve"> je nutné demonstrovat (textem a diagramem) vztah prvků architektury projektu k</w:t>
      </w:r>
      <w:r w:rsidR="00DD548D">
        <w:rPr>
          <w:rFonts w:asciiTheme="majorHAnsi" w:hAnsiTheme="majorHAnsi"/>
        </w:rPr>
        <w:t xml:space="preserve"> relevantním </w:t>
      </w:r>
      <w:r w:rsidRPr="00491A08">
        <w:rPr>
          <w:rFonts w:asciiTheme="majorHAnsi" w:hAnsiTheme="majorHAnsi"/>
        </w:rPr>
        <w:t xml:space="preserve">centrálním a sdíleným komponentám a službám </w:t>
      </w:r>
      <w:proofErr w:type="spellStart"/>
      <w:r w:rsidRPr="00491A08">
        <w:rPr>
          <w:rFonts w:asciiTheme="majorHAnsi" w:hAnsiTheme="majorHAnsi"/>
        </w:rPr>
        <w:t>eGovernmentu</w:t>
      </w:r>
      <w:proofErr w:type="spellEnd"/>
      <w:r w:rsidR="00DD548D">
        <w:rPr>
          <w:rFonts w:asciiTheme="majorHAnsi" w:hAnsiTheme="majorHAnsi"/>
        </w:rPr>
        <w:t xml:space="preserve"> popisovaných v Národním architektonickém plánu:</w:t>
      </w:r>
    </w:p>
    <w:p w14:paraId="2753E2B4" w14:textId="77777777" w:rsidR="00DD548D" w:rsidRDefault="00DD548D" w:rsidP="008E10EB">
      <w:pPr>
        <w:pStyle w:val="Normlnweb"/>
        <w:shd w:val="clear" w:color="auto" w:fill="FFFFFF"/>
        <w:spacing w:before="0" w:beforeAutospacing="0" w:after="150" w:afterAutospacing="0"/>
        <w:ind w:left="708"/>
        <w:rPr>
          <w:rFonts w:ascii="Helvetica" w:hAnsi="Helvetica"/>
          <w:color w:val="333333"/>
          <w:sz w:val="21"/>
          <w:szCs w:val="21"/>
        </w:rPr>
      </w:pPr>
      <w:r>
        <w:rPr>
          <w:rStyle w:val="Siln"/>
          <w:rFonts w:ascii="Helvetica" w:hAnsi="Helvetica"/>
          <w:color w:val="333333"/>
          <w:sz w:val="21"/>
          <w:szCs w:val="21"/>
        </w:rPr>
        <w:t>Tematické oblasti</w:t>
      </w:r>
    </w:p>
    <w:p w14:paraId="582CED01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3" w:anchor="pravidla_pro_agendovy_model_verejne_spravy" w:tooltip="nap-dokument:pravidla_pro_funkcni_celky_architektury_jednotlivych_uradu" w:history="1"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Agendový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model veřejné správy</w:t>
        </w:r>
      </w:hyperlink>
    </w:p>
    <w:p w14:paraId="4E8D227E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4" w:anchor="pravidla_pro_identifikaci_klientu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Identifikace klientů veřejné správy</w:t>
        </w:r>
      </w:hyperlink>
    </w:p>
    <w:p w14:paraId="17712187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5" w:anchor="pravidla_pro_propojeny_datovy_fond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Propojený datový fond - PPDF</w:t>
        </w:r>
      </w:hyperlink>
    </w:p>
    <w:p w14:paraId="6A200524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6" w:anchor="pravidla_pro_verejny_datovy_fond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Veřejný datový fond ČR - VDF</w:t>
        </w:r>
      </w:hyperlink>
    </w:p>
    <w:p w14:paraId="697232C2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7" w:anchor="pravidla_pro_evidenci_subjekt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Evidence subjektů</w:t>
        </w:r>
      </w:hyperlink>
    </w:p>
    <w:p w14:paraId="5D121FE8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8" w:anchor="pravidla_pro_prostorova_data_a_sluzby_nad_prostorovymi_dat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Prostorová data</w:t>
        </w:r>
      </w:hyperlink>
    </w:p>
    <w:p w14:paraId="1B5EE28C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19" w:anchor="pravidla_pro_uplne_elektronicke_podan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Úplné elektronické podání - ÚEP</w:t>
        </w:r>
      </w:hyperlink>
    </w:p>
    <w:p w14:paraId="2225D17A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0" w:anchor="pravidla_pro_integraci_informacnich_system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Integrace informačních systémů</w:t>
        </w:r>
      </w:hyperlink>
    </w:p>
    <w:p w14:paraId="1FE20D23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1" w:anchor="pravidla_pro_portaly_verejne_spravy_a_soukromopravnich_uzivatelu_udaj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Portály veřejné správy a soukromoprávních uživatelů údajů</w:t>
        </w:r>
      </w:hyperlink>
    </w:p>
    <w:p w14:paraId="3E1ECD0F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2" w:anchor="pravidla_pro_pristupnost_informac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Přístupnost informací</w:t>
        </w:r>
      </w:hyperlink>
    </w:p>
    <w:p w14:paraId="3EAD8E05" w14:textId="77777777" w:rsidR="00DD548D" w:rsidRPr="008E10EB" w:rsidRDefault="00944B6D" w:rsidP="008E10EB">
      <w:pPr>
        <w:numPr>
          <w:ilvl w:val="0"/>
          <w:numId w:val="32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3" w:anchor="pravidla_pro_elektronickou_fakturac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Elektronická fakturace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eFaktura</w:t>
        </w:r>
        <w:proofErr w:type="spellEnd"/>
      </w:hyperlink>
    </w:p>
    <w:p w14:paraId="232E19EE" w14:textId="77777777" w:rsidR="00DD548D" w:rsidRPr="008E10EB" w:rsidRDefault="00DD548D" w:rsidP="008E10EB">
      <w:pPr>
        <w:pStyle w:val="Normlnweb"/>
        <w:shd w:val="clear" w:color="auto" w:fill="FFFFFF"/>
        <w:spacing w:before="0" w:beforeAutospacing="0" w:after="150" w:afterAutospacing="0"/>
        <w:ind w:left="708"/>
        <w:rPr>
          <w:rFonts w:asciiTheme="majorHAnsi" w:hAnsiTheme="majorHAnsi"/>
          <w:color w:val="333333"/>
          <w:szCs w:val="21"/>
        </w:rPr>
      </w:pPr>
      <w:r w:rsidRPr="008E10EB">
        <w:rPr>
          <w:rStyle w:val="Siln"/>
          <w:rFonts w:asciiTheme="majorHAnsi" w:hAnsiTheme="majorHAnsi"/>
          <w:color w:val="333333"/>
          <w:szCs w:val="21"/>
        </w:rPr>
        <w:t>Sdílené služby a </w:t>
      </w:r>
      <w:hyperlink r:id="rId24" w:tooltip="funkcni_celek" w:history="1">
        <w:r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funkční celky</w:t>
        </w:r>
      </w:hyperlink>
    </w:p>
    <w:p w14:paraId="3AA57735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5" w:anchor="pravidla_pro_portal_obcana_a_portal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Portál občana a portál veřejné správy - PO, PVS</w:t>
        </w:r>
      </w:hyperlink>
    </w:p>
    <w:p w14:paraId="78DB0B7C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6" w:anchor="pravidla_pro_narodni_identitni_autorit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Národní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identitní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autorita – NIA</w:t>
        </w:r>
      </w:hyperlink>
    </w:p>
    <w:p w14:paraId="06548F15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7" w:anchor="pravidla_pro_referencni_rozhran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Referenční rozhraní veřejné správy - ZR, ISZR,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eGSB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/ISSS, FAIS</w:t>
        </w:r>
      </w:hyperlink>
    </w:p>
    <w:p w14:paraId="7501D5FE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8" w:anchor="pravidla_pro_univerzalni_kontaktni_misto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Univerzální kontaktní místo veřejné správy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CzechPOINT</w:t>
        </w:r>
        <w:proofErr w:type="spellEnd"/>
      </w:hyperlink>
    </w:p>
    <w:p w14:paraId="627B6868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29" w:anchor="pravidla_pro_system_spravy_dokument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Systém správy dokumentů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eSSL</w:t>
        </w:r>
        <w:proofErr w:type="spellEnd"/>
      </w:hyperlink>
    </w:p>
    <w:p w14:paraId="336156CB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0" w:anchor="pravidla_pro_systemy_a_sluzby_spojene_s_pravnim_radem_a_legislativo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Systémy a služby spojené s právním řádem a legislativou -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eSeL</w:t>
        </w:r>
        <w:proofErr w:type="spellEnd"/>
      </w:hyperlink>
    </w:p>
    <w:p w14:paraId="384B6AA3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1" w:anchor="pravidla_pro_elektronicke_ukony_a_dorucovan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Elektronické úkony a doručování - Datové schránky</w:t>
        </w:r>
      </w:hyperlink>
    </w:p>
    <w:p w14:paraId="4046AE3B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2" w:anchor="pravidla_pro_jednotny_identitni_prostor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Jednotný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identitní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prostor veřejné správy – JIP/KAAS</w:t>
        </w:r>
      </w:hyperlink>
    </w:p>
    <w:p w14:paraId="7296DE0E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3" w:anchor="pravidla_pro_jednotne_obsluzne_kanaly_a_uzivatelska_rozhrani_uredniku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Jednotné obslužné kanály a uživatelská rozhraní úředníků</w:t>
        </w:r>
      </w:hyperlink>
    </w:p>
    <w:p w14:paraId="20D1AA03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4" w:anchor="pravidla_pro_sdilene_sluzby_inspire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Sdílené služby INSPIRE</w:t>
        </w:r>
      </w:hyperlink>
    </w:p>
    <w:p w14:paraId="2673F05C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5" w:anchor="pravidla_pro_sdilene_agendove_is_v_prenesene_pusobnosti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Sdílené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agendové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IS v přenesené působnosti</w:t>
        </w:r>
      </w:hyperlink>
    </w:p>
    <w:p w14:paraId="48D8C6E6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6" w:anchor="pravidla_pro_sdilene_agendove_is_pro_samostatnou_pusobnost_uzemnich_samosprav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Sdílené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agendové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IS pro samostatnou působnost územních samospráv</w:t>
        </w:r>
      </w:hyperlink>
    </w:p>
    <w:p w14:paraId="3F53385A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7" w:anchor="pravidla_pro_sdilene_provozni_informacni_system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Sdílené provozní informační systémy</w:t>
        </w:r>
      </w:hyperlink>
    </w:p>
    <w:p w14:paraId="76A5A384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8" w:anchor="pravidla_pro_sdilene_statisticke_analyticke_a_vykaznicke_system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Sdílené statistické, analytické a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výkaznické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systémy</w:t>
        </w:r>
      </w:hyperlink>
    </w:p>
    <w:p w14:paraId="4B7F0274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39" w:anchor="pravidla_pro_egovernment_cloud" w:tooltip="nap-dokument:pravidla_pro_funkcni_celky_architektury_jednotlivych_uradu" w:history="1"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eGovernment</w:t>
        </w:r>
        <w:proofErr w:type="spellEnd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 xml:space="preserve"> </w:t>
        </w:r>
        <w:proofErr w:type="spellStart"/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Cloud</w:t>
        </w:r>
        <w:proofErr w:type="spellEnd"/>
      </w:hyperlink>
    </w:p>
    <w:p w14:paraId="628DED96" w14:textId="77777777" w:rsidR="00DD548D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color w:val="333333"/>
          <w:szCs w:val="21"/>
        </w:rPr>
      </w:pPr>
      <w:hyperlink r:id="rId40" w:anchor="pravidla_pro_narodni_datova_centra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Národní datová centra</w:t>
        </w:r>
      </w:hyperlink>
    </w:p>
    <w:p w14:paraId="345BAA32" w14:textId="74B98F36" w:rsidR="006A6802" w:rsidRPr="008E10EB" w:rsidRDefault="00944B6D" w:rsidP="008E10EB">
      <w:pPr>
        <w:numPr>
          <w:ilvl w:val="0"/>
          <w:numId w:val="33"/>
        </w:numPr>
        <w:shd w:val="clear" w:color="auto" w:fill="FFFFFF"/>
        <w:tabs>
          <w:tab w:val="clear" w:pos="720"/>
          <w:tab w:val="num" w:pos="1428"/>
        </w:tabs>
        <w:spacing w:before="100" w:beforeAutospacing="1" w:after="100" w:afterAutospacing="1"/>
        <w:ind w:left="1428"/>
        <w:rPr>
          <w:rFonts w:asciiTheme="majorHAnsi" w:hAnsiTheme="majorHAnsi"/>
          <w:b/>
          <w:sz w:val="32"/>
        </w:rPr>
      </w:pPr>
      <w:hyperlink r:id="rId41" w:anchor="pravidla_pro_komunikacni_infrastrukturu_verejne_spravy" w:tooltip="nap-dokument:pravidla_pro_funkcni_celky_architektury_jednotlivych_uradu" w:history="1">
        <w:r w:rsidR="00DD548D" w:rsidRPr="008E10EB">
          <w:rPr>
            <w:rStyle w:val="Hypertextovodkaz"/>
            <w:rFonts w:asciiTheme="majorHAnsi" w:hAnsiTheme="majorHAnsi"/>
            <w:b/>
            <w:bCs/>
            <w:color w:val="337AB7"/>
            <w:szCs w:val="21"/>
          </w:rPr>
          <w:t>Komunikační infrastruktura veřejné správy- KIVS/CMS</w:t>
        </w:r>
      </w:hyperlink>
    </w:p>
    <w:p w14:paraId="3B9D0ADE" w14:textId="77777777" w:rsidR="006A6802" w:rsidRPr="00491A08" w:rsidRDefault="006A6802" w:rsidP="006A6802">
      <w:pPr>
        <w:pStyle w:val="Odstavecseseznamem"/>
        <w:spacing w:after="160" w:line="259" w:lineRule="auto"/>
        <w:jc w:val="both"/>
        <w:rPr>
          <w:rFonts w:asciiTheme="majorHAnsi" w:hAnsiTheme="majorHAnsi"/>
        </w:rPr>
      </w:pPr>
    </w:p>
    <w:p w14:paraId="112789C3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Stanovení úrovně dodávky služeb realizovaných projektem s dodržením minimálních požadovaných standardů</w:t>
      </w:r>
    </w:p>
    <w:p w14:paraId="34DCC300" w14:textId="77777777" w:rsidR="006A6802" w:rsidRPr="00491A08" w:rsidRDefault="006A6802" w:rsidP="006A6802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Stanovení úrovně dodávky služeb jednotlivým skupinám koncových uživatelů připravovaného řešení včetně rozhraní pro příjem a poskytování dat jiným informačním systémům veřejné správy.</w:t>
      </w:r>
    </w:p>
    <w:p w14:paraId="1431A394" w14:textId="77777777" w:rsidR="00FF4677" w:rsidRPr="00491A08" w:rsidRDefault="00FF4677" w:rsidP="006A6802">
      <w:pPr>
        <w:jc w:val="both"/>
        <w:rPr>
          <w:rFonts w:asciiTheme="majorHAnsi" w:hAnsiTheme="majorHAnsi"/>
        </w:rPr>
      </w:pPr>
    </w:p>
    <w:p w14:paraId="4F5D30AB" w14:textId="77777777" w:rsidR="006A6802" w:rsidRPr="00491A08" w:rsidRDefault="006A6802" w:rsidP="006A6802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Minimálně je nutné uvést:</w:t>
      </w:r>
    </w:p>
    <w:p w14:paraId="4520EA09" w14:textId="77777777" w:rsidR="006A6802" w:rsidRPr="00491A08" w:rsidRDefault="006A6802" w:rsidP="006A6802">
      <w:pPr>
        <w:jc w:val="both"/>
        <w:rPr>
          <w:rFonts w:asciiTheme="majorHAnsi" w:hAnsiTheme="majorHAnsi"/>
        </w:rPr>
      </w:pPr>
    </w:p>
    <w:p w14:paraId="1ABF33EA" w14:textId="39FEFFD9" w:rsidR="006A6802" w:rsidRPr="00491A08" w:rsidRDefault="00727DE8" w:rsidP="006A6802">
      <w:pPr>
        <w:pStyle w:val="Odstavecseseznamem"/>
        <w:numPr>
          <w:ilvl w:val="1"/>
          <w:numId w:val="29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d</w:t>
      </w:r>
      <w:r w:rsidR="006A6802" w:rsidRPr="00491A08">
        <w:rPr>
          <w:rFonts w:asciiTheme="majorHAnsi" w:hAnsiTheme="majorHAnsi"/>
        </w:rPr>
        <w:t>ostupnost dané služby v kontextu doby, kdy je služba dostupná (např. 24x7, v pracovní dobu …)</w:t>
      </w:r>
      <w:r>
        <w:rPr>
          <w:rFonts w:asciiTheme="majorHAnsi" w:hAnsiTheme="majorHAnsi"/>
        </w:rPr>
        <w:t>,</w:t>
      </w:r>
      <w:r w:rsidR="00D13929" w:rsidRPr="00491A08">
        <w:rPr>
          <w:rFonts w:asciiTheme="majorHAnsi" w:hAnsiTheme="majorHAnsi"/>
        </w:rPr>
        <w:t xml:space="preserve"> případně vliv projektu na zlepšení tohoto parametru vůči současnému stavu</w:t>
      </w:r>
      <w:r>
        <w:rPr>
          <w:rFonts w:asciiTheme="majorHAnsi" w:hAnsiTheme="majorHAnsi"/>
        </w:rPr>
        <w:t>;</w:t>
      </w:r>
    </w:p>
    <w:p w14:paraId="343746EA" w14:textId="06C6C077" w:rsidR="006A6802" w:rsidRPr="00491A08" w:rsidRDefault="00727DE8" w:rsidP="006A6802">
      <w:pPr>
        <w:pStyle w:val="Odstavecseseznamem"/>
        <w:numPr>
          <w:ilvl w:val="1"/>
          <w:numId w:val="29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ú</w:t>
      </w:r>
      <w:r w:rsidR="006A6802" w:rsidRPr="00491A08">
        <w:rPr>
          <w:rFonts w:asciiTheme="majorHAnsi" w:hAnsiTheme="majorHAnsi"/>
        </w:rPr>
        <w:t>roveň dostupnosti služby s ohledem na skutečnou délku poskytované služby vzhledem k plánované (např. 95 %)</w:t>
      </w:r>
      <w:r>
        <w:rPr>
          <w:rFonts w:asciiTheme="majorHAnsi" w:hAnsiTheme="majorHAnsi"/>
        </w:rPr>
        <w:t>,</w:t>
      </w:r>
      <w:r w:rsidR="00D13929" w:rsidRPr="00491A08">
        <w:rPr>
          <w:rFonts w:asciiTheme="majorHAnsi" w:hAnsiTheme="majorHAnsi"/>
        </w:rPr>
        <w:t xml:space="preserve"> případně vliv projektu na zlepšení tohoto parametru vůči současnému stavu</w:t>
      </w:r>
      <w:r>
        <w:rPr>
          <w:rFonts w:asciiTheme="majorHAnsi" w:hAnsiTheme="majorHAnsi"/>
        </w:rPr>
        <w:t>;</w:t>
      </w:r>
    </w:p>
    <w:p w14:paraId="47A84D9C" w14:textId="2EDFAF1A" w:rsidR="006A6802" w:rsidRPr="00491A08" w:rsidRDefault="00727DE8" w:rsidP="006A6802">
      <w:pPr>
        <w:pStyle w:val="Odstavecseseznamem"/>
        <w:numPr>
          <w:ilvl w:val="1"/>
          <w:numId w:val="29"/>
        </w:numPr>
        <w:spacing w:after="160" w:line="259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m</w:t>
      </w:r>
      <w:r w:rsidR="006A6802" w:rsidRPr="00491A08">
        <w:rPr>
          <w:rFonts w:asciiTheme="majorHAnsi" w:hAnsiTheme="majorHAnsi"/>
        </w:rPr>
        <w:t>aximální dob</w:t>
      </w:r>
      <w:r>
        <w:rPr>
          <w:rFonts w:asciiTheme="majorHAnsi" w:hAnsiTheme="majorHAnsi"/>
        </w:rPr>
        <w:t>u</w:t>
      </w:r>
      <w:r w:rsidR="006A6802" w:rsidRPr="00491A08">
        <w:rPr>
          <w:rFonts w:asciiTheme="majorHAnsi" w:hAnsiTheme="majorHAnsi"/>
        </w:rPr>
        <w:t xml:space="preserve"> obnovení dodávky služby (za jakou maximální dobu od </w:t>
      </w:r>
      <w:r w:rsidR="00CC7CDA">
        <w:rPr>
          <w:rFonts w:asciiTheme="majorHAnsi" w:hAnsiTheme="majorHAnsi"/>
        </w:rPr>
        <w:t>počátku</w:t>
      </w:r>
      <w:r w:rsidR="006A6802" w:rsidRPr="00491A08">
        <w:rPr>
          <w:rFonts w:asciiTheme="majorHAnsi" w:hAnsiTheme="majorHAnsi"/>
        </w:rPr>
        <w:t xml:space="preserve"> výpadku služby je obnovena dodávka této služby)</w:t>
      </w:r>
      <w:r w:rsidR="00CC7CDA">
        <w:rPr>
          <w:rFonts w:asciiTheme="majorHAnsi" w:hAnsiTheme="majorHAnsi"/>
        </w:rPr>
        <w:t>,</w:t>
      </w:r>
      <w:r w:rsidR="00D13929" w:rsidRPr="00491A08">
        <w:rPr>
          <w:rFonts w:asciiTheme="majorHAnsi" w:hAnsiTheme="majorHAnsi"/>
        </w:rPr>
        <w:t xml:space="preserve"> případně vliv projektu na zlepšení tohoto parametru vůči současnému stavu</w:t>
      </w:r>
      <w:r w:rsidR="00FF4677" w:rsidRPr="00491A08">
        <w:rPr>
          <w:rFonts w:asciiTheme="majorHAnsi" w:hAnsiTheme="majorHAnsi"/>
        </w:rPr>
        <w:t>.</w:t>
      </w:r>
    </w:p>
    <w:p w14:paraId="1EB621E8" w14:textId="77777777" w:rsidR="006A6802" w:rsidRPr="00491A08" w:rsidRDefault="006A6802" w:rsidP="006A6802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Je nutné rozdělit dodávku služby prostřednictvím uživatelského rozhraní (uživatelem je člověk) a prostřednictvím komunikačních rozhraní (uživatelem je jiný informační systém)</w:t>
      </w:r>
      <w:r w:rsidR="00FF4677" w:rsidRPr="00491A08">
        <w:rPr>
          <w:rFonts w:asciiTheme="majorHAnsi" w:hAnsiTheme="majorHAnsi"/>
        </w:rPr>
        <w:t>.</w:t>
      </w:r>
    </w:p>
    <w:p w14:paraId="4C3F78A7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 xml:space="preserve">Přehled </w:t>
      </w:r>
      <w:r w:rsidR="006A6802" w:rsidRPr="00491A08">
        <w:rPr>
          <w:rFonts w:cs="Arial"/>
        </w:rPr>
        <w:t xml:space="preserve">způsobu </w:t>
      </w:r>
      <w:r w:rsidRPr="00491A08">
        <w:rPr>
          <w:rFonts w:cs="Arial"/>
        </w:rPr>
        <w:t>realizace povinných a případných dalších</w:t>
      </w:r>
      <w:r w:rsidR="006A6802" w:rsidRPr="00491A08">
        <w:rPr>
          <w:rFonts w:cs="Arial"/>
        </w:rPr>
        <w:t xml:space="preserve"> komunikačních kanálů</w:t>
      </w:r>
    </w:p>
    <w:p w14:paraId="3A04816D" w14:textId="59065974" w:rsidR="00E15E07" w:rsidRPr="00E15E07" w:rsidRDefault="006A6802" w:rsidP="00A4456C">
      <w:pPr>
        <w:spacing w:after="120"/>
        <w:jc w:val="both"/>
        <w:rPr>
          <w:rFonts w:asciiTheme="majorHAnsi" w:hAnsiTheme="majorHAnsi"/>
        </w:rPr>
      </w:pPr>
      <w:r w:rsidRPr="166873FF">
        <w:rPr>
          <w:rFonts w:asciiTheme="majorHAnsi" w:hAnsiTheme="majorHAnsi"/>
        </w:rPr>
        <w:t xml:space="preserve">Popis komunikačních kanálů pro přístup uživatelů </w:t>
      </w:r>
      <w:r w:rsidR="00E15E07" w:rsidRPr="166873FF">
        <w:rPr>
          <w:rFonts w:asciiTheme="majorHAnsi" w:hAnsiTheme="majorHAnsi"/>
        </w:rPr>
        <w:t>musí být v souladu se zákonem č.</w:t>
      </w:r>
      <w:r w:rsidR="5D05177F" w:rsidRPr="166873FF">
        <w:rPr>
          <w:rFonts w:asciiTheme="majorHAnsi" w:hAnsiTheme="majorHAnsi"/>
        </w:rPr>
        <w:t xml:space="preserve"> </w:t>
      </w:r>
      <w:r w:rsidR="00E15E07" w:rsidRPr="166873FF">
        <w:rPr>
          <w:rFonts w:asciiTheme="majorHAnsi" w:hAnsiTheme="majorHAnsi"/>
        </w:rPr>
        <w:t>12/2020 Sb., o</w:t>
      </w:r>
      <w:r w:rsidR="008E10EB" w:rsidRPr="166873FF">
        <w:rPr>
          <w:rFonts w:asciiTheme="majorHAnsi" w:hAnsiTheme="majorHAnsi"/>
        </w:rPr>
        <w:t xml:space="preserve"> právu na digitální službu, kdy</w:t>
      </w:r>
      <w:r w:rsidR="00E15E07" w:rsidRPr="166873FF">
        <w:rPr>
          <w:rFonts w:asciiTheme="majorHAnsi" w:hAnsiTheme="majorHAnsi"/>
        </w:rPr>
        <w:t xml:space="preserve"> uživatel služby má právo činit digitální úkon vůči orgánu veřejné moci prostřednictvím</w:t>
      </w:r>
      <w:r w:rsidR="00CC7CDA" w:rsidRPr="166873FF">
        <w:rPr>
          <w:rFonts w:asciiTheme="majorHAnsi" w:hAnsiTheme="majorHAnsi"/>
        </w:rPr>
        <w:t>:</w:t>
      </w:r>
    </w:p>
    <w:p w14:paraId="59E5F582" w14:textId="2004801F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své datové schránky</w:t>
      </w:r>
      <w:r w:rsidR="00665BC5">
        <w:rPr>
          <w:rFonts w:asciiTheme="majorHAnsi" w:hAnsiTheme="majorHAnsi"/>
        </w:rPr>
        <w:t>;</w:t>
      </w:r>
    </w:p>
    <w:p w14:paraId="66085DEE" w14:textId="67B3F3C9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kontaktního místa veřejné správy v případě digitálního úkonu, o kterém tak stanoví prováděcí právní předpis</w:t>
      </w:r>
      <w:r w:rsidR="00665BC5">
        <w:rPr>
          <w:rFonts w:asciiTheme="majorHAnsi" w:hAnsiTheme="majorHAnsi"/>
        </w:rPr>
        <w:t>;</w:t>
      </w:r>
    </w:p>
    <w:p w14:paraId="6A086E44" w14:textId="7D9C4DA4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lastRenderedPageBreak/>
        <w:t>sítě elektronických komunikací dokumentem podepsaným uznávaným elektronickým podpisem nebo opatřeným uznávanou elektronickou pečetí za podmínek stanovených jinými zákony</w:t>
      </w:r>
      <w:r w:rsidR="00665BC5">
        <w:rPr>
          <w:rFonts w:asciiTheme="majorHAnsi" w:hAnsiTheme="majorHAnsi"/>
        </w:rPr>
        <w:t>;</w:t>
      </w:r>
    </w:p>
    <w:p w14:paraId="607B1BBD" w14:textId="3505C0F1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informačního systému veřejné správy umožňujícího prokázání totožnosti uživatele služby s využitím elektronické identifikace</w:t>
      </w:r>
      <w:r>
        <w:rPr>
          <w:rFonts w:asciiTheme="majorHAnsi" w:hAnsiTheme="majorHAnsi"/>
        </w:rPr>
        <w:t>,</w:t>
      </w:r>
      <w:r w:rsidRPr="008E10EB">
        <w:rPr>
          <w:rFonts w:asciiTheme="majorHAnsi" w:hAnsiTheme="majorHAnsi"/>
        </w:rPr>
        <w:t xml:space="preserve"> autorizac</w:t>
      </w:r>
      <w:r w:rsidR="00CC7CDA">
        <w:rPr>
          <w:rFonts w:asciiTheme="majorHAnsi" w:hAnsiTheme="majorHAnsi"/>
        </w:rPr>
        <w:t>e</w:t>
      </w:r>
      <w:r w:rsidRPr="008E10EB">
        <w:rPr>
          <w:rFonts w:asciiTheme="majorHAnsi" w:hAnsiTheme="majorHAnsi"/>
        </w:rPr>
        <w:t xml:space="preserve"> digitálního úkonu uživatelem služby a zpětné prokázání projevu vůle uživatele služby učinit digitální úkon, nebo</w:t>
      </w:r>
    </w:p>
    <w:p w14:paraId="6DE41738" w14:textId="77777777" w:rsidR="00E15E07" w:rsidRPr="008E10EB" w:rsidRDefault="00E15E07" w:rsidP="008E10EB">
      <w:pPr>
        <w:pStyle w:val="Odstavecseseznamem"/>
        <w:numPr>
          <w:ilvl w:val="0"/>
          <w:numId w:val="25"/>
        </w:numPr>
        <w:jc w:val="both"/>
        <w:rPr>
          <w:rFonts w:asciiTheme="majorHAnsi" w:hAnsiTheme="majorHAnsi"/>
        </w:rPr>
      </w:pPr>
      <w:r w:rsidRPr="008E10EB">
        <w:rPr>
          <w:rFonts w:asciiTheme="majorHAnsi" w:hAnsiTheme="majorHAnsi"/>
        </w:rPr>
        <w:t>jiného způsobu, pokud tak stanoví právní předpis.</w:t>
      </w:r>
    </w:p>
    <w:p w14:paraId="0D7924AE" w14:textId="43138AB2" w:rsidR="00D13929" w:rsidRPr="00491A08" w:rsidRDefault="00D13929" w:rsidP="00A4456C">
      <w:pPr>
        <w:spacing w:before="120"/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V případě, že jsou vytvářeny nové sdílené komunikační kan</w:t>
      </w:r>
      <w:r w:rsidR="008E10EB">
        <w:rPr>
          <w:rFonts w:asciiTheme="majorHAnsi" w:hAnsiTheme="majorHAnsi"/>
        </w:rPr>
        <w:t>ály, pak jejich popis, přínos a </w:t>
      </w:r>
      <w:r w:rsidRPr="00491A08">
        <w:rPr>
          <w:rFonts w:asciiTheme="majorHAnsi" w:hAnsiTheme="majorHAnsi"/>
        </w:rPr>
        <w:t>předpokládané využití.</w:t>
      </w:r>
    </w:p>
    <w:p w14:paraId="102B4786" w14:textId="77777777" w:rsidR="00094F26" w:rsidRPr="00491A08" w:rsidRDefault="00A621CF" w:rsidP="00094F26">
      <w:pPr>
        <w:pStyle w:val="Nadpis1"/>
        <w:spacing w:after="240" w:line="276" w:lineRule="auto"/>
        <w:jc w:val="both"/>
        <w:rPr>
          <w:rFonts w:cs="Arial"/>
        </w:rPr>
      </w:pPr>
      <w:r w:rsidRPr="00491A08">
        <w:rPr>
          <w:rFonts w:cs="Arial"/>
        </w:rPr>
        <w:t>Popis následné technické a technologické podpory realizovaného řešení</w:t>
      </w:r>
      <w:r w:rsidR="002965FF" w:rsidRPr="00491A08">
        <w:rPr>
          <w:rFonts w:cs="Arial"/>
        </w:rPr>
        <w:t xml:space="preserve"> a způsobu jejího zajištění</w:t>
      </w:r>
    </w:p>
    <w:p w14:paraId="67639567" w14:textId="77777777" w:rsidR="002965FF" w:rsidRPr="00491A08" w:rsidRDefault="002965FF" w:rsidP="002965FF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Uvádí popis realizace technické a technologické podpory realizovaného řešení. Zvláště uvádí realizaci předpokládané dostupnosti a podpory úrovně dostupnosti služeb dle zvoleného modelu dostupnosti služeb.</w:t>
      </w:r>
    </w:p>
    <w:p w14:paraId="72677352" w14:textId="77777777" w:rsidR="002965FF" w:rsidRPr="00491A08" w:rsidRDefault="002965FF" w:rsidP="002965FF">
      <w:pPr>
        <w:jc w:val="both"/>
        <w:rPr>
          <w:rFonts w:asciiTheme="majorHAnsi" w:hAnsiTheme="majorHAnsi"/>
        </w:rPr>
      </w:pPr>
    </w:p>
    <w:p w14:paraId="05C00801" w14:textId="5453FFEE" w:rsidR="002965FF" w:rsidRPr="00491A08" w:rsidRDefault="002965FF" w:rsidP="002965FF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 xml:space="preserve">Musí být uvedena vazba na dodržení požadavků </w:t>
      </w:r>
      <w:r w:rsidR="00E15E07">
        <w:rPr>
          <w:rFonts w:asciiTheme="majorHAnsi" w:hAnsiTheme="majorHAnsi"/>
        </w:rPr>
        <w:t>zákona č. 181/2014 Sb., o</w:t>
      </w:r>
      <w:r w:rsidRPr="00491A08">
        <w:rPr>
          <w:rFonts w:asciiTheme="majorHAnsi" w:hAnsiTheme="majorHAnsi"/>
        </w:rPr>
        <w:t xml:space="preserve"> kybernetické bezpečnosti</w:t>
      </w:r>
      <w:r w:rsidR="00CC7CDA">
        <w:rPr>
          <w:rFonts w:asciiTheme="majorHAnsi" w:hAnsiTheme="majorHAnsi"/>
        </w:rPr>
        <w:t>,</w:t>
      </w:r>
      <w:r w:rsidRPr="00491A08">
        <w:rPr>
          <w:rFonts w:asciiTheme="majorHAnsi" w:hAnsiTheme="majorHAnsi"/>
        </w:rPr>
        <w:t xml:space="preserve"> a vyhlášky </w:t>
      </w:r>
      <w:r w:rsidR="00E15E07">
        <w:rPr>
          <w:rFonts w:asciiTheme="majorHAnsi" w:hAnsiTheme="majorHAnsi"/>
        </w:rPr>
        <w:t xml:space="preserve">č. 82/2018 Sb. </w:t>
      </w:r>
      <w:r w:rsidRPr="00491A08">
        <w:rPr>
          <w:rFonts w:asciiTheme="majorHAnsi" w:hAnsiTheme="majorHAnsi"/>
        </w:rPr>
        <w:t>během provozu.</w:t>
      </w:r>
    </w:p>
    <w:p w14:paraId="32FFC18A" w14:textId="77777777" w:rsidR="002965FF" w:rsidRPr="00491A08" w:rsidRDefault="002965FF" w:rsidP="002965FF">
      <w:pPr>
        <w:jc w:val="both"/>
        <w:rPr>
          <w:rFonts w:asciiTheme="majorHAnsi" w:hAnsiTheme="majorHAnsi"/>
        </w:rPr>
      </w:pPr>
    </w:p>
    <w:p w14:paraId="18B0A74C" w14:textId="77777777" w:rsidR="002965FF" w:rsidRPr="00491A08" w:rsidRDefault="002965FF" w:rsidP="002965FF">
      <w:pPr>
        <w:jc w:val="both"/>
        <w:rPr>
          <w:rFonts w:asciiTheme="majorHAnsi" w:hAnsiTheme="majorHAnsi"/>
        </w:rPr>
      </w:pPr>
      <w:r w:rsidRPr="00491A08">
        <w:rPr>
          <w:rFonts w:asciiTheme="majorHAnsi" w:hAnsiTheme="majorHAnsi"/>
        </w:rPr>
        <w:t>Musí být uvedena exit strategie při ukončení doby udržitelnosti či případného ukončení smlouvy o podpoře dodaného díla.</w:t>
      </w:r>
    </w:p>
    <w:p w14:paraId="4C0ED21F" w14:textId="77777777" w:rsidR="00A621CF" w:rsidRPr="00491A08" w:rsidRDefault="00A621CF" w:rsidP="00094F26">
      <w:pPr>
        <w:pStyle w:val="Nadpis1"/>
        <w:spacing w:after="240" w:line="276" w:lineRule="auto"/>
        <w:jc w:val="both"/>
        <w:rPr>
          <w:rFonts w:cs="Arial"/>
          <w:b w:val="0"/>
          <w:bCs w:val="0"/>
        </w:rPr>
      </w:pPr>
      <w:r w:rsidRPr="00491A08">
        <w:rPr>
          <w:rFonts w:cs="Arial"/>
        </w:rPr>
        <w:t>Doporučený přístup k modelování</w:t>
      </w:r>
    </w:p>
    <w:p w14:paraId="6F9FBBFC" w14:textId="5F3C2638" w:rsidR="002965FF" w:rsidRPr="00565405" w:rsidRDefault="002965FF" w:rsidP="002965FF">
      <w:pPr>
        <w:jc w:val="both"/>
        <w:rPr>
          <w:rFonts w:asciiTheme="majorHAnsi" w:hAnsiTheme="majorHAnsi"/>
        </w:rPr>
      </w:pPr>
      <w:r w:rsidRPr="00565405">
        <w:rPr>
          <w:rFonts w:asciiTheme="majorHAnsi" w:hAnsiTheme="majorHAnsi"/>
        </w:rPr>
        <w:t xml:space="preserve">Pro modelování v jazyce </w:t>
      </w:r>
      <w:proofErr w:type="spellStart"/>
      <w:r w:rsidRPr="00565405">
        <w:rPr>
          <w:rFonts w:asciiTheme="majorHAnsi" w:hAnsiTheme="majorHAnsi"/>
        </w:rPr>
        <w:t>Archimate</w:t>
      </w:r>
      <w:proofErr w:type="spellEnd"/>
      <w:r w:rsidRPr="00565405">
        <w:rPr>
          <w:rFonts w:asciiTheme="majorHAnsi" w:hAnsiTheme="majorHAnsi"/>
        </w:rPr>
        <w:t xml:space="preserve"> MV OHA využívá bezplatný nástroj </w:t>
      </w:r>
      <w:proofErr w:type="spellStart"/>
      <w:r w:rsidRPr="00565405">
        <w:rPr>
          <w:rFonts w:asciiTheme="majorHAnsi" w:hAnsiTheme="majorHAnsi"/>
        </w:rPr>
        <w:t>Archi</w:t>
      </w:r>
      <w:proofErr w:type="spellEnd"/>
      <w:r w:rsidRPr="00565405">
        <w:rPr>
          <w:rFonts w:asciiTheme="majorHAnsi" w:hAnsiTheme="majorHAnsi"/>
        </w:rPr>
        <w:t>, dostupný z</w:t>
      </w:r>
      <w:r w:rsidR="008E10EB" w:rsidRPr="00565405">
        <w:rPr>
          <w:rFonts w:asciiTheme="majorHAnsi" w:hAnsiTheme="majorHAnsi"/>
        </w:rPr>
        <w:t> </w:t>
      </w:r>
      <w:r w:rsidRPr="00565405">
        <w:rPr>
          <w:rFonts w:asciiTheme="majorHAnsi" w:hAnsiTheme="majorHAnsi"/>
        </w:rPr>
        <w:t>adresy</w:t>
      </w:r>
      <w:r w:rsidR="008E10EB" w:rsidRPr="00565405">
        <w:rPr>
          <w:rFonts w:asciiTheme="majorHAnsi" w:hAnsiTheme="majorHAnsi"/>
        </w:rPr>
        <w:t xml:space="preserve"> </w:t>
      </w:r>
      <w:hyperlink r:id="rId42" w:history="1">
        <w:r w:rsidR="008E10EB" w:rsidRPr="00565405">
          <w:rPr>
            <w:rStyle w:val="Hypertextovodkaz"/>
            <w:rFonts w:asciiTheme="majorHAnsi" w:hAnsiTheme="majorHAnsi"/>
          </w:rPr>
          <w:t>http://www.archimatetool.com/</w:t>
        </w:r>
      </w:hyperlink>
      <w:r w:rsidRPr="00565405">
        <w:rPr>
          <w:rFonts w:asciiTheme="majorHAnsi" w:hAnsiTheme="majorHAnsi"/>
        </w:rPr>
        <w:t>. Tento nástroj podporuje univerzální výměnný formát „</w:t>
      </w:r>
      <w:proofErr w:type="spellStart"/>
      <w:r w:rsidR="00A4456C">
        <w:fldChar w:fldCharType="begin"/>
      </w:r>
      <w:r w:rsidR="00A4456C">
        <w:instrText xml:space="preserve"> HYPERLINK "https://www2.opengroup.org/ogsys/catalog/S142" </w:instrText>
      </w:r>
      <w:r w:rsidR="00A4456C">
        <w:fldChar w:fldCharType="separate"/>
      </w:r>
      <w:r w:rsidRPr="00565405">
        <w:rPr>
          <w:rStyle w:val="Hypertextovodkaz"/>
          <w:rFonts w:asciiTheme="majorHAnsi" w:eastAsiaTheme="majorEastAsia" w:hAnsiTheme="majorHAnsi"/>
        </w:rPr>
        <w:t>ArchiMate</w:t>
      </w:r>
      <w:proofErr w:type="spellEnd"/>
      <w:r w:rsidRPr="00565405">
        <w:rPr>
          <w:rStyle w:val="Hypertextovodkaz"/>
          <w:rFonts w:asciiTheme="majorHAnsi" w:eastAsiaTheme="majorEastAsia" w:hAnsiTheme="majorHAnsi"/>
        </w:rPr>
        <w:t xml:space="preserve"> Model Exchange </w:t>
      </w:r>
      <w:proofErr w:type="spellStart"/>
      <w:r w:rsidRPr="00565405">
        <w:rPr>
          <w:rStyle w:val="Hypertextovodkaz"/>
          <w:rFonts w:asciiTheme="majorHAnsi" w:eastAsiaTheme="majorEastAsia" w:hAnsiTheme="majorHAnsi"/>
        </w:rPr>
        <w:t>File</w:t>
      </w:r>
      <w:proofErr w:type="spellEnd"/>
      <w:r w:rsidRPr="00565405">
        <w:rPr>
          <w:rStyle w:val="Hypertextovodkaz"/>
          <w:rFonts w:asciiTheme="majorHAnsi" w:eastAsiaTheme="majorEastAsia" w:hAnsiTheme="majorHAnsi"/>
        </w:rPr>
        <w:t xml:space="preserve"> </w:t>
      </w:r>
      <w:proofErr w:type="spellStart"/>
      <w:r w:rsidRPr="00565405">
        <w:rPr>
          <w:rStyle w:val="Hypertextovodkaz"/>
          <w:rFonts w:asciiTheme="majorHAnsi" w:eastAsiaTheme="majorEastAsia" w:hAnsiTheme="majorHAnsi"/>
        </w:rPr>
        <w:t>Format</w:t>
      </w:r>
      <w:proofErr w:type="spellEnd"/>
      <w:r w:rsidR="00A4456C">
        <w:rPr>
          <w:rStyle w:val="Hypertextovodkaz"/>
          <w:rFonts w:asciiTheme="majorHAnsi" w:eastAsiaTheme="majorEastAsia" w:hAnsiTheme="majorHAnsi"/>
        </w:rPr>
        <w:fldChar w:fldCharType="end"/>
      </w:r>
      <w:r w:rsidRPr="00565405">
        <w:rPr>
          <w:rFonts w:asciiTheme="majorHAnsi" w:hAnsiTheme="majorHAnsi"/>
        </w:rPr>
        <w:t>“</w:t>
      </w:r>
      <w:r w:rsidR="004A3B2D">
        <w:rPr>
          <w:rFonts w:asciiTheme="majorHAnsi" w:hAnsiTheme="majorHAnsi"/>
        </w:rPr>
        <w:t>.</w:t>
      </w:r>
    </w:p>
    <w:p w14:paraId="5DFBB2BF" w14:textId="77777777" w:rsidR="00A621CF" w:rsidRPr="00491A08" w:rsidRDefault="00A621CF" w:rsidP="006F2634">
      <w:pPr>
        <w:rPr>
          <w:rFonts w:asciiTheme="majorHAnsi" w:hAnsiTheme="majorHAnsi"/>
        </w:rPr>
      </w:pPr>
    </w:p>
    <w:sectPr w:rsidR="00A621CF" w:rsidRPr="00491A08">
      <w:headerReference w:type="default" r:id="rId43"/>
      <w:footerReference w:type="default" r:id="rId4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AC444" w14:textId="77777777" w:rsidR="00757430" w:rsidRDefault="00757430" w:rsidP="00634381">
      <w:r>
        <w:separator/>
      </w:r>
    </w:p>
  </w:endnote>
  <w:endnote w:type="continuationSeparator" w:id="0">
    <w:p w14:paraId="5735145F" w14:textId="77777777" w:rsidR="00757430" w:rsidRDefault="00757430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34DFCA31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5D3854" w14:textId="77777777"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246CCA1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124F55B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1E59F18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1153003" w14:textId="03A7B930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44B6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44B6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5C913F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0D45C5" w14:textId="77777777" w:rsidR="00757430" w:rsidRDefault="00757430" w:rsidP="00634381">
      <w:r>
        <w:separator/>
      </w:r>
    </w:p>
  </w:footnote>
  <w:footnote w:type="continuationSeparator" w:id="0">
    <w:p w14:paraId="56ACB1D6" w14:textId="77777777" w:rsidR="00757430" w:rsidRDefault="00757430" w:rsidP="00634381">
      <w:r>
        <w:continuationSeparator/>
      </w:r>
    </w:p>
  </w:footnote>
  <w:footnote w:id="1">
    <w:p w14:paraId="4266356C" w14:textId="408DE477" w:rsidR="00470F82" w:rsidRDefault="00470F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E8558E">
          <w:rPr>
            <w:rStyle w:val="Hypertextovodkaz"/>
          </w:rPr>
          <w:t>https://archi.gov.cz/slovnik_egov</w:t>
        </w:r>
      </w:hyperlink>
    </w:p>
  </w:footnote>
  <w:footnote w:id="2">
    <w:p w14:paraId="366EAE52" w14:textId="77777777" w:rsidR="000561A8" w:rsidRDefault="000561A8" w:rsidP="000561A8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Z angl. </w:t>
      </w:r>
      <w:proofErr w:type="spellStart"/>
      <w:r>
        <w:t>orig</w:t>
      </w:r>
      <w:proofErr w:type="spellEnd"/>
      <w:r>
        <w:t>. „</w:t>
      </w:r>
      <w:proofErr w:type="spellStart"/>
      <w:r>
        <w:t>Enterprise</w:t>
      </w:r>
      <w:proofErr w:type="spellEnd"/>
      <w:r>
        <w:t xml:space="preserve"> </w:t>
      </w:r>
      <w:proofErr w:type="spellStart"/>
      <w:r>
        <w:t>Architeture</w:t>
      </w:r>
      <w:proofErr w:type="spellEnd"/>
      <w:r>
        <w:t>“</w:t>
      </w:r>
    </w:p>
  </w:footnote>
  <w:footnote w:id="3">
    <w:p w14:paraId="0D7D8E80" w14:textId="063415E7" w:rsidR="00944B6D" w:rsidRPr="00470F82" w:rsidRDefault="000561A8" w:rsidP="000561A8">
      <w:pPr>
        <w:pStyle w:val="Textpoznpodarou"/>
        <w:rPr>
          <w:color w:val="0000FF"/>
          <w:u w:val="single"/>
        </w:rPr>
      </w:pPr>
      <w:r>
        <w:rPr>
          <w:rStyle w:val="Znakapoznpodarou"/>
          <w:rFonts w:eastAsiaTheme="majorEastAsia"/>
        </w:rPr>
        <w:footnoteRef/>
      </w:r>
      <w:r>
        <w:t xml:space="preserve"> Viz</w:t>
      </w:r>
      <w:r w:rsidR="00DD548D" w:rsidDel="00DD548D">
        <w:t xml:space="preserve"> </w:t>
      </w:r>
      <w:r w:rsidR="00DD548D">
        <w:t xml:space="preserve">Národní architektonický plán </w:t>
      </w:r>
      <w:hyperlink r:id="rId2" w:history="1">
        <w:r w:rsidR="00944B6D" w:rsidRPr="0004095B">
          <w:rPr>
            <w:rStyle w:val="Hypertextovodkaz"/>
          </w:rPr>
          <w:t>https://archi.gov.cz/nap_dokument</w:t>
        </w:r>
      </w:hyperlink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B419E" w14:textId="77777777" w:rsidR="007C0ABF" w:rsidRDefault="166873FF" w:rsidP="00C0286A">
    <w:pPr>
      <w:pStyle w:val="Zhlav"/>
      <w:jc w:val="center"/>
    </w:pPr>
    <w:r>
      <w:rPr>
        <w:noProof/>
      </w:rPr>
      <w:drawing>
        <wp:inline distT="0" distB="0" distL="0" distR="0" wp14:anchorId="49F63751" wp14:editId="406F7002">
          <wp:extent cx="5270501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1" cy="87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E11FBE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E7FD6"/>
    <w:multiLevelType w:val="hybridMultilevel"/>
    <w:tmpl w:val="2F423C2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C5CD1"/>
    <w:multiLevelType w:val="hybridMultilevel"/>
    <w:tmpl w:val="2B94565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0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28"/>
  </w:num>
  <w:num w:numId="5">
    <w:abstractNumId w:val="6"/>
  </w:num>
  <w:num w:numId="6">
    <w:abstractNumId w:val="22"/>
  </w:num>
  <w:num w:numId="7">
    <w:abstractNumId w:val="8"/>
  </w:num>
  <w:num w:numId="8">
    <w:abstractNumId w:val="9"/>
  </w:num>
  <w:num w:numId="9">
    <w:abstractNumId w:val="17"/>
  </w:num>
  <w:num w:numId="10">
    <w:abstractNumId w:val="4"/>
  </w:num>
  <w:num w:numId="11">
    <w:abstractNumId w:val="29"/>
  </w:num>
  <w:num w:numId="12">
    <w:abstractNumId w:val="19"/>
  </w:num>
  <w:num w:numId="13">
    <w:abstractNumId w:val="8"/>
    <w:lvlOverride w:ilvl="0">
      <w:startOverride w:val="1"/>
    </w:lvlOverride>
  </w:num>
  <w:num w:numId="14">
    <w:abstractNumId w:val="23"/>
  </w:num>
  <w:num w:numId="15">
    <w:abstractNumId w:val="0"/>
  </w:num>
  <w:num w:numId="16">
    <w:abstractNumId w:val="14"/>
  </w:num>
  <w:num w:numId="17">
    <w:abstractNumId w:val="13"/>
  </w:num>
  <w:num w:numId="18">
    <w:abstractNumId w:val="30"/>
  </w:num>
  <w:num w:numId="19">
    <w:abstractNumId w:val="7"/>
  </w:num>
  <w:num w:numId="20">
    <w:abstractNumId w:val="27"/>
  </w:num>
  <w:num w:numId="21">
    <w:abstractNumId w:val="24"/>
  </w:num>
  <w:num w:numId="22">
    <w:abstractNumId w:val="5"/>
  </w:num>
  <w:num w:numId="23">
    <w:abstractNumId w:val="18"/>
  </w:num>
  <w:num w:numId="24">
    <w:abstractNumId w:val="21"/>
  </w:num>
  <w:num w:numId="25">
    <w:abstractNumId w:val="3"/>
  </w:num>
  <w:num w:numId="26">
    <w:abstractNumId w:val="16"/>
  </w:num>
  <w:num w:numId="27">
    <w:abstractNumId w:val="2"/>
  </w:num>
  <w:num w:numId="28">
    <w:abstractNumId w:val="1"/>
  </w:num>
  <w:num w:numId="29">
    <w:abstractNumId w:val="10"/>
  </w:num>
  <w:num w:numId="30">
    <w:abstractNumId w:val="20"/>
  </w:num>
  <w:num w:numId="31">
    <w:abstractNumId w:val="2"/>
  </w:num>
  <w:num w:numId="32">
    <w:abstractNumId w:val="26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37947"/>
    <w:rsid w:val="000561A8"/>
    <w:rsid w:val="00057399"/>
    <w:rsid w:val="00057C7F"/>
    <w:rsid w:val="00070FE9"/>
    <w:rsid w:val="00094CFC"/>
    <w:rsid w:val="00094F26"/>
    <w:rsid w:val="000F75B7"/>
    <w:rsid w:val="001137A6"/>
    <w:rsid w:val="00141C5B"/>
    <w:rsid w:val="00155A3F"/>
    <w:rsid w:val="0016750B"/>
    <w:rsid w:val="001707EC"/>
    <w:rsid w:val="00174CA1"/>
    <w:rsid w:val="001970B7"/>
    <w:rsid w:val="001A6BC9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36E57"/>
    <w:rsid w:val="0025243F"/>
    <w:rsid w:val="0025518E"/>
    <w:rsid w:val="002748BB"/>
    <w:rsid w:val="00286C01"/>
    <w:rsid w:val="002965FF"/>
    <w:rsid w:val="002B6138"/>
    <w:rsid w:val="002C177C"/>
    <w:rsid w:val="002D504A"/>
    <w:rsid w:val="002F102D"/>
    <w:rsid w:val="00302974"/>
    <w:rsid w:val="00304473"/>
    <w:rsid w:val="00320082"/>
    <w:rsid w:val="003229C3"/>
    <w:rsid w:val="00324CD8"/>
    <w:rsid w:val="00331484"/>
    <w:rsid w:val="0033728D"/>
    <w:rsid w:val="00346D17"/>
    <w:rsid w:val="00394986"/>
    <w:rsid w:val="003A442E"/>
    <w:rsid w:val="003A775F"/>
    <w:rsid w:val="003A7A28"/>
    <w:rsid w:val="003B4F46"/>
    <w:rsid w:val="00450777"/>
    <w:rsid w:val="00470F82"/>
    <w:rsid w:val="004743F5"/>
    <w:rsid w:val="00482EA1"/>
    <w:rsid w:val="00482F73"/>
    <w:rsid w:val="004849AE"/>
    <w:rsid w:val="00486EE4"/>
    <w:rsid w:val="00491A08"/>
    <w:rsid w:val="004A09F8"/>
    <w:rsid w:val="004A1556"/>
    <w:rsid w:val="004A323F"/>
    <w:rsid w:val="004A3B2D"/>
    <w:rsid w:val="004B7919"/>
    <w:rsid w:val="004C1F8F"/>
    <w:rsid w:val="004E73E3"/>
    <w:rsid w:val="004F0529"/>
    <w:rsid w:val="005211DB"/>
    <w:rsid w:val="0052240D"/>
    <w:rsid w:val="00526EDC"/>
    <w:rsid w:val="00556F14"/>
    <w:rsid w:val="00557677"/>
    <w:rsid w:val="0056072C"/>
    <w:rsid w:val="00565405"/>
    <w:rsid w:val="00585341"/>
    <w:rsid w:val="00596086"/>
    <w:rsid w:val="005C0065"/>
    <w:rsid w:val="005E5868"/>
    <w:rsid w:val="005E7F63"/>
    <w:rsid w:val="0060205B"/>
    <w:rsid w:val="006221F8"/>
    <w:rsid w:val="00632B48"/>
    <w:rsid w:val="00634381"/>
    <w:rsid w:val="006532D6"/>
    <w:rsid w:val="00665BC5"/>
    <w:rsid w:val="0067736D"/>
    <w:rsid w:val="006803CD"/>
    <w:rsid w:val="0069719B"/>
    <w:rsid w:val="006A6802"/>
    <w:rsid w:val="006E5C82"/>
    <w:rsid w:val="006E72F1"/>
    <w:rsid w:val="006F12FD"/>
    <w:rsid w:val="006F2634"/>
    <w:rsid w:val="00714EBA"/>
    <w:rsid w:val="00720657"/>
    <w:rsid w:val="00722201"/>
    <w:rsid w:val="00727DE8"/>
    <w:rsid w:val="00747F31"/>
    <w:rsid w:val="00751652"/>
    <w:rsid w:val="00757430"/>
    <w:rsid w:val="0076431E"/>
    <w:rsid w:val="007852CE"/>
    <w:rsid w:val="0078659D"/>
    <w:rsid w:val="00791F5D"/>
    <w:rsid w:val="007B0AC5"/>
    <w:rsid w:val="007C0AB0"/>
    <w:rsid w:val="007C0ABF"/>
    <w:rsid w:val="007C7457"/>
    <w:rsid w:val="007D0A75"/>
    <w:rsid w:val="007D5110"/>
    <w:rsid w:val="007D6374"/>
    <w:rsid w:val="007F4D16"/>
    <w:rsid w:val="00825F45"/>
    <w:rsid w:val="00844066"/>
    <w:rsid w:val="00844F3C"/>
    <w:rsid w:val="0085454E"/>
    <w:rsid w:val="00862F66"/>
    <w:rsid w:val="00863444"/>
    <w:rsid w:val="00895CD7"/>
    <w:rsid w:val="00897F18"/>
    <w:rsid w:val="008A5F96"/>
    <w:rsid w:val="008E10EB"/>
    <w:rsid w:val="008E260A"/>
    <w:rsid w:val="00900F86"/>
    <w:rsid w:val="00932786"/>
    <w:rsid w:val="009343D5"/>
    <w:rsid w:val="00944B6D"/>
    <w:rsid w:val="00950FBB"/>
    <w:rsid w:val="00952FC0"/>
    <w:rsid w:val="00955B5C"/>
    <w:rsid w:val="0096029E"/>
    <w:rsid w:val="00991CCA"/>
    <w:rsid w:val="0099617D"/>
    <w:rsid w:val="009978EC"/>
    <w:rsid w:val="009A55EE"/>
    <w:rsid w:val="009B3631"/>
    <w:rsid w:val="009C51B5"/>
    <w:rsid w:val="009D5E0D"/>
    <w:rsid w:val="009E4F57"/>
    <w:rsid w:val="00A17AC4"/>
    <w:rsid w:val="00A17C09"/>
    <w:rsid w:val="00A24831"/>
    <w:rsid w:val="00A4456C"/>
    <w:rsid w:val="00A621CF"/>
    <w:rsid w:val="00A67C37"/>
    <w:rsid w:val="00A87D82"/>
    <w:rsid w:val="00AA148C"/>
    <w:rsid w:val="00AA1736"/>
    <w:rsid w:val="00AA6E68"/>
    <w:rsid w:val="00AC4029"/>
    <w:rsid w:val="00B32019"/>
    <w:rsid w:val="00B32AB8"/>
    <w:rsid w:val="00B50158"/>
    <w:rsid w:val="00B55EB2"/>
    <w:rsid w:val="00B7197B"/>
    <w:rsid w:val="00B73D4A"/>
    <w:rsid w:val="00B8276E"/>
    <w:rsid w:val="00B91123"/>
    <w:rsid w:val="00B95D74"/>
    <w:rsid w:val="00C0286A"/>
    <w:rsid w:val="00C053B0"/>
    <w:rsid w:val="00C23F14"/>
    <w:rsid w:val="00C24C75"/>
    <w:rsid w:val="00C35431"/>
    <w:rsid w:val="00C51B61"/>
    <w:rsid w:val="00C76CC8"/>
    <w:rsid w:val="00C85696"/>
    <w:rsid w:val="00C864BF"/>
    <w:rsid w:val="00CB7E06"/>
    <w:rsid w:val="00CC21DF"/>
    <w:rsid w:val="00CC7CDA"/>
    <w:rsid w:val="00CD20E0"/>
    <w:rsid w:val="00CE5CF5"/>
    <w:rsid w:val="00CF4451"/>
    <w:rsid w:val="00CF5985"/>
    <w:rsid w:val="00D04B31"/>
    <w:rsid w:val="00D12CA6"/>
    <w:rsid w:val="00D13929"/>
    <w:rsid w:val="00D14DD0"/>
    <w:rsid w:val="00D33570"/>
    <w:rsid w:val="00D52757"/>
    <w:rsid w:val="00D77E91"/>
    <w:rsid w:val="00DA1946"/>
    <w:rsid w:val="00DA4909"/>
    <w:rsid w:val="00DA5275"/>
    <w:rsid w:val="00DA67EE"/>
    <w:rsid w:val="00DC0DD9"/>
    <w:rsid w:val="00DD548D"/>
    <w:rsid w:val="00DF0CF6"/>
    <w:rsid w:val="00DF396F"/>
    <w:rsid w:val="00E11701"/>
    <w:rsid w:val="00E15E07"/>
    <w:rsid w:val="00E20FDB"/>
    <w:rsid w:val="00E26F2F"/>
    <w:rsid w:val="00E6166B"/>
    <w:rsid w:val="00E616B5"/>
    <w:rsid w:val="00E813BC"/>
    <w:rsid w:val="00E86085"/>
    <w:rsid w:val="00E86E03"/>
    <w:rsid w:val="00E92956"/>
    <w:rsid w:val="00EB09C4"/>
    <w:rsid w:val="00EB0EA0"/>
    <w:rsid w:val="00EB4303"/>
    <w:rsid w:val="00EC190D"/>
    <w:rsid w:val="00EF6785"/>
    <w:rsid w:val="00F02008"/>
    <w:rsid w:val="00F11638"/>
    <w:rsid w:val="00F31F10"/>
    <w:rsid w:val="00F33CAB"/>
    <w:rsid w:val="00F37BA7"/>
    <w:rsid w:val="00F41FA3"/>
    <w:rsid w:val="00F45CCF"/>
    <w:rsid w:val="00F63713"/>
    <w:rsid w:val="00F70BB4"/>
    <w:rsid w:val="00F869D9"/>
    <w:rsid w:val="00FB0D2C"/>
    <w:rsid w:val="00FB59A9"/>
    <w:rsid w:val="00FF4677"/>
    <w:rsid w:val="00FF75E8"/>
    <w:rsid w:val="166873FF"/>
    <w:rsid w:val="5D051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EF2ABA5"/>
  <w15:docId w15:val="{7B92FB14-5684-4F95-92BE-D5D56B1EF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1C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D548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DD54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7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rchi.gov.cz/nap-dokument:pravidla_pro_funkcni_celky_architektury_jednotlivych_uradu" TargetMode="External"/><Relationship Id="rId18" Type="http://schemas.openxmlformats.org/officeDocument/2006/relationships/hyperlink" Target="https://archi.gov.cz/nap-dokument:pravidla_pro_funkcni_celky_architektury_jednotlivych_uradu" TargetMode="External"/><Relationship Id="rId26" Type="http://schemas.openxmlformats.org/officeDocument/2006/relationships/hyperlink" Target="https://archi.gov.cz/nap-dokument:pravidla_pro_funkcni_celky_architektury_jednotlivych_uradu" TargetMode="External"/><Relationship Id="rId39" Type="http://schemas.openxmlformats.org/officeDocument/2006/relationships/hyperlink" Target="https://archi.gov.cz/nap-dokument:pravidla_pro_funkcni_celky_architektury_jednotlivych_urad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rchi.gov.cz/nap-dokument:pravidla_pro_funkcni_celky_architektury_jednotlivych_uradu" TargetMode="External"/><Relationship Id="rId34" Type="http://schemas.openxmlformats.org/officeDocument/2006/relationships/hyperlink" Target="https://archi.gov.cz/nap-dokument:pravidla_pro_funkcni_celky_architektury_jednotlivych_uradu" TargetMode="External"/><Relationship Id="rId42" Type="http://schemas.openxmlformats.org/officeDocument/2006/relationships/hyperlink" Target="http://www.archimatetool.com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archi.gov.cz/nar_dokument" TargetMode="External"/><Relationship Id="rId17" Type="http://schemas.openxmlformats.org/officeDocument/2006/relationships/hyperlink" Target="https://archi.gov.cz/nap-dokument:pravidla_pro_funkcni_celky_architektury_jednotlivych_uradu" TargetMode="External"/><Relationship Id="rId25" Type="http://schemas.openxmlformats.org/officeDocument/2006/relationships/hyperlink" Target="https://archi.gov.cz/nap-dokument:pravidla_pro_funkcni_celky_architektury_jednotlivych_uradu" TargetMode="External"/><Relationship Id="rId33" Type="http://schemas.openxmlformats.org/officeDocument/2006/relationships/hyperlink" Target="https://archi.gov.cz/nap-dokument:pravidla_pro_funkcni_celky_architektury_jednotlivych_uradu" TargetMode="External"/><Relationship Id="rId38" Type="http://schemas.openxmlformats.org/officeDocument/2006/relationships/hyperlink" Target="https://archi.gov.cz/nap-dokument:pravidla_pro_funkcni_celky_architektury_jednotlivych_uradu" TargetMode="Externa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archi.gov.cz/nap-dokument:pravidla_pro_funkcni_celky_architektury_jednotlivych_uradu" TargetMode="External"/><Relationship Id="rId20" Type="http://schemas.openxmlformats.org/officeDocument/2006/relationships/hyperlink" Target="https://archi.gov.cz/nap-dokument:pravidla_pro_funkcni_celky_architektury_jednotlivych_uradu" TargetMode="External"/><Relationship Id="rId29" Type="http://schemas.openxmlformats.org/officeDocument/2006/relationships/hyperlink" Target="https://archi.gov.cz/nap-dokument:pravidla_pro_funkcni_celky_architektury_jednotlivych_uradu" TargetMode="External"/><Relationship Id="rId41" Type="http://schemas.openxmlformats.org/officeDocument/2006/relationships/hyperlink" Target="https://archi.gov.cz/nap-dokument:pravidla_pro_funkcni_celky_architektury_jednotlivych_urad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vcr.cz/clanek/agenda-odboru-hlavniho-architekta-egovernmentu-agenda-odboru-hlavniho-architekta-egovernmentu.aspx?q=Y2hudW09NA%3d%3d" TargetMode="External"/><Relationship Id="rId24" Type="http://schemas.openxmlformats.org/officeDocument/2006/relationships/hyperlink" Target="https://archi.gov.cz/funkcni_celek" TargetMode="External"/><Relationship Id="rId32" Type="http://schemas.openxmlformats.org/officeDocument/2006/relationships/hyperlink" Target="https://archi.gov.cz/nap-dokument:pravidla_pro_funkcni_celky_architektury_jednotlivych_uradu" TargetMode="External"/><Relationship Id="rId37" Type="http://schemas.openxmlformats.org/officeDocument/2006/relationships/hyperlink" Target="https://archi.gov.cz/nap-dokument:pravidla_pro_funkcni_celky_architektury_jednotlivych_uradu" TargetMode="External"/><Relationship Id="rId40" Type="http://schemas.openxmlformats.org/officeDocument/2006/relationships/hyperlink" Target="https://archi.gov.cz/nap-dokument:pravidla_pro_funkcni_celky_architektury_jednotlivych_uradu" TargetMode="External"/><Relationship Id="rId45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archi.gov.cz/nap-dokument:pravidla_pro_funkcni_celky_architektury_jednotlivych_uradu" TargetMode="External"/><Relationship Id="rId23" Type="http://schemas.openxmlformats.org/officeDocument/2006/relationships/hyperlink" Target="https://archi.gov.cz/nap-dokument:pravidla_pro_funkcni_celky_architektury_jednotlivych_uradu" TargetMode="External"/><Relationship Id="rId28" Type="http://schemas.openxmlformats.org/officeDocument/2006/relationships/hyperlink" Target="https://archi.gov.cz/nap-dokument:pravidla_pro_funkcni_celky_architektury_jednotlivych_uradu" TargetMode="External"/><Relationship Id="rId36" Type="http://schemas.openxmlformats.org/officeDocument/2006/relationships/hyperlink" Target="https://archi.gov.cz/nap-dokument:pravidla_pro_funkcni_celky_architektury_jednotlivych_uradu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archi.gov.cz/nap-dokument:pravidla_pro_funkcni_celky_architektury_jednotlivych_uradu" TargetMode="External"/><Relationship Id="rId31" Type="http://schemas.openxmlformats.org/officeDocument/2006/relationships/hyperlink" Target="https://archi.gov.cz/nap-dokument:pravidla_pro_funkcni_celky_architektury_jednotlivych_uradu" TargetMode="External"/><Relationship Id="rId44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chi.gov.cz/nap-dokument:pravidla_pro_funkcni_celky_architektury_jednotlivych_uradu" TargetMode="External"/><Relationship Id="rId22" Type="http://schemas.openxmlformats.org/officeDocument/2006/relationships/hyperlink" Target="https://archi.gov.cz/nap-dokument:pravidla_pro_funkcni_celky_architektury_jednotlivych_uradu" TargetMode="External"/><Relationship Id="rId27" Type="http://schemas.openxmlformats.org/officeDocument/2006/relationships/hyperlink" Target="https://archi.gov.cz/nap-dokument:pravidla_pro_funkcni_celky_architektury_jednotlivych_uradu" TargetMode="External"/><Relationship Id="rId30" Type="http://schemas.openxmlformats.org/officeDocument/2006/relationships/hyperlink" Target="https://archi.gov.cz/nap-dokument:pravidla_pro_funkcni_celky_architektury_jednotlivych_uradu" TargetMode="External"/><Relationship Id="rId35" Type="http://schemas.openxmlformats.org/officeDocument/2006/relationships/hyperlink" Target="https://archi.gov.cz/nap-dokument:pravidla_pro_funkcni_celky_architektury_jednotlivych_uradu" TargetMode="External"/><Relationship Id="rId43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rchi.gov.cz/nap_dokument" TargetMode="External"/><Relationship Id="rId1" Type="http://schemas.openxmlformats.org/officeDocument/2006/relationships/hyperlink" Target="https://archi.gov.cz/slovnik_egov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254D7-5267-4D82-9AD8-5C35282AF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8352C-13DD-444E-990D-0827BC1C5C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F5828-AE61-4421-9A5A-78D889308F57}">
  <ds:schemaRefs>
    <ds:schemaRef ds:uri="38a97ebd-7b55-4e0a-b11e-b1f20907ee6a"/>
    <ds:schemaRef ds:uri="96f83003-48fd-4f52-836f-d78a4dd9c06d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AA1646-A539-4ED0-B845-C3523FA1C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2310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Mazanik Jan</cp:lastModifiedBy>
  <cp:revision>21</cp:revision>
  <dcterms:created xsi:type="dcterms:W3CDTF">2020-06-25T12:33:00Z</dcterms:created>
  <dcterms:modified xsi:type="dcterms:W3CDTF">2021-04-21T07:29:00Z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