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D36E2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25CF503F" w14:textId="77777777" w:rsidR="00C0286A" w:rsidRPr="00B304E9" w:rsidRDefault="00C0286A" w:rsidP="00052CC2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D465A0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EF98468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355961E6" w14:textId="77777777" w:rsidR="00C0286A" w:rsidRDefault="00C0286A" w:rsidP="00C0286A"/>
    <w:p w14:paraId="410D7F69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DDDA43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7AF2310A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8B177F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14:paraId="38504305" w14:textId="77777777" w:rsidR="00840A57" w:rsidRDefault="008B177F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101</w:t>
      </w:r>
    </w:p>
    <w:p w14:paraId="7A27F05A" w14:textId="743C1794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2633E">
        <w:rPr>
          <w:rFonts w:asciiTheme="majorHAnsi" w:hAnsiTheme="majorHAnsi" w:cs="MyriadPro-Black"/>
          <w:caps/>
          <w:sz w:val="40"/>
          <w:szCs w:val="40"/>
        </w:rPr>
        <w:t>8</w:t>
      </w:r>
      <w:r w:rsidR="00575D74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14:paraId="693CAF38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81AE15E" w14:textId="77777777" w:rsidR="00C0286A" w:rsidRDefault="00750C88" w:rsidP="00DB7C1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metodická pomůcka pro způsob doložení specifických kritérií přijatelnosti pro sc 6.1 (react-eu) v oblasti energetické náročnosti budovy</w:t>
      </w:r>
    </w:p>
    <w:p w14:paraId="1A44ADD0" w14:textId="77777777" w:rsidR="00750C88" w:rsidRDefault="00750C88" w:rsidP="00DB7C11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57CCD629" w14:textId="77777777"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840B550" w14:textId="377733C2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BB55CB">
        <w:rPr>
          <w:rFonts w:asciiTheme="majorHAnsi" w:hAnsiTheme="majorHAnsi" w:cs="MyriadPro-Black"/>
          <w:caps/>
          <w:sz w:val="32"/>
          <w:szCs w:val="40"/>
        </w:rPr>
        <w:t>4</w:t>
      </w:r>
      <w:r w:rsidR="007A701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BB55CB">
        <w:rPr>
          <w:rFonts w:asciiTheme="majorHAnsi" w:hAnsiTheme="majorHAnsi" w:cs="MyriadPro-Black"/>
          <w:caps/>
          <w:sz w:val="32"/>
          <w:szCs w:val="40"/>
        </w:rPr>
        <w:t>6</w:t>
      </w:r>
      <w:r w:rsidR="007A7010">
        <w:rPr>
          <w:rFonts w:asciiTheme="majorHAnsi" w:hAnsiTheme="majorHAnsi" w:cs="MyriadPro-Black"/>
          <w:caps/>
          <w:sz w:val="32"/>
          <w:szCs w:val="40"/>
        </w:rPr>
        <w:t>. 20</w:t>
      </w:r>
      <w:r w:rsidR="00654031">
        <w:rPr>
          <w:rFonts w:asciiTheme="majorHAnsi" w:hAnsiTheme="majorHAnsi" w:cs="MyriadPro-Black"/>
          <w:caps/>
          <w:sz w:val="32"/>
          <w:szCs w:val="40"/>
        </w:rPr>
        <w:t>21</w:t>
      </w:r>
    </w:p>
    <w:p w14:paraId="1578B6C6" w14:textId="77777777" w:rsidR="002F1830" w:rsidRPr="00CD3572" w:rsidRDefault="002F1830" w:rsidP="0004708D">
      <w:pPr>
        <w:pStyle w:val="Nadpis1"/>
        <w:jc w:val="center"/>
      </w:pPr>
      <w:r w:rsidRPr="00CD3572">
        <w:lastRenderedPageBreak/>
        <w:t>Metodická pomůcka pro způsob doložení specifických kritérií přijatelnosti pro SC 6.1 (REACT-EU) v oblasti energetické náročnosti budovy</w:t>
      </w:r>
    </w:p>
    <w:p w14:paraId="5308954F" w14:textId="77777777" w:rsidR="002F1830" w:rsidRDefault="002F1830" w:rsidP="002F1830">
      <w:pPr>
        <w:jc w:val="both"/>
        <w:rPr>
          <w:b/>
        </w:rPr>
      </w:pPr>
    </w:p>
    <w:p w14:paraId="0B54C734" w14:textId="003F2756" w:rsidR="002F1830" w:rsidRPr="00CD3572" w:rsidRDefault="002F1830" w:rsidP="0004708D">
      <w:pPr>
        <w:pStyle w:val="Nadpis2"/>
      </w:pPr>
      <w:r w:rsidRPr="00CD3572">
        <w:t>Rozdělení staveb na nové budovy, změnu dokončené budovy a změnu dokončené památkově chráněné budovy</w:t>
      </w:r>
    </w:p>
    <w:p w14:paraId="4E6ABEA7" w14:textId="77777777" w:rsidR="002F1830" w:rsidRDefault="002F1830" w:rsidP="002F1830">
      <w:pPr>
        <w:jc w:val="both"/>
      </w:pPr>
      <w:r>
        <w:t>Rozdělení staveb na nové budovy a změny dokončených budov se posuzuje podle § 6, odst. 3 vyhlášky č. 264/2020 Sb., o energetické náročnosti budov.</w:t>
      </w:r>
    </w:p>
    <w:p w14:paraId="7020DF50" w14:textId="77777777" w:rsidR="002F1830" w:rsidRDefault="002F1830" w:rsidP="002F1830">
      <w:pPr>
        <w:jc w:val="both"/>
      </w:pPr>
      <w:r w:rsidRPr="00273D4D">
        <w:t>V případ</w:t>
      </w:r>
      <w:r>
        <w:t>ě</w:t>
      </w:r>
      <w:r w:rsidRPr="00273D4D">
        <w:t xml:space="preserve"> změny dokončené budovy, kdy se celková energeticky vztažná plocha rozšiřuje na nejméně dvouapůlnásobek původní celkové energeticky vztažné plochy, musí být splněny požadavky pro výstavbu nové budovy.</w:t>
      </w:r>
    </w:p>
    <w:p w14:paraId="3823E751" w14:textId="77777777" w:rsidR="002F1830" w:rsidRDefault="002F1830" w:rsidP="002F1830">
      <w:pPr>
        <w:jc w:val="both"/>
      </w:pPr>
      <w:r w:rsidRPr="00273D4D">
        <w:t xml:space="preserve">V ostatních případech musí být splněny požadavky pro </w:t>
      </w:r>
      <w:r>
        <w:t>změnu dokončené budovy.</w:t>
      </w:r>
    </w:p>
    <w:p w14:paraId="546DCD97" w14:textId="4FEF05BD" w:rsidR="002F1830" w:rsidRDefault="002F1830" w:rsidP="002F1830">
      <w:pPr>
        <w:jc w:val="both"/>
        <w:rPr>
          <w:noProof/>
        </w:rPr>
      </w:pPr>
      <w:r w:rsidRPr="00CD3572">
        <w:rPr>
          <w:noProof/>
        </w:rPr>
        <w:t>Kritéria pro změny dokončené budovy, která je památkově chráněna, se vztahuj</w:t>
      </w:r>
      <w:r w:rsidR="009B5AA8">
        <w:rPr>
          <w:noProof/>
        </w:rPr>
        <w:t>í</w:t>
      </w:r>
      <w:r w:rsidRPr="00CD3572">
        <w:rPr>
          <w:noProof/>
        </w:rPr>
        <w:t xml:space="preserve"> na budovy uvedené v zákoně č. 20/1987 Sb., o státní památkové péči,</w:t>
      </w:r>
      <w:r w:rsidR="00236FBC">
        <w:rPr>
          <w:noProof/>
        </w:rPr>
        <w:t xml:space="preserve"> ve znění pozdějších předpisů</w:t>
      </w:r>
      <w:r w:rsidRPr="00CD3572">
        <w:rPr>
          <w:noProof/>
        </w:rPr>
        <w:t>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</w:t>
      </w:r>
      <w:r>
        <w:rPr>
          <w:noProof/>
        </w:rPr>
        <w:t xml:space="preserve"> </w:t>
      </w:r>
      <w:r w:rsidRPr="00CD3572">
        <w:rPr>
          <w:noProof/>
        </w:rPr>
        <w:t>Předpokladem pro aplikaci tohoto kritéria je závazné stanovisko orgánu památkové péče omezujícího rozsah renovace a</w:t>
      </w:r>
      <w:r w:rsidR="009B5AA8">
        <w:rPr>
          <w:noProof/>
        </w:rPr>
        <w:t> </w:t>
      </w:r>
      <w:r w:rsidRPr="00CD3572">
        <w:rPr>
          <w:noProof/>
        </w:rPr>
        <w:t xml:space="preserve">nemožnost dosažení kritéria pro nepamátkově chráněné objekty. </w:t>
      </w:r>
    </w:p>
    <w:p w14:paraId="1374F86B" w14:textId="77777777" w:rsidR="002F1830" w:rsidRDefault="002F1830" w:rsidP="002F1830">
      <w:pPr>
        <w:jc w:val="both"/>
      </w:pPr>
    </w:p>
    <w:p w14:paraId="096ADD31" w14:textId="0B7737FA" w:rsidR="002F1830" w:rsidRPr="00CD3572" w:rsidRDefault="002F1830" w:rsidP="0004708D">
      <w:pPr>
        <w:pStyle w:val="Nadpis2"/>
      </w:pPr>
      <w:r w:rsidRPr="00CD3572">
        <w:t>Vysvětlení pro jednotlivá kritéria energetické náročnosti budovy</w:t>
      </w:r>
    </w:p>
    <w:p w14:paraId="63B45CBE" w14:textId="77777777" w:rsidR="002F1830" w:rsidRPr="002E43A1" w:rsidRDefault="002F1830" w:rsidP="002F1830">
      <w:pPr>
        <w:spacing w:before="360"/>
        <w:ind w:left="284"/>
        <w:jc w:val="both"/>
        <w:rPr>
          <w:b/>
        </w:rPr>
      </w:pPr>
      <w:r w:rsidRPr="00A3606F">
        <w:rPr>
          <w:b/>
        </w:rPr>
        <w:t xml:space="preserve">V případě posouzení </w:t>
      </w:r>
      <w:r w:rsidRPr="002E43A1">
        <w:rPr>
          <w:b/>
        </w:rPr>
        <w:t>nové budovy:</w:t>
      </w:r>
    </w:p>
    <w:p w14:paraId="1956CADB" w14:textId="77777777" w:rsidR="002F1830" w:rsidRDefault="002F1830" w:rsidP="002F1830">
      <w:pPr>
        <w:jc w:val="both"/>
      </w:pPr>
      <w:r>
        <w:t>Průkaz energetické náročnosti budovy (dále jen „PENB“)</w:t>
      </w:r>
      <w:r w:rsidRPr="00AC1351">
        <w:t xml:space="preserve"> </w:t>
      </w:r>
      <w:r>
        <w:t xml:space="preserve">bude zpracován pro požadavky na energetickou náročnost </w:t>
      </w:r>
      <w:r w:rsidRPr="00CD3572">
        <w:rPr>
          <w:b/>
          <w:bCs/>
        </w:rPr>
        <w:t>budovy s téměř nulovou spotřebou od 1. 1. 2022</w:t>
      </w:r>
      <w:r>
        <w:t xml:space="preserve"> dle vyhlášky č. 264/2020 Sb. Plnění požadavků se kontroluje v PENB část I – přehled plnění závazných požadavků vyhlášky a v grafické části PENB.</w:t>
      </w:r>
    </w:p>
    <w:p w14:paraId="31B0E144" w14:textId="77777777" w:rsidR="002F1830" w:rsidRPr="00A3606F" w:rsidRDefault="002F1830" w:rsidP="002F1830">
      <w:pPr>
        <w:spacing w:before="360"/>
        <w:ind w:left="284"/>
        <w:jc w:val="both"/>
        <w:rPr>
          <w:b/>
        </w:rPr>
      </w:pPr>
      <w:r w:rsidRPr="00A3606F">
        <w:rPr>
          <w:b/>
        </w:rPr>
        <w:t>V případě posouzení změny dokončené budovy, která není památkově chráněna:</w:t>
      </w:r>
    </w:p>
    <w:p w14:paraId="69BEBFE6" w14:textId="760F50D2" w:rsidR="002F1830" w:rsidRDefault="002F1830" w:rsidP="002F1830">
      <w:pPr>
        <w:jc w:val="both"/>
      </w:pPr>
      <w:r w:rsidRPr="001C5210">
        <w:rPr>
          <w:b/>
        </w:rPr>
        <w:t>Primární energie z neobnovitelných zdrojů</w:t>
      </w:r>
      <w:r>
        <w:t xml:space="preserve"> dosáhne hodnoty ≤ 0,8 x referenční hodnoty primární energie z neobnovitelných zdrojů </w:t>
      </w:r>
      <w:r w:rsidRPr="00A3606F">
        <w:t xml:space="preserve">pro dokončené budovy a jejich změny </w:t>
      </w:r>
      <w:r>
        <w:t>– hodnota se stanovuje z PENB pro stav po realizaci navržených opatření. V části I – přehled plnění závazných požadavků vyhlášky musí být hodnota primární energie z neobnovitelných zdrojů pro hodnocenou budovu nižší nebo rovna než 0,8násobek hodnoty pro referenční budovu.</w:t>
      </w:r>
    </w:p>
    <w:p w14:paraId="55D4BE5C" w14:textId="7A0ADA11" w:rsidR="002F1830" w:rsidRDefault="002F1830" w:rsidP="002F1830">
      <w:pPr>
        <w:jc w:val="both"/>
      </w:pPr>
      <w:r w:rsidRPr="003578B2">
        <w:rPr>
          <w:b/>
        </w:rPr>
        <w:t xml:space="preserve">Minimální úspora </w:t>
      </w:r>
      <w:r>
        <w:rPr>
          <w:b/>
        </w:rPr>
        <w:t xml:space="preserve">celkové </w:t>
      </w:r>
      <w:r w:rsidRPr="00A3606F">
        <w:rPr>
          <w:b/>
        </w:rPr>
        <w:t xml:space="preserve">dodané energie </w:t>
      </w:r>
      <w:r>
        <w:t xml:space="preserve">alespoň 30 % – hodnota se stanovuje rozdílem měrné celkové dodané energie hodnocené budovy pro stávající stav budovy a pro stav budovy po realizaci navržených opatření. Hodnoty </w:t>
      </w:r>
      <w:r w:rsidR="00B6652F">
        <w:t xml:space="preserve">vychází </w:t>
      </w:r>
      <w:r>
        <w:t>z P</w:t>
      </w:r>
      <w:r w:rsidR="009B5AA8">
        <w:t>E</w:t>
      </w:r>
      <w:r>
        <w:t>NB části I – přehled plnění závazných požadavků vyhlášky nebo grafické části PENB.</w:t>
      </w:r>
    </w:p>
    <w:p w14:paraId="5D97A729" w14:textId="77777777" w:rsidR="002F1830" w:rsidRDefault="002F1830" w:rsidP="002F1830">
      <w:pPr>
        <w:jc w:val="both"/>
      </w:pPr>
      <w:r w:rsidRPr="003578B2">
        <w:rPr>
          <w:b/>
        </w:rPr>
        <w:lastRenderedPageBreak/>
        <w:t xml:space="preserve">Průměrný součinitel prostupu tepla </w:t>
      </w:r>
      <w:r w:rsidRPr="003578B2">
        <w:t>U</w:t>
      </w:r>
      <w:r w:rsidRPr="003578B2">
        <w:rPr>
          <w:vertAlign w:val="subscript"/>
        </w:rPr>
        <w:t>em</w:t>
      </w:r>
      <w:r w:rsidRPr="003578B2">
        <w:t xml:space="preserve"> ≤ 0,85 x U</w:t>
      </w:r>
      <w:r w:rsidRPr="003578B2">
        <w:rPr>
          <w:vertAlign w:val="subscript"/>
        </w:rPr>
        <w:t>em,R</w:t>
      </w:r>
      <w:r>
        <w:t xml:space="preserve"> – hodnota se stanovuje z PENB pro stav po realizaci navržených opatření. V části I – přehled plnění závazných požadavků vyhlášky musí být hodnota průměrného součinitele prostupu tepla U</w:t>
      </w:r>
      <w:r w:rsidRPr="003578B2">
        <w:rPr>
          <w:vertAlign w:val="subscript"/>
        </w:rPr>
        <w:t>em</w:t>
      </w:r>
      <w:r>
        <w:t xml:space="preserve"> pro hodnocenou budovu nižší nebo rovna než 0,85násobek hodnoty pro referenční budovu</w:t>
      </w:r>
      <w:r w:rsidRPr="003578B2">
        <w:t xml:space="preserve"> U</w:t>
      </w:r>
      <w:r w:rsidRPr="003578B2">
        <w:rPr>
          <w:vertAlign w:val="subscript"/>
        </w:rPr>
        <w:t>em,R</w:t>
      </w:r>
      <w:r>
        <w:t>.</w:t>
      </w:r>
    </w:p>
    <w:p w14:paraId="1DF4C4A3" w14:textId="77777777" w:rsidR="002F1830" w:rsidRPr="00A3606F" w:rsidRDefault="002F1830" w:rsidP="002F1830">
      <w:pPr>
        <w:spacing w:before="360"/>
        <w:ind w:left="284"/>
        <w:jc w:val="both"/>
        <w:rPr>
          <w:b/>
        </w:rPr>
      </w:pPr>
      <w:r w:rsidRPr="00A3606F">
        <w:rPr>
          <w:b/>
        </w:rPr>
        <w:t>V případě posouzení změny dokončené památkově chráněné budovy:</w:t>
      </w:r>
    </w:p>
    <w:p w14:paraId="5228548A" w14:textId="77777777" w:rsidR="002F1830" w:rsidRDefault="002F1830" w:rsidP="002F1830">
      <w:pPr>
        <w:jc w:val="both"/>
      </w:pPr>
      <w:r w:rsidRPr="003578B2">
        <w:rPr>
          <w:b/>
        </w:rPr>
        <w:t xml:space="preserve">Minimální úspora </w:t>
      </w:r>
      <w:r>
        <w:rPr>
          <w:b/>
        </w:rPr>
        <w:t xml:space="preserve">celkové </w:t>
      </w:r>
      <w:r w:rsidRPr="00007062">
        <w:rPr>
          <w:b/>
        </w:rPr>
        <w:t xml:space="preserve">dodané energie </w:t>
      </w:r>
      <w:r>
        <w:t>alespoň 30 % – hodnota se stanovuje rozdílem měrné celkové dodané energie hodnocené budovy pro stávající stav budovy a pro stav budovy po realizaci navržených opatření. Hodnoty vychází z grafické části PENB nebo z části I – přehled plnění závazných požadavků vyhlášky.</w:t>
      </w:r>
    </w:p>
    <w:p w14:paraId="70401C3B" w14:textId="77777777" w:rsidR="002F1830" w:rsidRPr="002E43A1" w:rsidRDefault="002F1830" w:rsidP="002F183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007062">
        <w:rPr>
          <w:b/>
        </w:rPr>
        <w:t>Součinitel prostupu tepla jednotlivých konstrukcí</w:t>
      </w:r>
      <w:r w:rsidRPr="00007062">
        <w:t xml:space="preserve"> objektu, na něž je žádána podpora U</w:t>
      </w:r>
      <w:r w:rsidRPr="002E43A1">
        <w:rPr>
          <w:vertAlign w:val="subscript"/>
        </w:rPr>
        <w:t>i</w:t>
      </w:r>
      <w:r w:rsidRPr="00007062">
        <w:t xml:space="preserve"> ≤ 0,90 x U</w:t>
      </w:r>
      <w:r w:rsidRPr="00007062">
        <w:rPr>
          <w:vertAlign w:val="subscript"/>
        </w:rPr>
        <w:t>rec</w:t>
      </w:r>
      <w:r w:rsidRPr="00007062">
        <w:t xml:space="preserve"> </w:t>
      </w:r>
      <w:r w:rsidRPr="00331BC9">
        <w:t>dle ČSN 730540-2</w:t>
      </w:r>
      <w:r w:rsidRPr="00AD2282">
        <w:t xml:space="preserve">, která je současně </w:t>
      </w:r>
      <w:r>
        <w:t>referenční hodnotou U</w:t>
      </w:r>
      <w:r w:rsidRPr="00AD2282">
        <w:rPr>
          <w:vertAlign w:val="subscript"/>
        </w:rPr>
        <w:t>R</w:t>
      </w:r>
      <w:r>
        <w:t xml:space="preserve"> za předpokladu plnění požadavků na energetickou náročnost dle §</w:t>
      </w:r>
      <w:r w:rsidR="00B6652F">
        <w:t xml:space="preserve"> </w:t>
      </w:r>
      <w:r>
        <w:t xml:space="preserve">6 odst. 2 </w:t>
      </w:r>
      <w:r w:rsidRPr="002E43A1">
        <w:rPr>
          <w:b/>
        </w:rPr>
        <w:t xml:space="preserve">písm. c </w:t>
      </w:r>
      <w:r>
        <w:t>vyhlášky č.</w:t>
      </w:r>
      <w:r w:rsidR="00B6652F">
        <w:t xml:space="preserve"> </w:t>
      </w:r>
      <w:r>
        <w:t>264/2020 Sb. Hodnota se kontroluje primárně dle ČSN 730540-2, sekundárně v případě plnění požadavků dle §</w:t>
      </w:r>
      <w:r w:rsidR="00B6652F">
        <w:t xml:space="preserve"> </w:t>
      </w:r>
      <w:r>
        <w:t>6 odst. 2 písm. c vyhlášky č. 264/2020 Sb. dle PENB část I – přehled plnění závazných požadavků vyhlášky nebo grafické části PENB.</w:t>
      </w:r>
    </w:p>
    <w:p w14:paraId="6687E510" w14:textId="77777777" w:rsidR="002F1830" w:rsidRPr="00C1624C" w:rsidRDefault="002F1830" w:rsidP="002F1830">
      <w:pPr>
        <w:spacing w:before="360"/>
        <w:ind w:left="284"/>
        <w:jc w:val="both"/>
        <w:rPr>
          <w:b/>
        </w:rPr>
      </w:pPr>
      <w:r>
        <w:rPr>
          <w:b/>
        </w:rPr>
        <w:t>Pro posouzení kvality vnitřního prostředí pro všechny stavby:</w:t>
      </w:r>
    </w:p>
    <w:p w14:paraId="066B8ABB" w14:textId="0D5CA85A" w:rsidR="002F1830" w:rsidRDefault="002F1830" w:rsidP="002F1830">
      <w:pPr>
        <w:jc w:val="both"/>
      </w:pPr>
      <w:r w:rsidRPr="003578B2">
        <w:rPr>
          <w:b/>
        </w:rPr>
        <w:t>Zajištěna trvalá koncentrace CO</w:t>
      </w:r>
      <w:r w:rsidRPr="003578B2">
        <w:rPr>
          <w:b/>
          <w:vertAlign w:val="subscript"/>
        </w:rPr>
        <w:t>2</w:t>
      </w:r>
      <w:r w:rsidRPr="003578B2">
        <w:t xml:space="preserve"> ≤ 1500 ppm v obytných a pobytových místnostech v</w:t>
      </w:r>
      <w:r w:rsidR="00B6652F">
        <w:rPr>
          <w:sz w:val="28"/>
          <w:szCs w:val="28"/>
        </w:rPr>
        <w:t> </w:t>
      </w:r>
      <w:r w:rsidRPr="003578B2">
        <w:t>souladu s pravidlem správné praxe HK ČR r.</w:t>
      </w:r>
      <w:r w:rsidR="00B6652F">
        <w:t xml:space="preserve"> </w:t>
      </w:r>
      <w:r w:rsidRPr="003578B2">
        <w:t>č. HKCR/4/17/01 ze dne 16. 8. 2017, TPW 170 01</w:t>
      </w:r>
      <w:r>
        <w:t xml:space="preserve"> – splnění kritéria se posuzuje prohlášením autorizované osoby v oboru technika vnitřního prostředí s uvedením výpisu obytných a pobytových místností v posuzované budově a popisu zajištění konceptu větrání ve vazbě na projektovou dokumentaci a popis souladu s </w:t>
      </w:r>
      <w:r w:rsidRPr="003578B2">
        <w:t>pravidlem správné praxe HK ČR r.</w:t>
      </w:r>
      <w:r w:rsidR="00B6652F">
        <w:t xml:space="preserve"> </w:t>
      </w:r>
      <w:r w:rsidRPr="003578B2">
        <w:t>č. HKCR/4/17/01 ze dne 16. 8. 2017, TPW 170 01</w:t>
      </w:r>
      <w:r>
        <w:t>.</w:t>
      </w:r>
    </w:p>
    <w:p w14:paraId="66B5DB55" w14:textId="3C709D1A" w:rsidR="002F1830" w:rsidRPr="00E73377" w:rsidRDefault="002F1830" w:rsidP="0004708D">
      <w:pPr>
        <w:jc w:val="both"/>
        <w:rPr>
          <w:rFonts w:eastAsiaTheme="minorHAnsi"/>
          <w:lang w:eastAsia="en-US"/>
        </w:rPr>
      </w:pPr>
      <w:r w:rsidRPr="00B6652F">
        <w:rPr>
          <w:rFonts w:eastAsiaTheme="minorHAnsi"/>
          <w:b/>
          <w:bCs/>
          <w:lang w:eastAsia="en-US"/>
        </w:rPr>
        <w:t>Průvzdušnost obálky budovy</w:t>
      </w:r>
      <w:r w:rsidRPr="002F1830">
        <w:rPr>
          <w:rFonts w:eastAsiaTheme="minorHAnsi"/>
          <w:lang w:eastAsia="en-US"/>
        </w:rPr>
        <w:t xml:space="preserve"> při tlakovém rozdílu 50 Pa n</w:t>
      </w:r>
      <w:r w:rsidRPr="002F1830">
        <w:rPr>
          <w:rFonts w:eastAsiaTheme="minorHAnsi"/>
          <w:vertAlign w:val="subscript"/>
          <w:lang w:eastAsia="en-US"/>
        </w:rPr>
        <w:t>50</w:t>
      </w:r>
      <w:r w:rsidRPr="002F1830">
        <w:rPr>
          <w:rFonts w:eastAsiaTheme="minorHAnsi"/>
          <w:lang w:eastAsia="en-US"/>
        </w:rPr>
        <w:t xml:space="preserve"> ≤ 1,00 h</w:t>
      </w:r>
      <w:r w:rsidRPr="002F1830">
        <w:rPr>
          <w:rFonts w:eastAsiaTheme="minorHAnsi"/>
          <w:vertAlign w:val="superscript"/>
          <w:lang w:eastAsia="en-US"/>
        </w:rPr>
        <w:t>-1</w:t>
      </w:r>
      <w:r w:rsidRPr="002F1830">
        <w:rPr>
          <w:rFonts w:eastAsiaTheme="minorHAnsi"/>
          <w:lang w:eastAsia="en-US"/>
        </w:rPr>
        <w:t xml:space="preserve"> pro novou budovu, resp. n</w:t>
      </w:r>
      <w:r w:rsidRPr="002F1830">
        <w:rPr>
          <w:rFonts w:eastAsiaTheme="minorHAnsi"/>
          <w:vertAlign w:val="subscript"/>
          <w:lang w:eastAsia="en-US"/>
        </w:rPr>
        <w:t>50</w:t>
      </w:r>
      <w:r w:rsidRPr="002F1830">
        <w:rPr>
          <w:rFonts w:eastAsiaTheme="minorHAnsi"/>
          <w:lang w:eastAsia="en-US"/>
        </w:rPr>
        <w:t xml:space="preserve"> ≤ 1,50 h</w:t>
      </w:r>
      <w:r w:rsidRPr="002F1830">
        <w:rPr>
          <w:rFonts w:eastAsiaTheme="minorHAnsi"/>
          <w:vertAlign w:val="superscript"/>
          <w:lang w:eastAsia="en-US"/>
        </w:rPr>
        <w:t>-1</w:t>
      </w:r>
      <w:r w:rsidRPr="002F1830">
        <w:rPr>
          <w:rFonts w:eastAsiaTheme="minorHAnsi"/>
          <w:lang w:eastAsia="en-US"/>
        </w:rPr>
        <w:t xml:space="preserve"> pro změnu dokončené budovy, která není památkově chráněna – dokládá se po realizaci navržených opatření protokolem o měření průvzdušnosti obálky budovy. Měření musí být provedeno v souladu s ČSN EN ISO 9972 Tepelné chování budov </w:t>
      </w:r>
      <w:r w:rsidR="008D5C23">
        <w:t>–</w:t>
      </w:r>
      <w:r w:rsidRPr="002F1830">
        <w:rPr>
          <w:rFonts w:eastAsiaTheme="minorHAnsi"/>
          <w:lang w:eastAsia="en-US"/>
        </w:rPr>
        <w:t xml:space="preserve"> Stanovení průvzdušnosti budov </w:t>
      </w:r>
      <w:r w:rsidR="008D5C23">
        <w:t>–</w:t>
      </w:r>
      <w:r w:rsidRPr="002F1830">
        <w:rPr>
          <w:rFonts w:eastAsiaTheme="minorHAnsi"/>
          <w:lang w:eastAsia="en-US"/>
        </w:rPr>
        <w:t xml:space="preserve"> Tlaková metoda dle metody 1. K žádosti </w:t>
      </w:r>
      <w:r w:rsidR="00B6652F">
        <w:rPr>
          <w:rFonts w:eastAsiaTheme="minorHAnsi"/>
          <w:lang w:eastAsia="en-US"/>
        </w:rPr>
        <w:t xml:space="preserve">o podporu </w:t>
      </w:r>
      <w:r w:rsidRPr="002F1830">
        <w:rPr>
          <w:rFonts w:eastAsiaTheme="minorHAnsi"/>
          <w:lang w:eastAsia="en-US"/>
        </w:rPr>
        <w:t>se požadavek prokazuje pouze uvedením závazku ve stavební dokumentaci</w:t>
      </w:r>
      <w:r>
        <w:rPr>
          <w:rFonts w:eastAsiaTheme="minorHAnsi"/>
          <w:lang w:eastAsia="en-US"/>
        </w:rPr>
        <w:t>.</w:t>
      </w:r>
    </w:p>
    <w:p w14:paraId="69AC3CF2" w14:textId="36B34702" w:rsidR="002F1830" w:rsidRDefault="002F1830" w:rsidP="002F1830">
      <w:pPr>
        <w:jc w:val="both"/>
      </w:pPr>
      <w:r w:rsidRPr="00D042FD">
        <w:rPr>
          <w:b/>
        </w:rPr>
        <w:t>Nejvyšší denní teplota vzduchu v místnosti v letním období</w:t>
      </w:r>
      <w:r w:rsidRPr="003578B2">
        <w:t xml:space="preserve"> θ</w:t>
      </w:r>
      <w:r w:rsidRPr="00296647">
        <w:rPr>
          <w:vertAlign w:val="subscript"/>
        </w:rPr>
        <w:t>ai,max</w:t>
      </w:r>
      <w:r w:rsidRPr="003578B2">
        <w:t xml:space="preserve"> ≤ θ</w:t>
      </w:r>
      <w:r w:rsidRPr="00296647">
        <w:rPr>
          <w:vertAlign w:val="subscript"/>
        </w:rPr>
        <w:t xml:space="preserve">ai,max,RQ </w:t>
      </w:r>
      <w:r>
        <w:t xml:space="preserve">– </w:t>
      </w:r>
      <w:r w:rsidR="00373D79">
        <w:t>s</w:t>
      </w:r>
      <w:r>
        <w:t>tanovuje se výpočtem na základě typického způsobu užívání zohledňujícího navržený koncept větrání.</w:t>
      </w:r>
    </w:p>
    <w:p w14:paraId="0FAAED6E" w14:textId="77777777" w:rsidR="002F1830" w:rsidRDefault="002F1830" w:rsidP="002F1830">
      <w:pPr>
        <w:jc w:val="both"/>
        <w:rPr>
          <w:color w:val="8064A2" w:themeColor="accent4"/>
        </w:rPr>
      </w:pPr>
    </w:p>
    <w:p w14:paraId="2B633C73" w14:textId="27042DB2" w:rsidR="002F1830" w:rsidRPr="00CD3572" w:rsidRDefault="002F1830" w:rsidP="005F0017">
      <w:pPr>
        <w:pStyle w:val="Nadpis2"/>
      </w:pPr>
      <w:r w:rsidRPr="00CD3572">
        <w:t>Způsob zpracování průkazu energetické náročnosti budov</w:t>
      </w:r>
    </w:p>
    <w:p w14:paraId="1912D70E" w14:textId="77777777" w:rsidR="002F1830" w:rsidRDefault="002F1830" w:rsidP="002F1830">
      <w:pPr>
        <w:jc w:val="both"/>
      </w:pPr>
      <w:r>
        <w:t>Průkaz energetické náročnosti budovy bude zpracován v souladu s vyhláškou č. 264/2020 Sb. na základě a v souladu s předloženou projektovou dokumentací pro stávající stav i pro stav po realizaci navržených opatření a v souladu s typickým profilem užívání. PENB musí obsahovat evidenční číslo.</w:t>
      </w:r>
    </w:p>
    <w:p w14:paraId="02D0EE4F" w14:textId="2CFFD4A0" w:rsidR="002F1830" w:rsidRDefault="002F1830" w:rsidP="002F1830">
      <w:pPr>
        <w:jc w:val="both"/>
      </w:pPr>
      <w: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24530559" w14:textId="77777777" w:rsidR="002F1830" w:rsidRDefault="002F1830" w:rsidP="002F1830">
      <w:pPr>
        <w:jc w:val="both"/>
      </w:pPr>
    </w:p>
    <w:p w14:paraId="2000E71A" w14:textId="284E09C6" w:rsidR="002F1830" w:rsidRPr="00FC1207" w:rsidRDefault="002F1830" w:rsidP="0004708D">
      <w:pPr>
        <w:pStyle w:val="Nadpis2"/>
      </w:pPr>
      <w:r w:rsidRPr="00FC1207">
        <w:t>Náležitosti průkazu energetické náročnosti budovy v souladu s vyhláškou č.</w:t>
      </w:r>
      <w:r w:rsidR="00373D79">
        <w:t> </w:t>
      </w:r>
      <w:r w:rsidRPr="00FC1207">
        <w:t>264/2020 Sb.</w:t>
      </w:r>
    </w:p>
    <w:p w14:paraId="5DAE8AAA" w14:textId="4B4C7FA6" w:rsidR="002F1830" w:rsidRPr="00FC1207" w:rsidRDefault="002F1830" w:rsidP="002F1830">
      <w:pPr>
        <w:keepNext/>
        <w:jc w:val="both"/>
        <w:rPr>
          <w:bCs/>
          <w:u w:val="single"/>
        </w:rPr>
      </w:pPr>
      <w:r w:rsidRPr="00FC1207">
        <w:rPr>
          <w:bCs/>
          <w:u w:val="single"/>
        </w:rPr>
        <w:t xml:space="preserve">V souladu s touto vyhláškou </w:t>
      </w:r>
      <w:r w:rsidR="00373D79">
        <w:rPr>
          <w:bCs/>
          <w:u w:val="single"/>
        </w:rPr>
        <w:t>PENB</w:t>
      </w:r>
      <w:r w:rsidRPr="00FC1207">
        <w:rPr>
          <w:bCs/>
          <w:u w:val="single"/>
        </w:rPr>
        <w:t xml:space="preserve"> </w:t>
      </w:r>
      <w:r w:rsidR="00C75643">
        <w:rPr>
          <w:bCs/>
          <w:u w:val="single"/>
        </w:rPr>
        <w:t xml:space="preserve">a jeho přílohy </w:t>
      </w:r>
      <w:r w:rsidRPr="00FC1207">
        <w:rPr>
          <w:bCs/>
          <w:u w:val="single"/>
        </w:rPr>
        <w:t>musí obsahovat:</w:t>
      </w:r>
    </w:p>
    <w:p w14:paraId="0C0A7AC5" w14:textId="77870536" w:rsidR="002F1830" w:rsidRDefault="002F1830" w:rsidP="002F1830">
      <w:pPr>
        <w:pStyle w:val="Odstavecseseznamem"/>
        <w:numPr>
          <w:ilvl w:val="0"/>
          <w:numId w:val="25"/>
        </w:numPr>
        <w:spacing w:after="160" w:line="259" w:lineRule="auto"/>
        <w:jc w:val="both"/>
      </w:pPr>
      <w:r>
        <w:t>Soupis okrajových podmínek výpočtu a dosažený</w:t>
      </w:r>
      <w:r w:rsidR="00373D79">
        <w:t>ch</w:t>
      </w:r>
      <w:r>
        <w:t xml:space="preserve"> výsledků:</w:t>
      </w:r>
    </w:p>
    <w:p w14:paraId="09149756" w14:textId="6D8CC12F" w:rsidR="002F1830" w:rsidRDefault="002F1830" w:rsidP="002F1830">
      <w:pPr>
        <w:pStyle w:val="Odstavecseseznamem"/>
        <w:numPr>
          <w:ilvl w:val="1"/>
          <w:numId w:val="25"/>
        </w:numPr>
        <w:spacing w:after="160" w:line="259" w:lineRule="auto"/>
        <w:jc w:val="both"/>
      </w:pPr>
      <w:r>
        <w:t xml:space="preserve">Popis typického profilu užívání budovy uvažovaných zón – </w:t>
      </w:r>
      <w:r w:rsidR="00C75643">
        <w:t xml:space="preserve">v případě jiných než obytných zón se </w:t>
      </w:r>
      <w:r>
        <w:t>použití typických profilů užívání dle ČSN 730331-1 povoluje pouze za předpokladu, že budova není ve stávajícím stavu užívána. Typický profil užívání vychází z dat o stávajícím provozu budovy a předpokládaném provozu budovy po realizaci navržených opatření s přihlédnutím k informacím uvedeným v projektové dokumentaci.</w:t>
      </w:r>
    </w:p>
    <w:p w14:paraId="75FE6175" w14:textId="4BDC17B8" w:rsidR="002F1830" w:rsidRDefault="002F1830" w:rsidP="002F1830">
      <w:pPr>
        <w:pStyle w:val="Odstavecseseznamem"/>
        <w:numPr>
          <w:ilvl w:val="1"/>
          <w:numId w:val="25"/>
        </w:numPr>
        <w:spacing w:after="160" w:line="259" w:lineRule="auto"/>
        <w:jc w:val="both"/>
      </w:pPr>
      <w:r>
        <w:t>Schématické rozdělení budovy do výpočetních zón uvedených v</w:t>
      </w:r>
      <w:r w:rsidR="00373D79">
        <w:t> </w:t>
      </w:r>
      <w:r>
        <w:t>PENB</w:t>
      </w:r>
      <w:r w:rsidR="00373D79">
        <w:t>.</w:t>
      </w:r>
    </w:p>
    <w:p w14:paraId="3AEDAD94" w14:textId="77777777" w:rsidR="002F1830" w:rsidRDefault="002F1830" w:rsidP="002F1830">
      <w:pPr>
        <w:pStyle w:val="Odstavecseseznamem"/>
        <w:numPr>
          <w:ilvl w:val="1"/>
          <w:numId w:val="25"/>
        </w:numPr>
        <w:spacing w:after="160" w:line="259" w:lineRule="auto"/>
        <w:jc w:val="both"/>
      </w:pPr>
      <w:r>
        <w:t>Popis skladeb konstrukcí obálky budovy včetně stínících prvků a způsobu jejich ovládání</w:t>
      </w:r>
      <w:r w:rsidR="00373D79">
        <w:t>.</w:t>
      </w:r>
    </w:p>
    <w:p w14:paraId="4B28EC25" w14:textId="55191BDD" w:rsidR="002F1830" w:rsidRDefault="002F1830" w:rsidP="002F1830">
      <w:pPr>
        <w:pStyle w:val="Odstavecseseznamem"/>
        <w:numPr>
          <w:ilvl w:val="1"/>
          <w:numId w:val="25"/>
        </w:numPr>
        <w:spacing w:after="160" w:line="259" w:lineRule="auto"/>
        <w:jc w:val="both"/>
      </w:pPr>
      <w:r>
        <w:t>Popis technických systémů budovy včetně jejich způsobu regulace a ovládání a</w:t>
      </w:r>
      <w:r w:rsidR="00373D79">
        <w:t> </w:t>
      </w:r>
      <w:r>
        <w:t>vlastností rozhodných pro výpočet energetických ukazatelů budovy.</w:t>
      </w:r>
    </w:p>
    <w:p w14:paraId="7BF81810" w14:textId="3F4ED3F0" w:rsidR="002F1830" w:rsidRDefault="002F1830" w:rsidP="002F1830">
      <w:pPr>
        <w:pStyle w:val="Odstavecseseznamem"/>
        <w:numPr>
          <w:ilvl w:val="1"/>
          <w:numId w:val="25"/>
        </w:numPr>
        <w:spacing w:after="160" w:line="259" w:lineRule="auto"/>
        <w:jc w:val="both"/>
      </w:pPr>
      <w:r>
        <w:t>Popis způsobu stanovení výpoč</w:t>
      </w:r>
      <w:r w:rsidRPr="0060605B">
        <w:t>t</w:t>
      </w:r>
      <w:r>
        <w:t>u</w:t>
      </w:r>
      <w:r w:rsidRPr="0060605B">
        <w:t xml:space="preserve"> měrného tepelného toku větráním</w:t>
      </w:r>
      <w:r>
        <w:t xml:space="preserve"> v souladu s </w:t>
      </w:r>
      <w:r w:rsidR="00373D79">
        <w:t>p</w:t>
      </w:r>
      <w:r>
        <w:t>řílohou č.</w:t>
      </w:r>
      <w:r w:rsidR="00373D79">
        <w:t xml:space="preserve"> </w:t>
      </w:r>
      <w:r>
        <w:t>5 vyhlášky č. 264/2020 Sb.</w:t>
      </w:r>
    </w:p>
    <w:p w14:paraId="77C008BB" w14:textId="77777777" w:rsidR="002F1830" w:rsidRDefault="002F1830" w:rsidP="002F1830">
      <w:pPr>
        <w:pStyle w:val="Odstavecseseznamem"/>
        <w:numPr>
          <w:ilvl w:val="0"/>
          <w:numId w:val="25"/>
        </w:numPr>
        <w:spacing w:after="160" w:line="259" w:lineRule="auto"/>
        <w:jc w:val="both"/>
      </w:pPr>
      <w:r w:rsidRPr="00F040E5">
        <w:t>Protokol</w:t>
      </w:r>
      <w:r>
        <w:t xml:space="preserve"> výpočtu</w:t>
      </w:r>
      <w:r w:rsidRPr="00F040E5">
        <w:t xml:space="preserve"> součinitelů prostupu tepla konstrukcí</w:t>
      </w:r>
      <w:r>
        <w:t xml:space="preserve"> v navrženém stavu</w:t>
      </w:r>
      <w:r w:rsidRPr="00F040E5">
        <w:t xml:space="preserve">, </w:t>
      </w:r>
    </w:p>
    <w:p w14:paraId="1D1BF5EE" w14:textId="77777777" w:rsidR="002F1830" w:rsidRDefault="002F1830" w:rsidP="002F1830">
      <w:pPr>
        <w:pStyle w:val="Odstavecseseznamem"/>
        <w:numPr>
          <w:ilvl w:val="0"/>
          <w:numId w:val="25"/>
        </w:numPr>
        <w:spacing w:after="160" w:line="259" w:lineRule="auto"/>
        <w:jc w:val="both"/>
      </w:pPr>
      <w:r>
        <w:t>Protokol výpočtu měrné roční potřeby tepla na vytápění E</w:t>
      </w:r>
      <w:r w:rsidRPr="0060605B">
        <w:rPr>
          <w:vertAlign w:val="subscript"/>
        </w:rPr>
        <w:t>A</w:t>
      </w:r>
      <w:r w:rsidRPr="00F040E5">
        <w:t xml:space="preserve"> </w:t>
      </w:r>
      <w:r>
        <w:t xml:space="preserve">a na chlazení obsahující důležité vstupní údaje nezbytné pro zpětnou kontrolu výpočtu, </w:t>
      </w:r>
    </w:p>
    <w:p w14:paraId="54B67903" w14:textId="77777777" w:rsidR="002F1830" w:rsidRDefault="002F1830" w:rsidP="002F1830">
      <w:pPr>
        <w:pStyle w:val="Odstavecseseznamem"/>
        <w:numPr>
          <w:ilvl w:val="0"/>
          <w:numId w:val="25"/>
        </w:numPr>
        <w:spacing w:after="160" w:line="259" w:lineRule="auto"/>
        <w:jc w:val="both"/>
      </w:pPr>
      <w:r>
        <w:t xml:space="preserve">Protokol výpočtu primární energie z neobnovitelných zdrojů obsahující důležité vstupní údaje nezbytné pro zpětnou kontrolu výpočtu a </w:t>
      </w:r>
    </w:p>
    <w:p w14:paraId="774D41DA" w14:textId="77777777" w:rsidR="002F1830" w:rsidRDefault="002F1830" w:rsidP="002F1830">
      <w:pPr>
        <w:pStyle w:val="Odstavecseseznamem"/>
        <w:numPr>
          <w:ilvl w:val="0"/>
          <w:numId w:val="25"/>
        </w:numPr>
        <w:spacing w:after="160" w:line="259" w:lineRule="auto"/>
        <w:jc w:val="both"/>
      </w:pPr>
      <w:r>
        <w:t>Protokol výpočtu nejvyšší denní teploty vzduchu v místnosti v letním období θ</w:t>
      </w:r>
      <w:r w:rsidRPr="009456E9">
        <w:rPr>
          <w:vertAlign w:val="subscript"/>
        </w:rPr>
        <w:t xml:space="preserve">ai,max </w:t>
      </w:r>
      <w:r>
        <w:t xml:space="preserve">[°C]. </w:t>
      </w:r>
    </w:p>
    <w:p w14:paraId="69E43943" w14:textId="77777777" w:rsidR="002F1830" w:rsidRDefault="002F1830" w:rsidP="002F1830">
      <w:pPr>
        <w:jc w:val="both"/>
      </w:pPr>
    </w:p>
    <w:p w14:paraId="73759CEC" w14:textId="0D9A404E" w:rsidR="002F1830" w:rsidRPr="00273D4D" w:rsidRDefault="002F1830" w:rsidP="0004708D">
      <w:pPr>
        <w:pStyle w:val="Nadpis2"/>
      </w:pPr>
      <w:r w:rsidRPr="00273D4D">
        <w:t>Obecné podmínky</w:t>
      </w:r>
      <w:r>
        <w:t xml:space="preserve"> plynoucí z právních předpisů</w:t>
      </w:r>
      <w:r w:rsidR="00A12271">
        <w:t xml:space="preserve"> na realizaci projektu</w:t>
      </w:r>
      <w:r w:rsidRPr="00273D4D">
        <w:t>:</w:t>
      </w:r>
    </w:p>
    <w:p w14:paraId="021204EC" w14:textId="71A1B1E5" w:rsidR="002F1830" w:rsidRDefault="002F1830" w:rsidP="002F1830">
      <w:pPr>
        <w:jc w:val="both"/>
      </w:pPr>
      <w:r w:rsidRPr="00BE7969">
        <w:t>Po realizaci projektu musí budova plnit minimálně parametry energetické náročnosti definované § 6 vyhlášky č.</w:t>
      </w:r>
      <w:r>
        <w:t xml:space="preserve"> </w:t>
      </w:r>
      <w:r w:rsidRPr="00BE7969">
        <w:t>264/2020 Sb., o energetické náročnosti budov. Tento požadavek se netýká památkově chráněných budov v souladu s § 7 odst. 5 zákona č. 406/2000 S</w:t>
      </w:r>
      <w:r>
        <w:t>b.</w:t>
      </w:r>
      <w:r w:rsidR="00373D79">
        <w:t>, o hospodaření energií,</w:t>
      </w:r>
      <w:r>
        <w:t xml:space="preserve"> ve znění pozdějších předpisů, pokud </w:t>
      </w:r>
      <w:r w:rsidRPr="009E18F6">
        <w:t>by s ohledem na zájmy státní památkové péče splnění některých požadavků na energetickou náročnost těchto budov výrazně změnilo jejich charakter nebo vzhled</w:t>
      </w:r>
      <w:r w:rsidR="00ED5C6F">
        <w:t>.</w:t>
      </w:r>
      <w:r>
        <w:t xml:space="preserve"> Dokládá se závazným stanoviskem orgánu státní památkové péče.</w:t>
      </w:r>
    </w:p>
    <w:p w14:paraId="08537687" w14:textId="77777777" w:rsidR="002F1830" w:rsidRPr="00BE7969" w:rsidRDefault="002F1830" w:rsidP="002F1830">
      <w:pPr>
        <w:jc w:val="both"/>
      </w:pPr>
      <w:r w:rsidRPr="00BE7969">
        <w:t xml:space="preserve">V případě realizace elektrických </w:t>
      </w:r>
      <w:r>
        <w:t xml:space="preserve">nebo plynových </w:t>
      </w:r>
      <w:r w:rsidRPr="00BE7969">
        <w:t>tepelných čerpadel</w:t>
      </w:r>
      <w:r>
        <w:t>, kotlů na zemní plyn</w:t>
      </w:r>
      <w:r w:rsidRPr="00BE7969">
        <w:t xml:space="preserve"> </w:t>
      </w:r>
      <w:r>
        <w:t xml:space="preserve">nebo jednotky pro kombinovanou výrobu elektřiny a tepla musí zařízení splňovat </w:t>
      </w:r>
      <w:r w:rsidRPr="00BE7969">
        <w:t>parametry definované nařízením Komise (EU) č. 813/2013</w:t>
      </w:r>
      <w:r w:rsidR="00ED5C6F">
        <w:t xml:space="preserve"> ze dne 2. srpna 2013</w:t>
      </w:r>
      <w:r w:rsidRPr="00BE7969">
        <w:t>, kterým se provádí směrnice Evropského parlamentu a Rady 2009/125/ES, pokud jde o požadavky na ekodesign ohřívačů pro vytápění vnitřních prostorů a kombinovaných ohřívačů (požadavky od 26. 9. 201</w:t>
      </w:r>
      <w:r>
        <w:t>8</w:t>
      </w:r>
      <w:r w:rsidRPr="00BE7969">
        <w:t xml:space="preserve">). </w:t>
      </w:r>
    </w:p>
    <w:p w14:paraId="04F6D3A5" w14:textId="77777777" w:rsidR="002F1830" w:rsidRPr="00BE7969" w:rsidRDefault="002F1830" w:rsidP="002F1830">
      <w:pPr>
        <w:jc w:val="both"/>
      </w:pPr>
      <w:r w:rsidRPr="00BE7969">
        <w:t xml:space="preserve">V případě realizace solárních termických soustav </w:t>
      </w:r>
      <w:r>
        <w:t>musí</w:t>
      </w:r>
      <w:r w:rsidRPr="00BE7969">
        <w:t xml:space="preserve"> zařízení splň</w:t>
      </w:r>
      <w:r>
        <w:t>ovat</w:t>
      </w:r>
      <w:r w:rsidRPr="00BE7969">
        <w:t xml:space="preserve"> požadavky ČSN EN ISO 9806 </w:t>
      </w:r>
      <w:r>
        <w:t xml:space="preserve">a </w:t>
      </w:r>
      <w:r w:rsidRPr="00BE7969">
        <w:t>solární kolektory splňují minimální hodnotu účinnosti η</w:t>
      </w:r>
      <w:r w:rsidRPr="00FC1207">
        <w:rPr>
          <w:vertAlign w:val="subscript"/>
        </w:rPr>
        <w:t>sk</w:t>
      </w:r>
      <w:r w:rsidRPr="00BE7969">
        <w:t xml:space="preserve"> dle vyhlášky č.</w:t>
      </w:r>
      <w:r>
        <w:t> </w:t>
      </w:r>
      <w:r w:rsidRPr="00BE7969">
        <w:t>441/2012 Sb., o stanovení minimální účinnosti užití energie při výrobě elektřiny a tepelné energie</w:t>
      </w:r>
      <w:r w:rsidR="00ED5C6F">
        <w:t>,</w:t>
      </w:r>
      <w:r w:rsidRPr="00BE7969">
        <w:t xml:space="preserve"> za podmínky slunečního ozáření 1000 W.m</w:t>
      </w:r>
      <w:r w:rsidRPr="00FC1207">
        <w:rPr>
          <w:vertAlign w:val="superscript"/>
        </w:rPr>
        <w:t>-2</w:t>
      </w:r>
      <w:r w:rsidRPr="00BE7969">
        <w:t xml:space="preserve">. </w:t>
      </w:r>
    </w:p>
    <w:p w14:paraId="0C2206B3" w14:textId="0ADEB8AB" w:rsidR="002F1830" w:rsidRPr="00BE7969" w:rsidRDefault="002F1830" w:rsidP="002F1830">
      <w:pPr>
        <w:jc w:val="both"/>
      </w:pPr>
      <w:r w:rsidRPr="00BE7969">
        <w:t xml:space="preserve">V případě realizace kotle na biomasu </w:t>
      </w:r>
      <w:r>
        <w:t xml:space="preserve">musí zařízení splňovat </w:t>
      </w:r>
      <w:r w:rsidRPr="00BE7969">
        <w:t xml:space="preserve">požadavky </w:t>
      </w:r>
      <w:r w:rsidR="00ED5C6F">
        <w:t>n</w:t>
      </w:r>
      <w:r w:rsidRPr="00BE7969">
        <w:t xml:space="preserve">ařízení </w:t>
      </w:r>
      <w:r w:rsidR="00ED5C6F">
        <w:t>K</w:t>
      </w:r>
      <w:r w:rsidRPr="00BE7969">
        <w:t>omise</w:t>
      </w:r>
      <w:r w:rsidR="00ED5C6F">
        <w:t xml:space="preserve"> (EU)</w:t>
      </w:r>
      <w:r w:rsidRPr="00BE7969">
        <w:t xml:space="preserve"> č.</w:t>
      </w:r>
      <w:r w:rsidR="00ED5C6F">
        <w:t> </w:t>
      </w:r>
      <w:r w:rsidRPr="00BE7969">
        <w:t>2015/1189 ze dne 28. dubna 2015, kterým se provádí směrnice Evropského parlamentu a</w:t>
      </w:r>
      <w:r w:rsidR="00ED5C6F">
        <w:t> </w:t>
      </w:r>
      <w:r w:rsidRPr="00BE7969">
        <w:t xml:space="preserve">Rady 2009/125/ES, pokud jde o požadavky na ekodesign kotlů na tuhá paliva (požadavky od 1. 1. 2020). </w:t>
      </w:r>
    </w:p>
    <w:p w14:paraId="1067BA3B" w14:textId="1D5F1F63" w:rsidR="002F1830" w:rsidRPr="00BE7969" w:rsidRDefault="002F1830" w:rsidP="002F1830">
      <w:pPr>
        <w:jc w:val="both"/>
      </w:pPr>
      <w:r w:rsidRPr="00BE7969">
        <w:t>V případě realizace systémů nuceného větrání</w:t>
      </w:r>
      <w:r w:rsidRPr="007E00D5">
        <w:t xml:space="preserve"> </w:t>
      </w:r>
      <w:r>
        <w:t xml:space="preserve">musí zařízení splňovat </w:t>
      </w:r>
      <w:r w:rsidRPr="00BE7969">
        <w:t xml:space="preserve">parametry definované nařízením </w:t>
      </w:r>
      <w:r>
        <w:t>Komise (EU) č. 1253/2014</w:t>
      </w:r>
      <w:r w:rsidRPr="00BE7969">
        <w:t xml:space="preserve"> </w:t>
      </w:r>
      <w:r w:rsidRPr="007E00D5">
        <w:t>ze dne 7. července 2014, kterým se provádí směrnice Evropského parlamentu a Rady 2009/125/ES, pokud jde o požadavky na ekodesign větracích jednotek</w:t>
      </w:r>
      <w:r>
        <w:t>. U zařízení</w:t>
      </w:r>
      <w:r w:rsidRPr="00BE7969">
        <w:t xml:space="preserve"> s rekuperací odpadního tepla </w:t>
      </w:r>
      <w:r>
        <w:t>se splnění požadavku definuje na základě suché</w:t>
      </w:r>
      <w:r w:rsidRPr="00BE7969">
        <w:t xml:space="preserve"> účinnost</w:t>
      </w:r>
      <w:r w:rsidR="00ED5C6F">
        <w:t>i</w:t>
      </w:r>
      <w:r w:rsidRPr="00BE7969">
        <w:t xml:space="preserve"> zpětného získávání tepla (rekuperátoru) dle ČSN EN 308. </w:t>
      </w:r>
    </w:p>
    <w:p w14:paraId="766014A8" w14:textId="77777777" w:rsidR="002F1830" w:rsidRPr="003578B2" w:rsidRDefault="002F1830" w:rsidP="002F1830">
      <w:pPr>
        <w:jc w:val="both"/>
      </w:pPr>
    </w:p>
    <w:p w14:paraId="5F055A91" w14:textId="77777777"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6B7053B3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85C35" w14:textId="77777777" w:rsidR="0095712E" w:rsidRDefault="0095712E" w:rsidP="00634381">
      <w:r>
        <w:separator/>
      </w:r>
    </w:p>
  </w:endnote>
  <w:endnote w:type="continuationSeparator" w:id="0">
    <w:p w14:paraId="2278EE30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1DE6DF17" w14:textId="7B077D02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C3556D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3D092B9B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DF9F0" w14:textId="77777777" w:rsidR="0095712E" w:rsidRDefault="0095712E" w:rsidP="00634381">
      <w:r>
        <w:separator/>
      </w:r>
    </w:p>
  </w:footnote>
  <w:footnote w:type="continuationSeparator" w:id="0">
    <w:p w14:paraId="56166E5B" w14:textId="77777777" w:rsidR="0095712E" w:rsidRDefault="0095712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9C148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CD80743" wp14:editId="169B783F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98BC34" w14:textId="77777777"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4708D"/>
    <w:rsid w:val="00052CC2"/>
    <w:rsid w:val="00057399"/>
    <w:rsid w:val="00057C7F"/>
    <w:rsid w:val="00070FE9"/>
    <w:rsid w:val="000713F8"/>
    <w:rsid w:val="000D25B3"/>
    <w:rsid w:val="000E2B0E"/>
    <w:rsid w:val="000F75B7"/>
    <w:rsid w:val="00106418"/>
    <w:rsid w:val="001258FB"/>
    <w:rsid w:val="00141C5B"/>
    <w:rsid w:val="00147F34"/>
    <w:rsid w:val="0015003C"/>
    <w:rsid w:val="00150AC1"/>
    <w:rsid w:val="00155A3F"/>
    <w:rsid w:val="001563EE"/>
    <w:rsid w:val="001707EC"/>
    <w:rsid w:val="00174CA1"/>
    <w:rsid w:val="0019473B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36FBC"/>
    <w:rsid w:val="0025243F"/>
    <w:rsid w:val="002748BB"/>
    <w:rsid w:val="00286C01"/>
    <w:rsid w:val="00287124"/>
    <w:rsid w:val="00291030"/>
    <w:rsid w:val="002B6138"/>
    <w:rsid w:val="002B6763"/>
    <w:rsid w:val="002C177C"/>
    <w:rsid w:val="002E7896"/>
    <w:rsid w:val="002F1830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3D79"/>
    <w:rsid w:val="003771A2"/>
    <w:rsid w:val="003A442E"/>
    <w:rsid w:val="003A775F"/>
    <w:rsid w:val="003A7A28"/>
    <w:rsid w:val="003C5A20"/>
    <w:rsid w:val="003D298A"/>
    <w:rsid w:val="003E1C3C"/>
    <w:rsid w:val="00401451"/>
    <w:rsid w:val="00463939"/>
    <w:rsid w:val="00471EBA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06AD7"/>
    <w:rsid w:val="00511FF4"/>
    <w:rsid w:val="00517878"/>
    <w:rsid w:val="005211DB"/>
    <w:rsid w:val="00526EDC"/>
    <w:rsid w:val="00534FBF"/>
    <w:rsid w:val="00543985"/>
    <w:rsid w:val="0056072C"/>
    <w:rsid w:val="0056249D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0017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719B"/>
    <w:rsid w:val="006D0830"/>
    <w:rsid w:val="006D6D28"/>
    <w:rsid w:val="006E5C82"/>
    <w:rsid w:val="006E72F1"/>
    <w:rsid w:val="00714EBA"/>
    <w:rsid w:val="00722201"/>
    <w:rsid w:val="0072633E"/>
    <w:rsid w:val="00750C88"/>
    <w:rsid w:val="0076431E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195D"/>
    <w:rsid w:val="00840A57"/>
    <w:rsid w:val="00844F3C"/>
    <w:rsid w:val="00863444"/>
    <w:rsid w:val="00895CD7"/>
    <w:rsid w:val="008A5F96"/>
    <w:rsid w:val="008B177F"/>
    <w:rsid w:val="008B26DE"/>
    <w:rsid w:val="008D567F"/>
    <w:rsid w:val="008D5C23"/>
    <w:rsid w:val="008E260A"/>
    <w:rsid w:val="008E343A"/>
    <w:rsid w:val="00900F86"/>
    <w:rsid w:val="00923C24"/>
    <w:rsid w:val="00932786"/>
    <w:rsid w:val="009343D5"/>
    <w:rsid w:val="009505CE"/>
    <w:rsid w:val="00952FC0"/>
    <w:rsid w:val="0095712E"/>
    <w:rsid w:val="00961C68"/>
    <w:rsid w:val="00991CCA"/>
    <w:rsid w:val="00992BA3"/>
    <w:rsid w:val="009B5AA8"/>
    <w:rsid w:val="009C3507"/>
    <w:rsid w:val="009D5E0D"/>
    <w:rsid w:val="009E4F57"/>
    <w:rsid w:val="00A12271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6652F"/>
    <w:rsid w:val="00B7197B"/>
    <w:rsid w:val="00B8276E"/>
    <w:rsid w:val="00BA46D6"/>
    <w:rsid w:val="00BA7F6E"/>
    <w:rsid w:val="00BB55CB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56D"/>
    <w:rsid w:val="00C35EF2"/>
    <w:rsid w:val="00C40768"/>
    <w:rsid w:val="00C418C2"/>
    <w:rsid w:val="00C501C4"/>
    <w:rsid w:val="00C56859"/>
    <w:rsid w:val="00C65B56"/>
    <w:rsid w:val="00C75643"/>
    <w:rsid w:val="00C85292"/>
    <w:rsid w:val="00C85696"/>
    <w:rsid w:val="00C87AFB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D40CA"/>
    <w:rsid w:val="00ED5C6F"/>
    <w:rsid w:val="00EF2FE4"/>
    <w:rsid w:val="00F02008"/>
    <w:rsid w:val="00F11638"/>
    <w:rsid w:val="00F31F10"/>
    <w:rsid w:val="00F33CAB"/>
    <w:rsid w:val="00F44F0F"/>
    <w:rsid w:val="00F45CCF"/>
    <w:rsid w:val="00F57BE0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DBB60E8"/>
  <w15:docId w15:val="{3C92B376-85B9-4F09-BE34-C94425BC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5AA8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AA8"/>
    <w:pPr>
      <w:keepNext/>
      <w:keepLines/>
      <w:numPr>
        <w:numId w:val="7"/>
      </w:numPr>
      <w:spacing w:before="240" w:after="120"/>
      <w:ind w:left="357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B5AA8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167CE-52E9-4DEE-97BD-6FA47125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1375</Words>
  <Characters>8117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63</cp:revision>
  <dcterms:created xsi:type="dcterms:W3CDTF">2016-03-16T08:29:00Z</dcterms:created>
  <dcterms:modified xsi:type="dcterms:W3CDTF">2021-06-04T11:56:00Z</dcterms:modified>
</cp:coreProperties>
</file>