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6345D80" w:rsidR="00F23FC9"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634EA666"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r w:rsidR="000F6082" w:rsidRPr="00FD07C2">
        <w:rPr>
          <w:rFonts w:ascii="Arial" w:hAnsi="Arial" w:cs="Arial"/>
          <w:b/>
          <w:bCs/>
          <w:caps/>
          <w:color w:val="214F87"/>
          <w:sz w:val="44"/>
          <w:szCs w:val="44"/>
        </w:rPr>
        <w:t>3</w:t>
      </w:r>
      <w:r w:rsidR="00372203">
        <w:rPr>
          <w:rFonts w:ascii="Arial" w:hAnsi="Arial" w:cs="Arial"/>
          <w:b/>
          <w:bCs/>
          <w:caps/>
          <w:color w:val="214F87"/>
          <w:sz w:val="44"/>
          <w:szCs w:val="44"/>
        </w:rPr>
        <w:t>B</w:t>
      </w:r>
    </w:p>
    <w:p w14:paraId="35AE0746" w14:textId="4B060E0B" w:rsidR="006F7549" w:rsidRDefault="00F23FC9" w:rsidP="00F23FC9">
      <w:pPr>
        <w:spacing w:before="240" w:after="200" w:line="276" w:lineRule="auto"/>
        <w:jc w:val="center"/>
        <w:rPr>
          <w:rFonts w:ascii="Arial" w:hAnsi="Arial" w:cs="Arial"/>
          <w:b/>
          <w:bCs/>
          <w:caps/>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2F13E8EB" w14:textId="77777777" w:rsidR="00E74873" w:rsidRPr="00FA29D0" w:rsidRDefault="00E74873" w:rsidP="00E74873">
      <w:pPr>
        <w:pStyle w:val="Zkladnodstavec"/>
        <w:jc w:val="center"/>
        <w:rPr>
          <w:rFonts w:ascii="Arial" w:hAnsi="Arial" w:cs="Arial"/>
          <w:caps/>
          <w:sz w:val="32"/>
          <w:szCs w:val="32"/>
        </w:rPr>
      </w:pPr>
      <w:r>
        <w:rPr>
          <w:rFonts w:ascii="Arial" w:hAnsi="Arial" w:cs="Arial"/>
          <w:caps/>
          <w:sz w:val="32"/>
          <w:szCs w:val="32"/>
        </w:rPr>
        <w:t>71</w:t>
      </w:r>
      <w:r w:rsidRPr="00FA29D0">
        <w:rPr>
          <w:rFonts w:ascii="Arial" w:hAnsi="Arial" w:cs="Arial"/>
          <w:caps/>
          <w:sz w:val="32"/>
          <w:szCs w:val="32"/>
        </w:rPr>
        <w:t xml:space="preserve">. výzva irop - PODPORA ROZVOJE A DOSTUPNOSTI </w:t>
      </w:r>
      <w:r>
        <w:rPr>
          <w:rFonts w:ascii="Arial" w:hAnsi="Arial" w:cs="Arial"/>
          <w:caps/>
          <w:sz w:val="32"/>
          <w:szCs w:val="32"/>
        </w:rPr>
        <w:t>paliativní</w:t>
      </w:r>
      <w:r w:rsidRPr="00A562AB">
        <w:rPr>
          <w:rFonts w:ascii="Arial" w:hAnsi="Arial" w:cs="Arial"/>
          <w:caps/>
          <w:sz w:val="32"/>
          <w:szCs w:val="32"/>
        </w:rPr>
        <w:t xml:space="preserve">  PÉČE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29DB432F" w14:textId="5B527C82" w:rsidR="00E74873" w:rsidRDefault="00E74873" w:rsidP="00E74873">
      <w:pPr>
        <w:jc w:val="center"/>
        <w:rPr>
          <w:rFonts w:ascii="Arial" w:hAnsi="Arial" w:cs="Arial"/>
          <w:caps/>
          <w:sz w:val="32"/>
          <w:szCs w:val="32"/>
        </w:rPr>
      </w:pPr>
      <w:r>
        <w:rPr>
          <w:rFonts w:ascii="Arial" w:hAnsi="Arial" w:cs="Arial"/>
          <w:caps/>
          <w:sz w:val="32"/>
          <w:szCs w:val="32"/>
        </w:rPr>
        <w:t>72</w:t>
      </w:r>
      <w:r w:rsidRPr="00FA29D0">
        <w:rPr>
          <w:rFonts w:ascii="Arial" w:hAnsi="Arial" w:cs="Arial"/>
          <w:caps/>
          <w:sz w:val="32"/>
          <w:szCs w:val="32"/>
        </w:rPr>
        <w:t xml:space="preserve">. výzva irop - PODPORA ROZVOJE A DOSTUPNOSTI </w:t>
      </w:r>
      <w:r>
        <w:rPr>
          <w:rFonts w:ascii="Arial" w:hAnsi="Arial" w:cs="Arial"/>
          <w:caps/>
          <w:sz w:val="32"/>
          <w:szCs w:val="32"/>
        </w:rPr>
        <w:t>paliativní</w:t>
      </w:r>
      <w:r w:rsidRPr="00A562AB">
        <w:rPr>
          <w:rFonts w:ascii="Arial" w:hAnsi="Arial" w:cs="Arial"/>
          <w:caps/>
          <w:sz w:val="32"/>
          <w:szCs w:val="32"/>
        </w:rPr>
        <w:t xml:space="preserve">PÉČE  </w:t>
      </w:r>
      <w:r w:rsidRPr="00FA29D0">
        <w:rPr>
          <w:rFonts w:ascii="Arial" w:hAnsi="Arial" w:cs="Arial"/>
          <w:caps/>
          <w:sz w:val="32"/>
          <w:szCs w:val="32"/>
        </w:rPr>
        <w:t>- SC 4.3 (PR)</w:t>
      </w:r>
    </w:p>
    <w:p w14:paraId="067F5ED2" w14:textId="77777777" w:rsidR="00372203" w:rsidRDefault="00372203" w:rsidP="00E74873">
      <w:pPr>
        <w:jc w:val="center"/>
        <w:rPr>
          <w:rFonts w:ascii="Arial" w:hAnsi="Arial" w:cs="Arial"/>
          <w:caps/>
          <w:sz w:val="32"/>
          <w:szCs w:val="32"/>
        </w:rPr>
      </w:pPr>
    </w:p>
    <w:p w14:paraId="27C16E27" w14:textId="7480A323"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4F539FEF"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o</w:t>
            </w:r>
            <w:r w:rsidR="00803BAC" w:rsidRPr="006D44F6">
              <w:rPr>
                <w:rFonts w:ascii="Arial" w:hAnsi="Arial" w:cs="Arial"/>
                <w:snapToGrid w:val="0"/>
                <w:sz w:val="22"/>
                <w:szCs w:val="22"/>
              </w:rPr>
              <w:t> </w:t>
            </w:r>
            <w:r w:rsidRPr="006D44F6">
              <w:rPr>
                <w:rFonts w:ascii="Arial" w:hAnsi="Arial" w:cs="Arial"/>
                <w:snapToGrid w:val="0"/>
                <w:sz w:val="22"/>
                <w:szCs w:val="22"/>
              </w:rPr>
              <w:t xml:space="preserve">udržitelnosti projektu. </w:t>
            </w:r>
          </w:p>
          <w:p w14:paraId="4553DF32" w14:textId="77777777"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Indikátory:</w:t>
            </w:r>
          </w:p>
          <w:p w14:paraId="24ED5872" w14:textId="0B3C0F8F" w:rsidR="009F370C" w:rsidRPr="006D44F6" w:rsidRDefault="009F370C"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w:t>
            </w:r>
            <w:r w:rsidR="006D44F6">
              <w:rPr>
                <w:rFonts w:ascii="Arial" w:hAnsi="Arial" w:cs="Arial"/>
                <w:i/>
                <w:iCs/>
                <w:snapToGrid w:val="0"/>
                <w:sz w:val="22"/>
                <w:szCs w:val="22"/>
              </w:rPr>
              <w:t xml:space="preserve"> </w:t>
            </w:r>
            <w:r w:rsidRPr="006D44F6">
              <w:rPr>
                <w:rFonts w:ascii="Arial" w:hAnsi="Arial" w:cs="Arial"/>
                <w:i/>
                <w:iCs/>
                <w:snapToGrid w:val="0"/>
                <w:sz w:val="22"/>
                <w:szCs w:val="22"/>
              </w:rPr>
              <w:t>061 - Podpořená pracoviště zdravotní péče a ochrany veřejného zdraví</w:t>
            </w:r>
          </w:p>
          <w:p w14:paraId="21AE3CFB" w14:textId="77777777"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351EF08F" w14:textId="7A0B61A7" w:rsidR="000C678D" w:rsidRPr="006D44F6" w:rsidRDefault="00A67B07"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65FCEEEC" w14:textId="77777777"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w:t>
            </w:r>
            <w:r w:rsidRPr="00CB4760">
              <w:rPr>
                <w:rFonts w:ascii="Arial" w:hAnsi="Arial" w:cs="Arial"/>
                <w:snapToGrid w:val="0"/>
                <w:sz w:val="22"/>
                <w:szCs w:val="22"/>
                <w:lang w:eastAsia="zh-CN" w:bidi="ar"/>
              </w:rPr>
              <w:t>indikátor</w:t>
            </w:r>
            <w:r w:rsidR="00866C89" w:rsidRPr="00CB4760">
              <w:rPr>
                <w:rFonts w:ascii="Arial" w:hAnsi="Arial" w:cs="Arial"/>
                <w:snapToGrid w:val="0"/>
                <w:sz w:val="22"/>
                <w:szCs w:val="22"/>
                <w:lang w:eastAsia="zh-CN" w:bidi="ar"/>
              </w:rPr>
              <w:t xml:space="preserve"> </w:t>
            </w:r>
            <w:r w:rsidR="009132E6" w:rsidRPr="00CB4760">
              <w:rPr>
                <w:rFonts w:ascii="Arial" w:hAnsi="Arial" w:cs="Arial"/>
                <w:i/>
                <w:iCs/>
                <w:snapToGrid w:val="0"/>
                <w:sz w:val="22"/>
                <w:szCs w:val="22"/>
                <w:lang w:eastAsia="zh-CN" w:bidi="ar"/>
              </w:rPr>
              <w:t>I</w:t>
            </w:r>
            <w:r w:rsidR="00277403" w:rsidRPr="00CB4760">
              <w:rPr>
                <w:rFonts w:ascii="Arial" w:hAnsi="Arial" w:cs="Arial"/>
                <w:i/>
                <w:iCs/>
                <w:snapToGrid w:val="0"/>
                <w:sz w:val="22"/>
                <w:szCs w:val="22"/>
                <w:lang w:eastAsia="zh-CN" w:bidi="ar"/>
              </w:rPr>
              <w:t>.</w:t>
            </w:r>
            <w:r w:rsidRPr="00CB4760">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6D44F6"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 xml:space="preserve">k naplnění cílové hodnoty u </w:t>
            </w:r>
            <w:r w:rsidR="00502AD2" w:rsidRPr="006D44F6">
              <w:rPr>
                <w:rFonts w:ascii="Arial" w:hAnsi="Arial" w:cs="Arial"/>
                <w:snapToGrid w:val="0"/>
                <w:sz w:val="22"/>
                <w:szCs w:val="22"/>
                <w:lang w:eastAsia="zh-CN" w:bidi="ar"/>
              </w:rPr>
              <w:t>indikátoru</w:t>
            </w:r>
            <w:r w:rsidRPr="006D44F6">
              <w:rPr>
                <w:rFonts w:ascii="Arial" w:hAnsi="Arial" w:cs="Arial"/>
                <w:snapToGrid w:val="0"/>
                <w:sz w:val="22"/>
                <w:szCs w:val="22"/>
                <w:lang w:eastAsia="zh-CN" w:bidi="ar"/>
              </w:rPr>
              <w:t>:</w:t>
            </w:r>
            <w:r w:rsidR="009132E6" w:rsidRPr="006D44F6">
              <w:rPr>
                <w:rFonts w:ascii="Arial" w:hAnsi="Arial" w:cs="Arial"/>
                <w:snapToGrid w:val="0"/>
                <w:sz w:val="22"/>
                <w:szCs w:val="22"/>
              </w:rPr>
              <w:t xml:space="preserve"> </w:t>
            </w:r>
          </w:p>
          <w:p w14:paraId="79A3A532" w14:textId="6B38E6F9" w:rsidR="006D44F6" w:rsidRPr="006D44F6"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9</w:t>
            </w:r>
            <w:r w:rsidR="006D44F6" w:rsidRPr="006D44F6">
              <w:rPr>
                <w:rFonts w:ascii="Arial" w:hAnsi="Arial" w:cs="Arial"/>
                <w:snapToGrid w:val="0"/>
                <w:sz w:val="22"/>
                <w:szCs w:val="22"/>
                <w:lang w:eastAsia="zh-CN" w:bidi="ar"/>
              </w:rPr>
              <w:t>0</w:t>
            </w:r>
            <w:r w:rsidRPr="006D44F6">
              <w:rPr>
                <w:rFonts w:ascii="Arial" w:hAnsi="Arial" w:cs="Arial"/>
                <w:snapToGrid w:val="0"/>
                <w:sz w:val="22"/>
                <w:szCs w:val="22"/>
                <w:lang w:eastAsia="zh-CN" w:bidi="ar"/>
              </w:rPr>
              <w:t xml:space="preserve"> % a více</w:t>
            </w:r>
            <w:r w:rsidR="006D44F6" w:rsidRPr="006D44F6">
              <w:rPr>
                <w:rFonts w:ascii="Arial" w:hAnsi="Arial" w:cs="Arial"/>
                <w:snapToGrid w:val="0"/>
                <w:sz w:val="22"/>
                <w:szCs w:val="22"/>
                <w:lang w:eastAsia="zh-CN" w:bidi="ar"/>
              </w:rPr>
              <w:t>,</w:t>
            </w:r>
          </w:p>
          <w:p w14:paraId="26911229" w14:textId="2A272782"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00372203">
              <w:rPr>
                <w:rFonts w:ascii="Arial" w:hAnsi="Arial" w:cs="Arial"/>
                <w:i/>
                <w:iCs/>
                <w:snapToGrid w:val="0"/>
                <w:sz w:val="22"/>
                <w:szCs w:val="22"/>
                <w:lang w:eastAsia="zh-CN" w:bidi="ar"/>
              </w:rPr>
              <w:t>I</w:t>
            </w:r>
            <w:r w:rsidRPr="006D44F6">
              <w:rPr>
                <w:rFonts w:ascii="Arial" w:hAnsi="Arial" w:cs="Arial"/>
                <w:i/>
                <w:iCs/>
                <w:snapToGrid w:val="0"/>
                <w:sz w:val="22"/>
                <w:szCs w:val="22"/>
                <w:lang w:eastAsia="zh-CN" w:bidi="ar"/>
              </w:rPr>
              <w:t xml:space="preserve">. </w:t>
            </w:r>
            <w:r w:rsidRPr="006D44F6">
              <w:rPr>
                <w:rFonts w:ascii="Arial" w:hAnsi="Arial" w:cs="Arial"/>
                <w:snapToGrid w:val="0"/>
                <w:sz w:val="22"/>
                <w:szCs w:val="22"/>
                <w:lang w:eastAsia="zh-CN" w:bidi="ar"/>
              </w:rPr>
              <w:t>na 9</w:t>
            </w:r>
            <w:r>
              <w:rPr>
                <w:rFonts w:ascii="Arial" w:hAnsi="Arial" w:cs="Arial"/>
                <w:snapToGrid w:val="0"/>
                <w:sz w:val="22"/>
                <w:szCs w:val="22"/>
                <w:lang w:eastAsia="zh-CN" w:bidi="ar"/>
              </w:rPr>
              <w:t>5</w:t>
            </w:r>
            <w:r w:rsidRPr="006D44F6">
              <w:rPr>
                <w:rFonts w:ascii="Arial" w:hAnsi="Arial" w:cs="Arial"/>
                <w:snapToGrid w:val="0"/>
                <w:sz w:val="22"/>
                <w:szCs w:val="22"/>
                <w:lang w:eastAsia="zh-CN" w:bidi="ar"/>
              </w:rPr>
              <w:t xml:space="preserve">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EA0B75E"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578 061 - Podpořená pracoviště zdravotní péče a ochrany veřejného zdraví</w:t>
            </w:r>
          </w:p>
          <w:p w14:paraId="76A79924"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16AAF989"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3833AF32" w14:textId="77777777" w:rsidR="006D44F6" w:rsidRPr="000642DD"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 xml:space="preserve">560 003 -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40363F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34CE25C" w14:textId="339C948D"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F51097" w14:textId="202B486B"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 xml:space="preserve">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F61CD08"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372203">
              <w:rPr>
                <w:rFonts w:ascii="Arial" w:hAnsi="Arial" w:cs="Arial"/>
                <w:snapToGrid w:val="0"/>
                <w:sz w:val="22"/>
                <w:szCs w:val="22"/>
              </w:rPr>
              <w:t xml:space="preserve">MF - </w:t>
            </w:r>
            <w:r w:rsidRPr="00BF657C">
              <w:rPr>
                <w:rFonts w:ascii="Arial" w:hAnsi="Arial" w:cs="Arial"/>
                <w:snapToGrid w:val="0"/>
                <w:sz w:val="22"/>
                <w:szCs w:val="22"/>
              </w:rPr>
              <w:t xml:space="preserve">PO nebo AO poskytnout veškeré informace o výsledcích těchto </w:t>
            </w:r>
            <w:r w:rsidRPr="00BF657C">
              <w:rPr>
                <w:rFonts w:ascii="Arial" w:hAnsi="Arial" w:cs="Arial"/>
                <w:snapToGrid w:val="0"/>
                <w:sz w:val="22"/>
                <w:szCs w:val="22"/>
              </w:rPr>
              <w:lastRenderedPageBreak/>
              <w:t xml:space="preserve">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6001BE" w:rsidRPr="00BF657C" w14:paraId="620413FC" w14:textId="77777777" w:rsidTr="006001BE">
        <w:trPr>
          <w:trHeight w:val="410"/>
        </w:trPr>
        <w:tc>
          <w:tcPr>
            <w:tcW w:w="9067" w:type="dxa"/>
            <w:gridSpan w:val="2"/>
            <w:shd w:val="clear" w:color="auto" w:fill="D9D9D9" w:themeFill="background1" w:themeFillShade="D9"/>
          </w:tcPr>
          <w:p w14:paraId="5D6E0D60" w14:textId="01AD3100" w:rsidR="006001BE" w:rsidRPr="006001BE" w:rsidRDefault="006001BE" w:rsidP="006001BE">
            <w:pPr>
              <w:pStyle w:val="Odstavecseseznamem"/>
              <w:numPr>
                <w:ilvl w:val="0"/>
                <w:numId w:val="25"/>
              </w:numPr>
              <w:spacing w:before="120" w:after="120" w:line="271" w:lineRule="auto"/>
              <w:jc w:val="both"/>
              <w:rPr>
                <w:rFonts w:ascii="Arial" w:hAnsi="Arial" w:cs="Arial"/>
                <w:b/>
                <w:bCs/>
                <w:sz w:val="22"/>
                <w:szCs w:val="22"/>
              </w:rPr>
            </w:pPr>
            <w:r w:rsidRPr="006001BE">
              <w:rPr>
                <w:rFonts w:ascii="Arial" w:hAnsi="Arial" w:cs="Arial"/>
                <w:b/>
                <w:bCs/>
                <w:sz w:val="22"/>
                <w:szCs w:val="22"/>
              </w:rPr>
              <w:lastRenderedPageBreak/>
              <w:t>Služby obecného hospodářského zájmu</w:t>
            </w:r>
          </w:p>
        </w:tc>
      </w:tr>
      <w:tr w:rsidR="006001BE" w:rsidRPr="00BF657C" w14:paraId="3E3C69A0" w14:textId="77777777" w:rsidTr="00755826">
        <w:trPr>
          <w:trHeight w:val="410"/>
        </w:trPr>
        <w:tc>
          <w:tcPr>
            <w:tcW w:w="4533" w:type="dxa"/>
          </w:tcPr>
          <w:p w14:paraId="3A4C3C10" w14:textId="370190E8" w:rsidR="006001BE" w:rsidRPr="006001BE" w:rsidRDefault="006001BE" w:rsidP="006001BE">
            <w:pPr>
              <w:spacing w:before="120" w:after="120" w:line="271" w:lineRule="auto"/>
              <w:jc w:val="both"/>
              <w:rPr>
                <w:rFonts w:ascii="Arial" w:hAnsi="Arial" w:cs="Arial"/>
                <w:snapToGrid w:val="0"/>
                <w:sz w:val="22"/>
                <w:szCs w:val="22"/>
              </w:rPr>
            </w:pPr>
            <w:r w:rsidRPr="006001BE">
              <w:rPr>
                <w:rFonts w:ascii="Arial" w:hAnsi="Arial" w:cs="Arial"/>
                <w:snapToGrid w:val="0"/>
                <w:sz w:val="22"/>
                <w:szCs w:val="22"/>
              </w:rPr>
              <w:t xml:space="preserve">Poskytovatel služby </w:t>
            </w:r>
            <w:r w:rsidR="00B577C9">
              <w:rPr>
                <w:rFonts w:ascii="Arial" w:hAnsi="Arial" w:cs="Arial"/>
                <w:snapToGrid w:val="0"/>
                <w:sz w:val="22"/>
                <w:szCs w:val="22"/>
              </w:rPr>
              <w:t xml:space="preserve">obecného hospodářského zájmu (dále jen „SOHZ“) </w:t>
            </w:r>
            <w:r w:rsidRPr="006001BE">
              <w:rPr>
                <w:rFonts w:ascii="Arial" w:hAnsi="Arial" w:cs="Arial"/>
                <w:snapToGrid w:val="0"/>
                <w:sz w:val="22"/>
                <w:szCs w:val="22"/>
              </w:rPr>
              <w:t xml:space="preserve">musí být pověřen k výkonu </w:t>
            </w:r>
            <w:r w:rsidR="00B577C9">
              <w:rPr>
                <w:rFonts w:ascii="Arial" w:hAnsi="Arial" w:cs="Arial"/>
                <w:snapToGrid w:val="0"/>
                <w:sz w:val="22"/>
                <w:szCs w:val="22"/>
              </w:rPr>
              <w:t>SOHZ</w:t>
            </w:r>
            <w:r w:rsidRPr="006001BE">
              <w:rPr>
                <w:rFonts w:ascii="Arial" w:hAnsi="Arial" w:cs="Arial"/>
                <w:snapToGrid w:val="0"/>
                <w:sz w:val="22"/>
                <w:szCs w:val="22"/>
              </w:rPr>
              <w:t xml:space="preserve"> v souladu s Rozhodnutím 2012/21/EU </w:t>
            </w:r>
            <w:r w:rsidR="00B577C9">
              <w:rPr>
                <w:rFonts w:ascii="Arial" w:hAnsi="Arial" w:cs="Arial"/>
                <w:snapToGrid w:val="0"/>
                <w:sz w:val="22"/>
                <w:szCs w:val="22"/>
              </w:rPr>
              <w:t xml:space="preserve">po celou dobu </w:t>
            </w:r>
            <w:r w:rsidRPr="006001BE">
              <w:rPr>
                <w:rFonts w:ascii="Arial" w:hAnsi="Arial" w:cs="Arial"/>
                <w:snapToGrid w:val="0"/>
                <w:sz w:val="22"/>
                <w:szCs w:val="22"/>
              </w:rPr>
              <w:t xml:space="preserve">životnosti </w:t>
            </w:r>
            <w:r w:rsidR="00B577C9">
              <w:rPr>
                <w:rFonts w:ascii="Arial" w:hAnsi="Arial" w:cs="Arial"/>
                <w:snapToGrid w:val="0"/>
                <w:sz w:val="22"/>
                <w:szCs w:val="22"/>
              </w:rPr>
              <w:t>investice</w:t>
            </w:r>
            <w:r w:rsidRPr="006001BE">
              <w:rPr>
                <w:rFonts w:ascii="Arial" w:hAnsi="Arial" w:cs="Arial"/>
                <w:snapToGrid w:val="0"/>
                <w:sz w:val="22"/>
                <w:szCs w:val="22"/>
              </w:rPr>
              <w:t xml:space="preserve">. </w:t>
            </w:r>
          </w:p>
          <w:p w14:paraId="267B9218" w14:textId="19A91758" w:rsidR="006001BE" w:rsidRPr="00BF657C" w:rsidRDefault="006001BE" w:rsidP="006001BE">
            <w:pPr>
              <w:spacing w:before="120" w:after="120" w:line="271" w:lineRule="auto"/>
              <w:jc w:val="both"/>
              <w:rPr>
                <w:rFonts w:ascii="Arial" w:hAnsi="Arial" w:cs="Arial"/>
                <w:snapToGrid w:val="0"/>
                <w:sz w:val="22"/>
                <w:szCs w:val="22"/>
              </w:rPr>
            </w:pPr>
            <w:r w:rsidRPr="006001BE">
              <w:rPr>
                <w:rFonts w:ascii="Arial" w:hAnsi="Arial" w:cs="Arial"/>
                <w:snapToGrid w:val="0"/>
                <w:sz w:val="22"/>
                <w:szCs w:val="22"/>
              </w:rPr>
              <w:t>Pokud bude poskytovatel služby pověřen více pověřovacími akty, je povinen zajistit jejich kontinuální návaznost.</w:t>
            </w:r>
          </w:p>
        </w:tc>
        <w:tc>
          <w:tcPr>
            <w:tcW w:w="4534" w:type="dxa"/>
          </w:tcPr>
          <w:p w14:paraId="6DA06B2C" w14:textId="6F740B1B" w:rsidR="006001BE" w:rsidRPr="00BF657C" w:rsidRDefault="006001BE" w:rsidP="0042247B">
            <w:pPr>
              <w:spacing w:before="120" w:after="120" w:line="271" w:lineRule="auto"/>
              <w:jc w:val="both"/>
              <w:rPr>
                <w:rFonts w:ascii="Arial" w:hAnsi="Arial" w:cs="Arial"/>
                <w:sz w:val="22"/>
                <w:szCs w:val="22"/>
              </w:rPr>
            </w:pPr>
            <w:r w:rsidRPr="006001BE">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t>Veřejná podpora</w:t>
      </w:r>
    </w:p>
    <w:p w14:paraId="46B8B409" w14:textId="307CBC84" w:rsidR="006001BE" w:rsidRPr="006001BE" w:rsidRDefault="006001BE" w:rsidP="006001BE">
      <w:pPr>
        <w:numPr>
          <w:ilvl w:val="0"/>
          <w:numId w:val="37"/>
        </w:numPr>
        <w:spacing w:after="240"/>
        <w:jc w:val="both"/>
        <w:rPr>
          <w:rFonts w:ascii="Arial" w:hAnsi="Arial" w:cs="Arial"/>
          <w:snapToGrid w:val="0"/>
          <w:sz w:val="22"/>
          <w:szCs w:val="22"/>
        </w:rPr>
      </w:pPr>
      <w:r w:rsidRPr="006001BE">
        <w:rPr>
          <w:rFonts w:ascii="Arial" w:hAnsi="Arial" w:cs="Arial"/>
          <w:snapToGrid w:val="0"/>
          <w:sz w:val="22"/>
          <w:szCs w:val="22"/>
        </w:rPr>
        <w:t>Dotace je udělena v souladu s Rozhodnutím Komise 2012/21/EU</w:t>
      </w:r>
      <w:r w:rsidR="002E2795">
        <w:rPr>
          <w:rStyle w:val="Znakapoznpodarou"/>
          <w:rFonts w:ascii="Arial" w:hAnsi="Arial" w:cs="Arial"/>
          <w:snapToGrid w:val="0"/>
          <w:sz w:val="22"/>
          <w:szCs w:val="22"/>
        </w:rPr>
        <w:footnoteReference w:id="22"/>
      </w:r>
      <w:r w:rsidRPr="006001BE">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w:t>
      </w:r>
      <w:r w:rsidR="002A281E">
        <w:rPr>
          <w:rFonts w:ascii="Arial" w:hAnsi="Arial" w:cs="Arial"/>
          <w:snapToGrid w:val="0"/>
          <w:sz w:val="22"/>
          <w:szCs w:val="22"/>
        </w:rPr>
        <w:t>Rozhodnutí 2012/21/EU</w:t>
      </w:r>
      <w:r w:rsidRPr="006001BE">
        <w:rPr>
          <w:rFonts w:ascii="Arial" w:hAnsi="Arial" w:cs="Arial"/>
          <w:snapToGrid w:val="0"/>
          <w:sz w:val="22"/>
          <w:szCs w:val="22"/>
        </w:rPr>
        <w:t>“).</w:t>
      </w:r>
    </w:p>
    <w:p w14:paraId="36DFA33F" w14:textId="1074CD5D" w:rsidR="006001BE" w:rsidRP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 xml:space="preserve">Příjemce dotace musí být zároveň poskytovatelem SOHZ. Příjemce dotace jako poskytovatel SOHZ musí být pověřen k výkonu SOHZ v souladu s Rozhodnutím </w:t>
      </w:r>
      <w:r w:rsidR="002A281E">
        <w:rPr>
          <w:rFonts w:ascii="Arial" w:hAnsi="Arial" w:cs="Arial"/>
          <w:snapToGrid w:val="0"/>
          <w:sz w:val="22"/>
          <w:szCs w:val="22"/>
        </w:rPr>
        <w:t>2012/21/EU</w:t>
      </w:r>
      <w:r w:rsidRPr="006001BE">
        <w:rPr>
          <w:rFonts w:ascii="Arial" w:hAnsi="Arial" w:cs="Arial"/>
          <w:snapToGrid w:val="0"/>
          <w:sz w:val="22"/>
          <w:szCs w:val="22"/>
        </w:rPr>
        <w:t xml:space="preserve"> po celou dobu životnosti investice. </w:t>
      </w:r>
    </w:p>
    <w:p w14:paraId="30AA1D6E" w14:textId="77777777" w:rsid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728D4557" w:rsidR="009132E6" w:rsidRP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3D26A4FA"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372203">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8CC2B2A"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6BD1612B" w14:textId="2334B936" w:rsidR="002E2795" w:rsidRDefault="002E2795">
      <w:pPr>
        <w:pStyle w:val="Textpoznpodarou"/>
      </w:pPr>
      <w:r>
        <w:rPr>
          <w:rStyle w:val="Znakapoznpodarou"/>
        </w:rPr>
        <w:footnoteRef/>
      </w:r>
      <w:r>
        <w:t xml:space="preserve"> </w:t>
      </w:r>
      <w:r w:rsidRPr="002E2795">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30"/>
  </w:num>
  <w:num w:numId="3">
    <w:abstractNumId w:val="3"/>
  </w:num>
  <w:num w:numId="4">
    <w:abstractNumId w:val="8"/>
  </w:num>
  <w:num w:numId="5">
    <w:abstractNumId w:val="13"/>
  </w:num>
  <w:num w:numId="6">
    <w:abstractNumId w:val="19"/>
  </w:num>
  <w:num w:numId="7">
    <w:abstractNumId w:val="7"/>
  </w:num>
  <w:num w:numId="8">
    <w:abstractNumId w:val="26"/>
  </w:num>
  <w:num w:numId="9">
    <w:abstractNumId w:val="33"/>
  </w:num>
  <w:num w:numId="10">
    <w:abstractNumId w:val="29"/>
  </w:num>
  <w:num w:numId="11">
    <w:abstractNumId w:val="9"/>
  </w:num>
  <w:num w:numId="12">
    <w:abstractNumId w:val="11"/>
  </w:num>
  <w:num w:numId="13">
    <w:abstractNumId w:val="36"/>
  </w:num>
  <w:num w:numId="14">
    <w:abstractNumId w:val="31"/>
  </w:num>
  <w:num w:numId="15">
    <w:abstractNumId w:val="14"/>
  </w:num>
  <w:num w:numId="16">
    <w:abstractNumId w:val="21"/>
  </w:num>
  <w:num w:numId="17">
    <w:abstractNumId w:val="5"/>
  </w:num>
  <w:num w:numId="18">
    <w:abstractNumId w:val="16"/>
  </w:num>
  <w:num w:numId="19">
    <w:abstractNumId w:val="6"/>
  </w:num>
  <w:num w:numId="20">
    <w:abstractNumId w:val="17"/>
  </w:num>
  <w:num w:numId="21">
    <w:abstractNumId w:val="18"/>
  </w:num>
  <w:num w:numId="22">
    <w:abstractNumId w:val="15"/>
  </w:num>
  <w:num w:numId="23">
    <w:abstractNumId w:val="25"/>
  </w:num>
  <w:num w:numId="24">
    <w:abstractNumId w:val="4"/>
  </w:num>
  <w:num w:numId="25">
    <w:abstractNumId w:val="1"/>
  </w:num>
  <w:num w:numId="26">
    <w:abstractNumId w:val="28"/>
  </w:num>
  <w:num w:numId="27">
    <w:abstractNumId w:val="23"/>
  </w:num>
  <w:num w:numId="28">
    <w:abstractNumId w:val="10"/>
  </w:num>
  <w:num w:numId="29">
    <w:abstractNumId w:val="27"/>
  </w:num>
  <w:num w:numId="30">
    <w:abstractNumId w:val="34"/>
  </w:num>
  <w:num w:numId="31">
    <w:abstractNumId w:val="24"/>
  </w:num>
  <w:num w:numId="32">
    <w:abstractNumId w:val="0"/>
  </w:num>
  <w:num w:numId="33">
    <w:abstractNumId w:val="12"/>
  </w:num>
  <w:num w:numId="34">
    <w:abstractNumId w:val="32"/>
  </w:num>
  <w:num w:numId="35">
    <w:abstractNumId w:val="22"/>
  </w:num>
  <w:num w:numId="36">
    <w:abstractNumId w:val="2"/>
  </w:num>
  <w:num w:numId="37">
    <w:abstractNumId w:val="3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1878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281E"/>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795"/>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5D"/>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03"/>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1BE"/>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577C9"/>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364"/>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4760"/>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873"/>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6001BE"/>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0.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11.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2.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3.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14.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5.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6.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7.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8.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9.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0.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1.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22.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3.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24.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25.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3.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4.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5.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6.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7.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8.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9.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18</Pages>
  <Words>4199</Words>
  <Characters>24342</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Kroupová Marcela</cp:lastModifiedBy>
  <cp:revision>10</cp:revision>
  <cp:lastPrinted>2022-07-27T10:25:00Z</cp:lastPrinted>
  <dcterms:created xsi:type="dcterms:W3CDTF">2022-09-20T08:47:00Z</dcterms:created>
  <dcterms:modified xsi:type="dcterms:W3CDTF">2023-02-13T08:26:00Z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