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9400D" w14:textId="4EE8AB9C" w:rsidR="008B09C5" w:rsidRDefault="008B09C5" w:rsidP="008B09C5">
      <w:pPr>
        <w:pStyle w:val="IROPpodtitulekdokumentu"/>
        <w:rPr>
          <w:color w:val="1D71B8"/>
          <w:sz w:val="40"/>
        </w:rPr>
      </w:pPr>
      <w:r w:rsidRPr="008B09C5">
        <w:rPr>
          <w:color w:val="1D71B8"/>
          <w:sz w:val="40"/>
        </w:rPr>
        <w:t>Výsledky kampaně Zateplování</w:t>
      </w:r>
    </w:p>
    <w:p w14:paraId="7AB48278" w14:textId="547BF6C8" w:rsidR="0086637E" w:rsidRDefault="0086637E" w:rsidP="0086637E">
      <w:r>
        <w:rPr>
          <w:b/>
          <w:bCs/>
        </w:rPr>
        <w:t xml:space="preserve">Realizace: </w:t>
      </w:r>
      <w:r w:rsidRPr="0086637E">
        <w:t>25. 2. – 7. 4. 2019</w:t>
      </w:r>
    </w:p>
    <w:p w14:paraId="6763420B" w14:textId="77777777" w:rsidR="0086637E" w:rsidRDefault="0086637E" w:rsidP="0086637E">
      <w:pPr>
        <w:rPr>
          <w:b/>
        </w:rPr>
      </w:pPr>
    </w:p>
    <w:p w14:paraId="32B736DE" w14:textId="5A6B97AD" w:rsidR="0086637E" w:rsidRPr="0086637E" w:rsidRDefault="0086637E" w:rsidP="0086637E">
      <w:pPr>
        <w:rPr>
          <w:b/>
        </w:rPr>
      </w:pPr>
      <w:r w:rsidRPr="0086637E">
        <w:rPr>
          <w:b/>
        </w:rPr>
        <w:t>Rozpočet na mediální prostor:</w:t>
      </w:r>
      <w:r>
        <w:rPr>
          <w:b/>
        </w:rPr>
        <w:t xml:space="preserve"> </w:t>
      </w:r>
      <w:r w:rsidRPr="0086637E">
        <w:t>21 296 000 Kč vč. DPH</w:t>
      </w:r>
    </w:p>
    <w:p w14:paraId="42C95A7B" w14:textId="77777777" w:rsidR="0086637E" w:rsidRDefault="0086637E" w:rsidP="008B09C5">
      <w:pPr>
        <w:rPr>
          <w:rFonts w:eastAsiaTheme="majorEastAsia" w:cstheme="majorBidi"/>
          <w:b/>
          <w:color w:val="878787"/>
          <w:sz w:val="32"/>
          <w:szCs w:val="32"/>
        </w:rPr>
      </w:pPr>
    </w:p>
    <w:p w14:paraId="38F2B8E7" w14:textId="2478A11B" w:rsidR="008B09C5" w:rsidRDefault="008B09C5" w:rsidP="008B09C5">
      <w:pPr>
        <w:rPr>
          <w:rFonts w:eastAsiaTheme="majorEastAsia" w:cstheme="majorBidi"/>
          <w:b/>
          <w:color w:val="878787"/>
          <w:sz w:val="32"/>
          <w:szCs w:val="32"/>
        </w:rPr>
      </w:pPr>
      <w:r w:rsidRPr="008B09C5">
        <w:rPr>
          <w:rFonts w:eastAsiaTheme="majorEastAsia" w:cstheme="majorBidi"/>
          <w:b/>
          <w:color w:val="878787"/>
          <w:sz w:val="32"/>
          <w:szCs w:val="32"/>
        </w:rPr>
        <w:t>Marketingové výsledky</w:t>
      </w:r>
    </w:p>
    <w:p w14:paraId="286DA55D" w14:textId="77777777" w:rsidR="008B09C5" w:rsidRDefault="008B09C5" w:rsidP="008B09C5">
      <w:pPr>
        <w:rPr>
          <w:b/>
          <w:bCs/>
        </w:rPr>
      </w:pPr>
    </w:p>
    <w:p w14:paraId="79CEEA91" w14:textId="05E4751E" w:rsidR="008B09C5" w:rsidRDefault="008B09C5" w:rsidP="008B09C5">
      <w:r w:rsidRPr="008B09C5">
        <w:rPr>
          <w:b/>
          <w:bCs/>
        </w:rPr>
        <w:t xml:space="preserve">Televizní kampaň </w:t>
      </w:r>
      <w:r w:rsidRPr="008B09C5">
        <w:t xml:space="preserve">zahrnovala </w:t>
      </w:r>
      <w:r w:rsidRPr="008B09C5">
        <w:rPr>
          <w:b/>
        </w:rPr>
        <w:t>1 200 spotů</w:t>
      </w:r>
      <w:r w:rsidRPr="008B09C5">
        <w:t xml:space="preserve"> v televizi, které měly v součtu sledovanost </w:t>
      </w:r>
      <w:r w:rsidRPr="008B09C5">
        <w:rPr>
          <w:b/>
        </w:rPr>
        <w:t>114 milionů zhlédnutí</w:t>
      </w:r>
      <w:r w:rsidRPr="008B09C5">
        <w:t xml:space="preserve">. </w:t>
      </w:r>
    </w:p>
    <w:p w14:paraId="2128490D" w14:textId="77777777" w:rsidR="008B09C5" w:rsidRPr="008B09C5" w:rsidRDefault="008B09C5" w:rsidP="008B09C5"/>
    <w:p w14:paraId="1209B623" w14:textId="77777777" w:rsidR="008B09C5" w:rsidRDefault="008B09C5" w:rsidP="008B09C5">
      <w:r w:rsidRPr="008B09C5">
        <w:rPr>
          <w:b/>
          <w:bCs/>
        </w:rPr>
        <w:t xml:space="preserve">Rozhlasová kampaň </w:t>
      </w:r>
      <w:r w:rsidRPr="008B09C5">
        <w:t xml:space="preserve">obsahovala </w:t>
      </w:r>
      <w:r w:rsidRPr="008B09C5">
        <w:rPr>
          <w:b/>
        </w:rPr>
        <w:t>120 spotů</w:t>
      </w:r>
      <w:r w:rsidRPr="008B09C5">
        <w:t xml:space="preserve"> </w:t>
      </w:r>
      <w:r>
        <w:t>na</w:t>
      </w:r>
      <w:r w:rsidRPr="008B09C5">
        <w:t xml:space="preserve"> r</w:t>
      </w:r>
      <w:r>
        <w:t xml:space="preserve">ozhlasové stanici </w:t>
      </w:r>
      <w:proofErr w:type="spellStart"/>
      <w:r>
        <w:t>Radio</w:t>
      </w:r>
      <w:proofErr w:type="spellEnd"/>
      <w:r>
        <w:t xml:space="preserve"> Impuls.</w:t>
      </w:r>
    </w:p>
    <w:p w14:paraId="2D4F8A07" w14:textId="3BF074A7" w:rsidR="008B09C5" w:rsidRDefault="008B09C5" w:rsidP="008B09C5"/>
    <w:p w14:paraId="33E8E23E" w14:textId="77777777" w:rsidR="008B09C5" w:rsidRPr="008B09C5" w:rsidRDefault="008B09C5" w:rsidP="008B09C5">
      <w:r w:rsidRPr="008B09C5">
        <w:rPr>
          <w:b/>
          <w:bCs/>
        </w:rPr>
        <w:t xml:space="preserve">Reklamu v kinech </w:t>
      </w:r>
      <w:r w:rsidRPr="008B09C5">
        <w:t xml:space="preserve">vidělo více než </w:t>
      </w:r>
      <w:r w:rsidRPr="008B09C5">
        <w:rPr>
          <w:b/>
        </w:rPr>
        <w:t>385 tisíc diváků</w:t>
      </w:r>
      <w:r w:rsidRPr="008B09C5">
        <w:t xml:space="preserve">. </w:t>
      </w:r>
    </w:p>
    <w:p w14:paraId="12B8069C" w14:textId="593AC389" w:rsidR="008B09C5" w:rsidRDefault="008B09C5" w:rsidP="008B09C5"/>
    <w:p w14:paraId="0127611A" w14:textId="210FD229" w:rsidR="008B09C5" w:rsidRDefault="008B09C5" w:rsidP="008B09C5">
      <w:r w:rsidRPr="008B09C5">
        <w:rPr>
          <w:b/>
          <w:bCs/>
        </w:rPr>
        <w:t xml:space="preserve">Tisková kampaň </w:t>
      </w:r>
      <w:r w:rsidRPr="008B09C5">
        <w:t xml:space="preserve">obsahovala </w:t>
      </w:r>
      <w:r w:rsidRPr="008B09C5">
        <w:rPr>
          <w:b/>
        </w:rPr>
        <w:t>49 inzerátů</w:t>
      </w:r>
      <w:r w:rsidRPr="008B09C5">
        <w:t xml:space="preserve"> v suplementech nejčtenějšího zpravodajského deníku. </w:t>
      </w:r>
    </w:p>
    <w:p w14:paraId="76FE4595" w14:textId="0F3060FC" w:rsidR="008B09C5" w:rsidRDefault="008B09C5" w:rsidP="008B09C5"/>
    <w:p w14:paraId="2BBB2BA7" w14:textId="77777777" w:rsidR="008B09C5" w:rsidRPr="008B09C5" w:rsidRDefault="008B09C5" w:rsidP="008B09C5">
      <w:pPr>
        <w:rPr>
          <w:b/>
          <w:bCs/>
        </w:rPr>
      </w:pPr>
      <w:r w:rsidRPr="008B09C5">
        <w:rPr>
          <w:b/>
          <w:bCs/>
        </w:rPr>
        <w:t xml:space="preserve">Online kampaň </w:t>
      </w:r>
    </w:p>
    <w:p w14:paraId="4686638F" w14:textId="77777777" w:rsidR="008B09C5" w:rsidRPr="008B09C5" w:rsidRDefault="008B09C5" w:rsidP="008B09C5">
      <w:pPr>
        <w:numPr>
          <w:ilvl w:val="0"/>
          <w:numId w:val="6"/>
        </w:numPr>
      </w:pPr>
      <w:r w:rsidRPr="008B09C5">
        <w:t xml:space="preserve">oslovila celkem </w:t>
      </w:r>
      <w:r w:rsidRPr="008B09C5">
        <w:rPr>
          <w:b/>
        </w:rPr>
        <w:t>7 426 333 unikátních uživatelů</w:t>
      </w:r>
      <w:r w:rsidRPr="008B09C5">
        <w:t xml:space="preserve"> internetu</w:t>
      </w:r>
    </w:p>
    <w:p w14:paraId="2CA64023" w14:textId="77777777" w:rsidR="008B09C5" w:rsidRPr="008B09C5" w:rsidRDefault="008B09C5" w:rsidP="008B09C5">
      <w:pPr>
        <w:numPr>
          <w:ilvl w:val="0"/>
          <w:numId w:val="6"/>
        </w:numPr>
        <w:rPr>
          <w:b/>
        </w:rPr>
      </w:pPr>
      <w:r w:rsidRPr="008B09C5">
        <w:t xml:space="preserve">každý z uživatelů se pak setkal v průměru </w:t>
      </w:r>
      <w:r w:rsidRPr="008B09C5">
        <w:rPr>
          <w:b/>
        </w:rPr>
        <w:t xml:space="preserve">10,9 krát s bannerem nebo </w:t>
      </w:r>
      <w:proofErr w:type="spellStart"/>
      <w:r w:rsidRPr="008B09C5">
        <w:rPr>
          <w:b/>
        </w:rPr>
        <w:t>videospotem</w:t>
      </w:r>
      <w:proofErr w:type="spellEnd"/>
    </w:p>
    <w:p w14:paraId="00F75ABB" w14:textId="58F6FE69" w:rsidR="008B09C5" w:rsidRPr="008B09C5" w:rsidRDefault="008B09C5" w:rsidP="008B09C5">
      <w:pPr>
        <w:numPr>
          <w:ilvl w:val="0"/>
          <w:numId w:val="6"/>
        </w:numPr>
      </w:pPr>
      <w:r w:rsidRPr="008B09C5">
        <w:t xml:space="preserve">téměř </w:t>
      </w:r>
      <w:r w:rsidRPr="008B09C5">
        <w:rPr>
          <w:b/>
        </w:rPr>
        <w:t xml:space="preserve">60 milionů zobrazení </w:t>
      </w:r>
      <w:proofErr w:type="spellStart"/>
      <w:r w:rsidRPr="008B09C5">
        <w:rPr>
          <w:b/>
        </w:rPr>
        <w:t>brandingu</w:t>
      </w:r>
      <w:proofErr w:type="spellEnd"/>
      <w:r w:rsidRPr="008B09C5">
        <w:t xml:space="preserve"> a téměř </w:t>
      </w:r>
      <w:r w:rsidRPr="008B09C5">
        <w:rPr>
          <w:b/>
        </w:rPr>
        <w:t>30 milion</w:t>
      </w:r>
      <w:r w:rsidR="002E3279">
        <w:rPr>
          <w:b/>
        </w:rPr>
        <w:t>ů</w:t>
      </w:r>
      <w:r w:rsidRPr="008B09C5">
        <w:rPr>
          <w:b/>
        </w:rPr>
        <w:t xml:space="preserve"> zobrazení </w:t>
      </w:r>
      <w:proofErr w:type="spellStart"/>
      <w:r w:rsidRPr="008B09C5">
        <w:rPr>
          <w:b/>
        </w:rPr>
        <w:t>videospotu</w:t>
      </w:r>
      <w:proofErr w:type="spellEnd"/>
      <w:r w:rsidRPr="008B09C5">
        <w:t xml:space="preserve"> na největších zpravodajských portálech</w:t>
      </w:r>
    </w:p>
    <w:p w14:paraId="2C606D82" w14:textId="02DEBF14" w:rsidR="008B09C5" w:rsidRPr="008B09C5" w:rsidRDefault="008B09C5" w:rsidP="008B09C5">
      <w:pPr>
        <w:numPr>
          <w:ilvl w:val="0"/>
          <w:numId w:val="6"/>
        </w:numPr>
      </w:pPr>
      <w:r w:rsidRPr="008B09C5">
        <w:t xml:space="preserve">propagované příspěvky na </w:t>
      </w:r>
      <w:r w:rsidRPr="008B09C5">
        <w:rPr>
          <w:b/>
          <w:bCs/>
        </w:rPr>
        <w:t xml:space="preserve">sociálních sítích </w:t>
      </w:r>
      <w:r w:rsidRPr="008B09C5">
        <w:t>(</w:t>
      </w:r>
      <w:proofErr w:type="spellStart"/>
      <w:r w:rsidRPr="008B09C5">
        <w:t>Facebook</w:t>
      </w:r>
      <w:proofErr w:type="spellEnd"/>
      <w:r w:rsidRPr="008B09C5">
        <w:t xml:space="preserve"> a </w:t>
      </w:r>
      <w:proofErr w:type="spellStart"/>
      <w:r w:rsidRPr="008B09C5">
        <w:t>Instagram</w:t>
      </w:r>
      <w:proofErr w:type="spellEnd"/>
      <w:r w:rsidRPr="008B09C5">
        <w:t>)</w:t>
      </w:r>
      <w:r>
        <w:t xml:space="preserve"> dosáhly </w:t>
      </w:r>
      <w:r w:rsidRPr="008B09C5">
        <w:rPr>
          <w:b/>
        </w:rPr>
        <w:t>9,3 milion</w:t>
      </w:r>
      <w:r w:rsidR="002E3279">
        <w:rPr>
          <w:b/>
        </w:rPr>
        <w:t>ů</w:t>
      </w:r>
      <w:r w:rsidRPr="008B09C5">
        <w:rPr>
          <w:b/>
        </w:rPr>
        <w:t xml:space="preserve"> zobrazení</w:t>
      </w:r>
      <w:r w:rsidRPr="008B09C5">
        <w:t xml:space="preserve"> </w:t>
      </w:r>
    </w:p>
    <w:p w14:paraId="4E055C1E" w14:textId="077DF22F" w:rsidR="008B09C5" w:rsidRDefault="008B09C5" w:rsidP="008B09C5"/>
    <w:p w14:paraId="7D916C3D" w14:textId="77777777" w:rsidR="008B09C5" w:rsidRPr="008B09C5" w:rsidRDefault="008B09C5" w:rsidP="008B09C5">
      <w:r w:rsidRPr="008B09C5">
        <w:rPr>
          <w:b/>
          <w:bCs/>
        </w:rPr>
        <w:t xml:space="preserve">Webové stránky </w:t>
      </w:r>
      <w:r w:rsidRPr="008B09C5">
        <w:rPr>
          <w:b/>
        </w:rPr>
        <w:t>www.jdetozateplit.cz</w:t>
      </w:r>
      <w:r w:rsidRPr="008B09C5">
        <w:t xml:space="preserve"> spuštěné spolu s kampaní pak navštívilo </w:t>
      </w:r>
      <w:r w:rsidRPr="008B09C5">
        <w:rPr>
          <w:b/>
        </w:rPr>
        <w:t>231 618 uživatelů</w:t>
      </w:r>
      <w:r w:rsidRPr="008B09C5">
        <w:t xml:space="preserve">, z toho: </w:t>
      </w:r>
    </w:p>
    <w:p w14:paraId="4EF259D8" w14:textId="4EEFE316" w:rsidR="008B09C5" w:rsidRPr="008B09C5" w:rsidRDefault="008B09C5" w:rsidP="008B09C5">
      <w:pPr>
        <w:pStyle w:val="Odstavecseseznamem"/>
        <w:numPr>
          <w:ilvl w:val="0"/>
          <w:numId w:val="7"/>
        </w:numPr>
      </w:pPr>
      <w:r w:rsidRPr="008B09C5">
        <w:t xml:space="preserve">205 236 přišlo z bannerů a videí v rámci kampaně, </w:t>
      </w:r>
    </w:p>
    <w:p w14:paraId="426D8CB5" w14:textId="4B4B7E85" w:rsidR="008B09C5" w:rsidRPr="008B09C5" w:rsidRDefault="008B09C5" w:rsidP="008B09C5">
      <w:pPr>
        <w:pStyle w:val="Odstavecseseznamem"/>
        <w:numPr>
          <w:ilvl w:val="0"/>
          <w:numId w:val="7"/>
        </w:numPr>
      </w:pPr>
      <w:r w:rsidRPr="008B09C5">
        <w:t xml:space="preserve">10 296 přišlo z vyhledavače </w:t>
      </w:r>
      <w:proofErr w:type="spellStart"/>
      <w:r w:rsidRPr="008B09C5">
        <w:t>google</w:t>
      </w:r>
      <w:proofErr w:type="spellEnd"/>
      <w:r w:rsidRPr="008B09C5">
        <w:t xml:space="preserve">, </w:t>
      </w:r>
    </w:p>
    <w:p w14:paraId="7FBBE267" w14:textId="7AEB834F" w:rsidR="008B09C5" w:rsidRPr="008B09C5" w:rsidRDefault="008B09C5" w:rsidP="008B09C5">
      <w:pPr>
        <w:pStyle w:val="Odstavecseseznamem"/>
        <w:numPr>
          <w:ilvl w:val="0"/>
          <w:numId w:val="7"/>
        </w:numPr>
      </w:pPr>
      <w:r w:rsidRPr="008B09C5">
        <w:t xml:space="preserve">1 183 přišlo z vyhledavače seznam, </w:t>
      </w:r>
    </w:p>
    <w:p w14:paraId="65E983C6" w14:textId="719DD372" w:rsidR="008B09C5" w:rsidRPr="008B09C5" w:rsidRDefault="008B09C5" w:rsidP="008B09C5">
      <w:pPr>
        <w:pStyle w:val="Odstavecseseznamem"/>
        <w:numPr>
          <w:ilvl w:val="0"/>
          <w:numId w:val="7"/>
        </w:numPr>
      </w:pPr>
      <w:r w:rsidRPr="008B09C5">
        <w:t xml:space="preserve">6 196 přišlo ze sociálních sítí, </w:t>
      </w:r>
    </w:p>
    <w:p w14:paraId="4A713498" w14:textId="507ADE02" w:rsidR="008B09C5" w:rsidRPr="008B09C5" w:rsidRDefault="008B09C5" w:rsidP="008B09C5">
      <w:pPr>
        <w:pStyle w:val="Odstavecseseznamem"/>
        <w:numPr>
          <w:ilvl w:val="0"/>
          <w:numId w:val="7"/>
        </w:numPr>
      </w:pPr>
      <w:r w:rsidRPr="008B09C5">
        <w:t xml:space="preserve">7 970 přišlo na stránky přímo zadáním adresy, </w:t>
      </w:r>
    </w:p>
    <w:p w14:paraId="73FB9A1C" w14:textId="423C1D3D" w:rsidR="008B09C5" w:rsidRPr="008B09C5" w:rsidRDefault="008B09C5" w:rsidP="008B09C5">
      <w:pPr>
        <w:pStyle w:val="Odstavecseseznamem"/>
        <w:numPr>
          <w:ilvl w:val="0"/>
          <w:numId w:val="7"/>
        </w:numPr>
      </w:pPr>
      <w:r w:rsidRPr="00F91515">
        <w:rPr>
          <w:b/>
        </w:rPr>
        <w:t>29 062</w:t>
      </w:r>
      <w:r w:rsidRPr="008B09C5">
        <w:t xml:space="preserve"> uživatelů se na web po první návštěvě znovu vrátilo. </w:t>
      </w:r>
    </w:p>
    <w:p w14:paraId="05C0A901" w14:textId="77777777" w:rsidR="008B09C5" w:rsidRPr="008B09C5" w:rsidRDefault="008B09C5" w:rsidP="008B09C5"/>
    <w:p w14:paraId="0B0AF49B" w14:textId="12BBDB37" w:rsidR="008B09C5" w:rsidRDefault="008B09C5" w:rsidP="008B09C5">
      <w:pPr>
        <w:rPr>
          <w:rFonts w:eastAsiaTheme="majorEastAsia" w:cstheme="majorBidi"/>
          <w:b/>
          <w:color w:val="878787"/>
          <w:sz w:val="32"/>
          <w:szCs w:val="32"/>
        </w:rPr>
      </w:pPr>
      <w:r>
        <w:rPr>
          <w:rFonts w:eastAsiaTheme="majorEastAsia" w:cstheme="majorBidi"/>
          <w:b/>
          <w:color w:val="878787"/>
          <w:sz w:val="32"/>
          <w:szCs w:val="32"/>
        </w:rPr>
        <w:t>Kvalitativní</w:t>
      </w:r>
      <w:r w:rsidRPr="008B09C5">
        <w:rPr>
          <w:rFonts w:eastAsiaTheme="majorEastAsia" w:cstheme="majorBidi"/>
          <w:b/>
          <w:color w:val="878787"/>
          <w:sz w:val="32"/>
          <w:szCs w:val="32"/>
        </w:rPr>
        <w:t xml:space="preserve"> výsledky</w:t>
      </w:r>
    </w:p>
    <w:p w14:paraId="2B720673" w14:textId="5A778644" w:rsidR="00320614" w:rsidRDefault="00320614" w:rsidP="00320614">
      <w:pPr>
        <w:autoSpaceDE w:val="0"/>
        <w:autoSpaceDN w:val="0"/>
        <w:rPr>
          <w:b/>
          <w:bCs/>
          <w:color w:val="1D1D1B"/>
        </w:rPr>
      </w:pPr>
      <w:r w:rsidRPr="000644CB">
        <w:rPr>
          <w:b/>
          <w:bCs/>
          <w:color w:val="1D1D1B"/>
        </w:rPr>
        <w:t xml:space="preserve">Povědomí o </w:t>
      </w:r>
      <w:r>
        <w:rPr>
          <w:b/>
          <w:bCs/>
          <w:color w:val="1D1D1B"/>
        </w:rPr>
        <w:t>IROP</w:t>
      </w:r>
      <w:r w:rsidRPr="000644CB">
        <w:rPr>
          <w:b/>
          <w:bCs/>
          <w:color w:val="1D1D1B"/>
        </w:rPr>
        <w:t xml:space="preserve"> narostlo z </w:t>
      </w:r>
      <w:r>
        <w:rPr>
          <w:b/>
          <w:bCs/>
          <w:color w:val="1D1D1B"/>
        </w:rPr>
        <w:t>29,5</w:t>
      </w:r>
      <w:r w:rsidRPr="000644CB">
        <w:rPr>
          <w:b/>
          <w:bCs/>
          <w:color w:val="1D1D1B"/>
        </w:rPr>
        <w:t xml:space="preserve"> % na </w:t>
      </w:r>
      <w:r>
        <w:rPr>
          <w:b/>
          <w:bCs/>
          <w:color w:val="1D1D1B"/>
        </w:rPr>
        <w:t>33</w:t>
      </w:r>
      <w:r w:rsidRPr="000644CB">
        <w:rPr>
          <w:b/>
          <w:bCs/>
          <w:color w:val="1D1D1B"/>
        </w:rPr>
        <w:t>,1 % cílové skupiny</w:t>
      </w:r>
      <w:r>
        <w:rPr>
          <w:b/>
          <w:bCs/>
          <w:color w:val="1D1D1B"/>
        </w:rPr>
        <w:t xml:space="preserve"> </w:t>
      </w:r>
      <w:r>
        <w:rPr>
          <w:rFonts w:cs="Arial"/>
          <w:b/>
          <w:bCs/>
          <w:color w:val="1D1D1B"/>
        </w:rPr>
        <w:t>→</w:t>
      </w:r>
      <w:r>
        <w:rPr>
          <w:b/>
          <w:bCs/>
          <w:color w:val="1D1D1B"/>
        </w:rPr>
        <w:t xml:space="preserve"> nárůst </w:t>
      </w:r>
      <w:r w:rsidR="005023B1">
        <w:rPr>
          <w:b/>
          <w:bCs/>
          <w:color w:val="1D1D1B"/>
        </w:rPr>
        <w:t xml:space="preserve">o </w:t>
      </w:r>
      <w:r>
        <w:rPr>
          <w:b/>
          <w:bCs/>
          <w:color w:val="1D1D1B"/>
        </w:rPr>
        <w:t xml:space="preserve">3,6 </w:t>
      </w:r>
      <w:proofErr w:type="spellStart"/>
      <w:proofErr w:type="gramStart"/>
      <w:r w:rsidR="00EF7EDB">
        <w:rPr>
          <w:b/>
          <w:bCs/>
          <w:color w:val="1D1D1B"/>
        </w:rPr>
        <w:t>p.b</w:t>
      </w:r>
      <w:proofErr w:type="spellEnd"/>
      <w:r>
        <w:rPr>
          <w:b/>
          <w:bCs/>
          <w:color w:val="1D1D1B"/>
        </w:rPr>
        <w:t>.</w:t>
      </w:r>
      <w:proofErr w:type="gramEnd"/>
    </w:p>
    <w:p w14:paraId="489F7829" w14:textId="15210A01" w:rsidR="00F730D3" w:rsidRDefault="00F730D3" w:rsidP="00F730D3">
      <w:pPr>
        <w:autoSpaceDE w:val="0"/>
        <w:autoSpaceDN w:val="0"/>
        <w:rPr>
          <w:bCs/>
          <w:color w:val="1D1D1B"/>
        </w:rPr>
      </w:pPr>
      <w:r w:rsidRPr="00320614">
        <w:rPr>
          <w:bCs/>
          <w:color w:val="1D1D1B"/>
        </w:rPr>
        <w:t>Povědomí o možnosti financování</w:t>
      </w:r>
      <w:r w:rsidRPr="00F730D3">
        <w:rPr>
          <w:b/>
          <w:bCs/>
          <w:color w:val="1D1D1B"/>
        </w:rPr>
        <w:t xml:space="preserve"> zateplování bytových domů</w:t>
      </w:r>
      <w:r w:rsidRPr="00F730D3">
        <w:rPr>
          <w:bCs/>
          <w:color w:val="1D1D1B"/>
        </w:rPr>
        <w:t xml:space="preserve"> </w:t>
      </w:r>
      <w:r w:rsidR="00320614">
        <w:rPr>
          <w:bCs/>
          <w:color w:val="1D1D1B"/>
        </w:rPr>
        <w:t>z</w:t>
      </w:r>
      <w:r w:rsidRPr="00F730D3">
        <w:rPr>
          <w:bCs/>
          <w:color w:val="1D1D1B"/>
        </w:rPr>
        <w:t xml:space="preserve"> IROP </w:t>
      </w:r>
      <w:r w:rsidR="00320614" w:rsidRPr="00320614">
        <w:rPr>
          <w:bCs/>
          <w:color w:val="1D1D1B"/>
        </w:rPr>
        <w:t xml:space="preserve">narostlo z </w:t>
      </w:r>
      <w:r w:rsidR="00320614" w:rsidRPr="00320614">
        <w:rPr>
          <w:b/>
          <w:bCs/>
          <w:color w:val="1D1D1B"/>
        </w:rPr>
        <w:t>24 % na 30,5</w:t>
      </w:r>
      <w:r w:rsidR="00320614" w:rsidRPr="00320614">
        <w:rPr>
          <w:bCs/>
          <w:color w:val="1D1D1B"/>
        </w:rPr>
        <w:t xml:space="preserve"> % cílové skupiny</w:t>
      </w:r>
      <w:r w:rsidR="00320614">
        <w:rPr>
          <w:bCs/>
          <w:color w:val="1D1D1B"/>
        </w:rPr>
        <w:t xml:space="preserve"> (CS) </w:t>
      </w:r>
      <w:r w:rsidR="00320614">
        <w:rPr>
          <w:rFonts w:cs="Arial"/>
          <w:b/>
          <w:bCs/>
          <w:color w:val="1D1D1B"/>
        </w:rPr>
        <w:t>→</w:t>
      </w:r>
      <w:r w:rsidR="00320614">
        <w:rPr>
          <w:b/>
          <w:bCs/>
          <w:color w:val="1D1D1B"/>
        </w:rPr>
        <w:t xml:space="preserve"> nárůst </w:t>
      </w:r>
      <w:r w:rsidR="00EF7EDB">
        <w:rPr>
          <w:b/>
          <w:bCs/>
          <w:color w:val="1D1D1B"/>
        </w:rPr>
        <w:t xml:space="preserve">o </w:t>
      </w:r>
      <w:r w:rsidR="00320614">
        <w:rPr>
          <w:b/>
          <w:bCs/>
          <w:color w:val="1D1D1B"/>
        </w:rPr>
        <w:t xml:space="preserve">6,5 </w:t>
      </w:r>
      <w:proofErr w:type="spellStart"/>
      <w:proofErr w:type="gramStart"/>
      <w:r w:rsidR="00EF7EDB">
        <w:rPr>
          <w:b/>
          <w:bCs/>
          <w:color w:val="1D1D1B"/>
        </w:rPr>
        <w:t>p.b</w:t>
      </w:r>
      <w:proofErr w:type="spellEnd"/>
      <w:r w:rsidR="00320614">
        <w:rPr>
          <w:b/>
          <w:bCs/>
          <w:color w:val="1D1D1B"/>
        </w:rPr>
        <w:t>.</w:t>
      </w:r>
      <w:proofErr w:type="gramEnd"/>
    </w:p>
    <w:p w14:paraId="6FEBF42B" w14:textId="0C19F17A" w:rsidR="00F730D3" w:rsidRDefault="00F730D3" w:rsidP="00F730D3">
      <w:pPr>
        <w:autoSpaceDE w:val="0"/>
        <w:autoSpaceDN w:val="0"/>
        <w:rPr>
          <w:bCs/>
          <w:color w:val="1D1D1B"/>
        </w:rPr>
      </w:pPr>
      <w:r>
        <w:rPr>
          <w:bCs/>
          <w:color w:val="1D1D1B"/>
        </w:rPr>
        <w:lastRenderedPageBreak/>
        <w:t>Přes</w:t>
      </w:r>
      <w:r w:rsidR="00304579">
        <w:rPr>
          <w:bCs/>
          <w:color w:val="1D1D1B"/>
        </w:rPr>
        <w:t>to</w:t>
      </w:r>
      <w:r>
        <w:rPr>
          <w:bCs/>
          <w:color w:val="1D1D1B"/>
        </w:rPr>
        <w:t xml:space="preserve"> </w:t>
      </w:r>
      <w:r w:rsidRPr="00F730D3">
        <w:rPr>
          <w:b/>
          <w:bCs/>
          <w:color w:val="1D1D1B"/>
        </w:rPr>
        <w:t>90 %</w:t>
      </w:r>
      <w:r w:rsidRPr="00F730D3">
        <w:rPr>
          <w:bCs/>
          <w:color w:val="1D1D1B"/>
        </w:rPr>
        <w:t xml:space="preserve"> lidí si myslí, že žádost o dotaci obnáší </w:t>
      </w:r>
      <w:r w:rsidRPr="00F730D3">
        <w:rPr>
          <w:b/>
          <w:bCs/>
          <w:color w:val="1D1D1B"/>
        </w:rPr>
        <w:t>spoustu papírování</w:t>
      </w:r>
      <w:r w:rsidRPr="00F730D3">
        <w:rPr>
          <w:bCs/>
          <w:color w:val="1D1D1B"/>
        </w:rPr>
        <w:t>.</w:t>
      </w:r>
    </w:p>
    <w:p w14:paraId="7C6E0B73" w14:textId="77777777" w:rsidR="00EF7EDB" w:rsidRDefault="00EF7EDB" w:rsidP="009D683B">
      <w:pPr>
        <w:rPr>
          <w:rFonts w:eastAsiaTheme="majorEastAsia" w:cstheme="majorBidi"/>
          <w:b/>
          <w:color w:val="878787"/>
          <w:sz w:val="32"/>
          <w:szCs w:val="32"/>
        </w:rPr>
      </w:pPr>
    </w:p>
    <w:p w14:paraId="4D1F2296" w14:textId="5F4530CD" w:rsidR="009D683B" w:rsidRDefault="009D683B" w:rsidP="009D683B">
      <w:pPr>
        <w:rPr>
          <w:rFonts w:eastAsiaTheme="majorEastAsia" w:cstheme="majorBidi"/>
          <w:b/>
          <w:color w:val="878787"/>
          <w:sz w:val="32"/>
          <w:szCs w:val="32"/>
        </w:rPr>
      </w:pPr>
      <w:r>
        <w:rPr>
          <w:rFonts w:eastAsiaTheme="majorEastAsia" w:cstheme="majorBidi"/>
          <w:b/>
          <w:color w:val="878787"/>
          <w:sz w:val="32"/>
          <w:szCs w:val="32"/>
        </w:rPr>
        <w:t xml:space="preserve">Dopady na </w:t>
      </w:r>
      <w:r w:rsidR="000C6C8C">
        <w:rPr>
          <w:rFonts w:eastAsiaTheme="majorEastAsia" w:cstheme="majorBidi"/>
          <w:b/>
          <w:color w:val="878787"/>
          <w:sz w:val="32"/>
          <w:szCs w:val="32"/>
        </w:rPr>
        <w:t xml:space="preserve">vývoj v </w:t>
      </w:r>
      <w:r>
        <w:rPr>
          <w:rFonts w:eastAsiaTheme="majorEastAsia" w:cstheme="majorBidi"/>
          <w:b/>
          <w:color w:val="878787"/>
          <w:sz w:val="32"/>
          <w:szCs w:val="32"/>
        </w:rPr>
        <w:t>předkládání projektů</w:t>
      </w:r>
    </w:p>
    <w:p w14:paraId="54BED497" w14:textId="77777777" w:rsidR="000C6C8C" w:rsidRDefault="000C6C8C" w:rsidP="009D683B">
      <w:pPr>
        <w:rPr>
          <w:rFonts w:eastAsiaTheme="majorEastAsia" w:cstheme="majorBidi"/>
          <w:b/>
          <w:color w:val="878787"/>
          <w:sz w:val="32"/>
          <w:szCs w:val="32"/>
        </w:rPr>
      </w:pPr>
    </w:p>
    <w:p w14:paraId="2DEB22D9" w14:textId="15168D55" w:rsidR="009D683B" w:rsidRDefault="00BC3022" w:rsidP="00BC3022">
      <w:pPr>
        <w:rPr>
          <w:rFonts w:eastAsiaTheme="majorEastAsia" w:cstheme="majorBidi"/>
          <w:b/>
          <w:color w:val="878787"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1D38B3B2" wp14:editId="12BD79E9">
            <wp:extent cx="6210300" cy="4495800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18C4B5A" w14:textId="709FA821" w:rsidR="00B76A54" w:rsidRDefault="00B76A54" w:rsidP="009D683B">
      <w:pPr>
        <w:rPr>
          <w:rFonts w:eastAsiaTheme="majorEastAsia" w:cstheme="majorBidi"/>
          <w:b/>
          <w:color w:val="878787"/>
          <w:sz w:val="32"/>
          <w:szCs w:val="32"/>
        </w:rPr>
      </w:pPr>
    </w:p>
    <w:p w14:paraId="3801ECDB" w14:textId="18EB6FAA" w:rsidR="00BC3022" w:rsidRDefault="00BC3022" w:rsidP="009D683B">
      <w:pPr>
        <w:rPr>
          <w:rFonts w:eastAsiaTheme="majorEastAsia" w:cstheme="majorBidi"/>
          <w:b/>
          <w:color w:val="878787"/>
          <w:sz w:val="32"/>
          <w:szCs w:val="32"/>
        </w:rPr>
      </w:pPr>
    </w:p>
    <w:p w14:paraId="1B278422" w14:textId="5D0D9BA6" w:rsidR="00BC3022" w:rsidRDefault="00BC3022" w:rsidP="009D683B">
      <w:pPr>
        <w:rPr>
          <w:rFonts w:eastAsiaTheme="majorEastAsia" w:cstheme="majorBidi"/>
          <w:b/>
          <w:color w:val="878787"/>
          <w:sz w:val="32"/>
          <w:szCs w:val="32"/>
        </w:rPr>
      </w:pPr>
    </w:p>
    <w:p w14:paraId="6E191249" w14:textId="7290B0B2" w:rsidR="00BC3022" w:rsidRDefault="00BC3022" w:rsidP="009D683B">
      <w:pPr>
        <w:rPr>
          <w:rFonts w:eastAsiaTheme="majorEastAsia" w:cstheme="majorBidi"/>
          <w:b/>
          <w:color w:val="878787"/>
          <w:sz w:val="32"/>
          <w:szCs w:val="32"/>
        </w:rPr>
      </w:pPr>
      <w:r>
        <w:rPr>
          <w:noProof/>
          <w:lang w:eastAsia="cs-CZ"/>
        </w:rPr>
        <w:lastRenderedPageBreak/>
        <w:drawing>
          <wp:inline distT="0" distB="0" distL="0" distR="0" wp14:anchorId="33D785A4" wp14:editId="46EE70EF">
            <wp:extent cx="6305550" cy="3486150"/>
            <wp:effectExtent l="0" t="0" r="0" b="0"/>
            <wp:docPr id="9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FAA03AA" w14:textId="23512262" w:rsidR="00BC3022" w:rsidRPr="00B76A54" w:rsidRDefault="00BC3022" w:rsidP="00B76A54">
      <w:pPr>
        <w:rPr>
          <w:rFonts w:eastAsiaTheme="majorEastAsia" w:cstheme="majorBidi"/>
          <w:b/>
          <w:color w:val="878787"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7AA0D055" wp14:editId="550D71E5">
            <wp:extent cx="6105525" cy="4248150"/>
            <wp:effectExtent l="0" t="0" r="0" b="0"/>
            <wp:docPr id="10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73AB31A" w14:textId="6035B157" w:rsidR="002E3279" w:rsidRDefault="0086637E" w:rsidP="00B61362">
      <w:pPr>
        <w:pStyle w:val="IROPpodtitulekdokumentu"/>
        <w:rPr>
          <w:color w:val="1D71B8"/>
          <w:sz w:val="40"/>
        </w:rPr>
      </w:pPr>
      <w:bookmarkStart w:id="0" w:name="_GoBack"/>
      <w:bookmarkEnd w:id="0"/>
      <w:r>
        <w:rPr>
          <w:color w:val="1D71B8"/>
          <w:sz w:val="40"/>
        </w:rPr>
        <w:lastRenderedPageBreak/>
        <w:t>V</w:t>
      </w:r>
      <w:r w:rsidR="002E3279" w:rsidRPr="008B09C5">
        <w:rPr>
          <w:color w:val="1D71B8"/>
          <w:sz w:val="40"/>
        </w:rPr>
        <w:t xml:space="preserve">ýsledky kampaně </w:t>
      </w:r>
      <w:r w:rsidR="002E3279">
        <w:rPr>
          <w:color w:val="1D71B8"/>
          <w:sz w:val="40"/>
        </w:rPr>
        <w:t>Památky</w:t>
      </w:r>
    </w:p>
    <w:p w14:paraId="1CF40FBF" w14:textId="1C178044" w:rsidR="0086637E" w:rsidRDefault="0086637E" w:rsidP="0086637E">
      <w:r>
        <w:rPr>
          <w:b/>
          <w:bCs/>
        </w:rPr>
        <w:t xml:space="preserve">Realizace: </w:t>
      </w:r>
      <w:r>
        <w:rPr>
          <w:rFonts w:cs="Arial"/>
          <w:sz w:val="20"/>
          <w:szCs w:val="20"/>
        </w:rPr>
        <w:t>6. 5. – 16. 6. 2019</w:t>
      </w:r>
    </w:p>
    <w:p w14:paraId="5A0CCF74" w14:textId="77777777" w:rsidR="0086637E" w:rsidRDefault="0086637E" w:rsidP="0086637E">
      <w:pPr>
        <w:rPr>
          <w:b/>
        </w:rPr>
      </w:pPr>
    </w:p>
    <w:p w14:paraId="387F7067" w14:textId="308258EA" w:rsidR="0086637E" w:rsidRPr="0086637E" w:rsidRDefault="0086637E" w:rsidP="0086637E">
      <w:pPr>
        <w:rPr>
          <w:b/>
        </w:rPr>
      </w:pPr>
      <w:r w:rsidRPr="0086637E">
        <w:rPr>
          <w:b/>
        </w:rPr>
        <w:t>Rozpočet na mediální prostor:</w:t>
      </w:r>
      <w:r>
        <w:rPr>
          <w:b/>
        </w:rPr>
        <w:t xml:space="preserve"> </w:t>
      </w:r>
      <w:r w:rsidRPr="0086637E">
        <w:rPr>
          <w:rFonts w:cs="Arial"/>
          <w:sz w:val="20"/>
          <w:szCs w:val="20"/>
        </w:rPr>
        <w:t>17 424 000 vč. DPH</w:t>
      </w:r>
    </w:p>
    <w:p w14:paraId="5D201B1D" w14:textId="77777777" w:rsidR="0086637E" w:rsidRDefault="0086637E" w:rsidP="002E3279">
      <w:pPr>
        <w:rPr>
          <w:rFonts w:eastAsiaTheme="majorEastAsia" w:cstheme="majorBidi"/>
          <w:b/>
          <w:color w:val="878787"/>
          <w:sz w:val="32"/>
          <w:szCs w:val="32"/>
        </w:rPr>
      </w:pPr>
    </w:p>
    <w:p w14:paraId="61F5AC35" w14:textId="4EA64E8B" w:rsidR="002E3279" w:rsidRDefault="002E3279" w:rsidP="002E3279">
      <w:pPr>
        <w:rPr>
          <w:rFonts w:eastAsiaTheme="majorEastAsia" w:cstheme="majorBidi"/>
          <w:b/>
          <w:color w:val="878787"/>
          <w:sz w:val="32"/>
          <w:szCs w:val="32"/>
        </w:rPr>
      </w:pPr>
      <w:r w:rsidRPr="008B09C5">
        <w:rPr>
          <w:rFonts w:eastAsiaTheme="majorEastAsia" w:cstheme="majorBidi"/>
          <w:b/>
          <w:color w:val="878787"/>
          <w:sz w:val="32"/>
          <w:szCs w:val="32"/>
        </w:rPr>
        <w:t>Marketingové výsledky</w:t>
      </w:r>
    </w:p>
    <w:p w14:paraId="5DEE8431" w14:textId="77777777" w:rsidR="00F730D3" w:rsidRDefault="00F730D3" w:rsidP="002E3279">
      <w:pPr>
        <w:rPr>
          <w:b/>
          <w:bCs/>
        </w:rPr>
      </w:pPr>
    </w:p>
    <w:p w14:paraId="28F02F3E" w14:textId="53B4E629" w:rsidR="002E3279" w:rsidRDefault="002E3279" w:rsidP="002E3279">
      <w:r w:rsidRPr="008B09C5">
        <w:rPr>
          <w:b/>
          <w:bCs/>
        </w:rPr>
        <w:t xml:space="preserve">Televizní kampaň </w:t>
      </w:r>
      <w:r w:rsidRPr="008B09C5">
        <w:t xml:space="preserve">zahrnovala </w:t>
      </w:r>
      <w:r w:rsidRPr="008B09C5">
        <w:rPr>
          <w:b/>
        </w:rPr>
        <w:t xml:space="preserve">1 </w:t>
      </w:r>
      <w:r>
        <w:rPr>
          <w:b/>
        </w:rPr>
        <w:t>396</w:t>
      </w:r>
      <w:r w:rsidRPr="008B09C5">
        <w:rPr>
          <w:b/>
        </w:rPr>
        <w:t xml:space="preserve"> spotů</w:t>
      </w:r>
      <w:r w:rsidRPr="008B09C5">
        <w:t xml:space="preserve"> v televizi, které měly v součtu sledovanost </w:t>
      </w:r>
      <w:r>
        <w:rPr>
          <w:b/>
        </w:rPr>
        <w:t>86</w:t>
      </w:r>
      <w:r w:rsidRPr="008B09C5">
        <w:rPr>
          <w:b/>
        </w:rPr>
        <w:t xml:space="preserve"> milionů zhlédnutí</w:t>
      </w:r>
      <w:r w:rsidRPr="008B09C5">
        <w:t xml:space="preserve">. </w:t>
      </w:r>
    </w:p>
    <w:p w14:paraId="21511C77" w14:textId="77777777" w:rsidR="002E3279" w:rsidRPr="008B09C5" w:rsidRDefault="002E3279" w:rsidP="002E3279"/>
    <w:p w14:paraId="3FBDCAE3" w14:textId="799ECC8D" w:rsidR="002E3279" w:rsidRDefault="002E3279" w:rsidP="002E3279">
      <w:r w:rsidRPr="008B09C5">
        <w:rPr>
          <w:b/>
          <w:bCs/>
        </w:rPr>
        <w:t xml:space="preserve">Rozhlasová kampaň </w:t>
      </w:r>
      <w:r w:rsidRPr="008B09C5">
        <w:t xml:space="preserve">obsahovala </w:t>
      </w:r>
      <w:r>
        <w:rPr>
          <w:b/>
        </w:rPr>
        <w:t>11</w:t>
      </w:r>
      <w:r w:rsidRPr="008B09C5">
        <w:rPr>
          <w:b/>
        </w:rPr>
        <w:t>0 spotů</w:t>
      </w:r>
      <w:r w:rsidRPr="008B09C5">
        <w:t xml:space="preserve"> </w:t>
      </w:r>
      <w:r>
        <w:t>na</w:t>
      </w:r>
      <w:r w:rsidRPr="008B09C5">
        <w:t xml:space="preserve"> r</w:t>
      </w:r>
      <w:r>
        <w:t xml:space="preserve">ozhlasové stanici </w:t>
      </w:r>
      <w:proofErr w:type="spellStart"/>
      <w:r>
        <w:t>Radio</w:t>
      </w:r>
      <w:proofErr w:type="spellEnd"/>
      <w:r>
        <w:t xml:space="preserve"> Impuls.</w:t>
      </w:r>
    </w:p>
    <w:p w14:paraId="6F1D2F25" w14:textId="77777777" w:rsidR="002E3279" w:rsidRDefault="002E3279" w:rsidP="002E3279"/>
    <w:p w14:paraId="4DA67F9F" w14:textId="79D2A7BF" w:rsidR="002E3279" w:rsidRPr="008B09C5" w:rsidRDefault="002E3279" w:rsidP="002E3279">
      <w:r w:rsidRPr="008B09C5">
        <w:rPr>
          <w:b/>
          <w:bCs/>
        </w:rPr>
        <w:t xml:space="preserve">Reklamu v kinech </w:t>
      </w:r>
      <w:r w:rsidRPr="008B09C5">
        <w:t xml:space="preserve">vidělo více než </w:t>
      </w:r>
      <w:r>
        <w:rPr>
          <w:b/>
        </w:rPr>
        <w:t>296</w:t>
      </w:r>
      <w:r w:rsidRPr="008B09C5">
        <w:rPr>
          <w:b/>
        </w:rPr>
        <w:t xml:space="preserve"> tisíc diváků</w:t>
      </w:r>
      <w:r w:rsidRPr="008B09C5">
        <w:t xml:space="preserve">. </w:t>
      </w:r>
    </w:p>
    <w:p w14:paraId="1D3AF2C5" w14:textId="77777777" w:rsidR="002E3279" w:rsidRDefault="002E3279" w:rsidP="002E3279"/>
    <w:p w14:paraId="79803BD7" w14:textId="77777777" w:rsidR="002E3279" w:rsidRPr="008B09C5" w:rsidRDefault="002E3279" w:rsidP="002E3279">
      <w:pPr>
        <w:rPr>
          <w:b/>
          <w:bCs/>
        </w:rPr>
      </w:pPr>
      <w:r w:rsidRPr="008B09C5">
        <w:rPr>
          <w:b/>
          <w:bCs/>
        </w:rPr>
        <w:t xml:space="preserve">Online kampaň </w:t>
      </w:r>
    </w:p>
    <w:p w14:paraId="4784A3DC" w14:textId="26E4FF98" w:rsidR="002E3279" w:rsidRPr="008B09C5" w:rsidRDefault="002E3279" w:rsidP="002E3279">
      <w:pPr>
        <w:numPr>
          <w:ilvl w:val="0"/>
          <w:numId w:val="6"/>
        </w:numPr>
      </w:pPr>
      <w:r w:rsidRPr="008B09C5">
        <w:t xml:space="preserve">oslovila celkem </w:t>
      </w:r>
      <w:r w:rsidRPr="002E3279">
        <w:rPr>
          <w:b/>
        </w:rPr>
        <w:t>7 022 588</w:t>
      </w:r>
      <w:r w:rsidRPr="00E97C93">
        <w:t xml:space="preserve"> </w:t>
      </w:r>
      <w:r w:rsidRPr="008B09C5">
        <w:rPr>
          <w:b/>
        </w:rPr>
        <w:t>unikátních uživatelů</w:t>
      </w:r>
      <w:r w:rsidRPr="008B09C5">
        <w:t xml:space="preserve"> internetu</w:t>
      </w:r>
    </w:p>
    <w:p w14:paraId="468F1965" w14:textId="296A9F88" w:rsidR="002E3279" w:rsidRPr="008B09C5" w:rsidRDefault="002E3279" w:rsidP="002E3279">
      <w:pPr>
        <w:numPr>
          <w:ilvl w:val="0"/>
          <w:numId w:val="6"/>
        </w:numPr>
        <w:rPr>
          <w:b/>
        </w:rPr>
      </w:pPr>
      <w:r w:rsidRPr="008B09C5">
        <w:t xml:space="preserve">každý z uživatelů se pak setkal v průměru </w:t>
      </w:r>
      <w:r w:rsidRPr="008B09C5">
        <w:rPr>
          <w:b/>
        </w:rPr>
        <w:t>1</w:t>
      </w:r>
      <w:r>
        <w:rPr>
          <w:b/>
        </w:rPr>
        <w:t xml:space="preserve">1,3 </w:t>
      </w:r>
      <w:r w:rsidRPr="008B09C5">
        <w:rPr>
          <w:b/>
        </w:rPr>
        <w:t xml:space="preserve">krát s bannerem nebo </w:t>
      </w:r>
      <w:proofErr w:type="spellStart"/>
      <w:r w:rsidRPr="008B09C5">
        <w:rPr>
          <w:b/>
        </w:rPr>
        <w:t>videospotem</w:t>
      </w:r>
      <w:proofErr w:type="spellEnd"/>
    </w:p>
    <w:p w14:paraId="7ACE15CC" w14:textId="339C3FA8" w:rsidR="002E3279" w:rsidRPr="008B09C5" w:rsidRDefault="002E3279" w:rsidP="002E3279">
      <w:pPr>
        <w:numPr>
          <w:ilvl w:val="0"/>
          <w:numId w:val="6"/>
        </w:numPr>
      </w:pPr>
      <w:r w:rsidRPr="008B09C5">
        <w:t xml:space="preserve">téměř </w:t>
      </w:r>
      <w:r w:rsidRPr="008B09C5">
        <w:rPr>
          <w:b/>
        </w:rPr>
        <w:t xml:space="preserve">60 milionů zobrazení </w:t>
      </w:r>
      <w:proofErr w:type="spellStart"/>
      <w:r w:rsidRPr="008B09C5">
        <w:rPr>
          <w:b/>
        </w:rPr>
        <w:t>brandingu</w:t>
      </w:r>
      <w:proofErr w:type="spellEnd"/>
      <w:r w:rsidRPr="008B09C5">
        <w:t xml:space="preserve"> a téměř </w:t>
      </w:r>
      <w:r>
        <w:rPr>
          <w:b/>
        </w:rPr>
        <w:t>29 milionů</w:t>
      </w:r>
      <w:r w:rsidRPr="008B09C5">
        <w:rPr>
          <w:b/>
        </w:rPr>
        <w:t xml:space="preserve"> zobrazení </w:t>
      </w:r>
      <w:proofErr w:type="spellStart"/>
      <w:r w:rsidRPr="008B09C5">
        <w:rPr>
          <w:b/>
        </w:rPr>
        <w:t>videospotu</w:t>
      </w:r>
      <w:proofErr w:type="spellEnd"/>
      <w:r w:rsidRPr="008B09C5">
        <w:t xml:space="preserve"> na největších zpravodajských portálech</w:t>
      </w:r>
    </w:p>
    <w:p w14:paraId="4F2738B5" w14:textId="65202122" w:rsidR="002E3279" w:rsidRPr="008B09C5" w:rsidRDefault="002E3279" w:rsidP="002E3279">
      <w:pPr>
        <w:numPr>
          <w:ilvl w:val="0"/>
          <w:numId w:val="6"/>
        </w:numPr>
      </w:pPr>
      <w:r w:rsidRPr="008B09C5">
        <w:t xml:space="preserve">propagované příspěvky na </w:t>
      </w:r>
      <w:r w:rsidRPr="008B09C5">
        <w:rPr>
          <w:b/>
          <w:bCs/>
        </w:rPr>
        <w:t xml:space="preserve">sociálních sítích </w:t>
      </w:r>
      <w:r w:rsidRPr="008B09C5">
        <w:t>(</w:t>
      </w:r>
      <w:proofErr w:type="spellStart"/>
      <w:r w:rsidRPr="008B09C5">
        <w:t>Facebook</w:t>
      </w:r>
      <w:proofErr w:type="spellEnd"/>
      <w:r w:rsidRPr="008B09C5">
        <w:t xml:space="preserve"> a </w:t>
      </w:r>
      <w:proofErr w:type="spellStart"/>
      <w:r w:rsidRPr="008B09C5">
        <w:t>Instagram</w:t>
      </w:r>
      <w:proofErr w:type="spellEnd"/>
      <w:r w:rsidRPr="008B09C5">
        <w:t>)</w:t>
      </w:r>
      <w:r>
        <w:t xml:space="preserve"> dosáhly </w:t>
      </w:r>
      <w:r>
        <w:rPr>
          <w:b/>
        </w:rPr>
        <w:t>9</w:t>
      </w:r>
      <w:r w:rsidRPr="008B09C5">
        <w:rPr>
          <w:b/>
        </w:rPr>
        <w:t xml:space="preserve"> milion</w:t>
      </w:r>
      <w:r>
        <w:rPr>
          <w:b/>
        </w:rPr>
        <w:t>ů</w:t>
      </w:r>
      <w:r w:rsidRPr="008B09C5">
        <w:rPr>
          <w:b/>
        </w:rPr>
        <w:t xml:space="preserve"> zobrazení</w:t>
      </w:r>
      <w:r w:rsidRPr="008B09C5">
        <w:t xml:space="preserve"> </w:t>
      </w:r>
    </w:p>
    <w:p w14:paraId="2EB74C80" w14:textId="77777777" w:rsidR="002E3279" w:rsidRDefault="002E3279" w:rsidP="002E3279"/>
    <w:p w14:paraId="091CA4EA" w14:textId="77777777" w:rsidR="002E3279" w:rsidRPr="005E7973" w:rsidRDefault="002E3279" w:rsidP="002E3279">
      <w:r w:rsidRPr="005E7973">
        <w:rPr>
          <w:b/>
        </w:rPr>
        <w:t>Webovou stránku</w:t>
      </w:r>
      <w:r w:rsidRPr="005E7973">
        <w:t xml:space="preserve"> </w:t>
      </w:r>
      <w:hyperlink r:id="rId11" w:history="1">
        <w:r w:rsidRPr="002E3279">
          <w:rPr>
            <w:b/>
          </w:rPr>
          <w:t>www.kudyznudy.cz/irop</w:t>
        </w:r>
      </w:hyperlink>
      <w:r w:rsidRPr="002E3279">
        <w:t xml:space="preserve">  </w:t>
      </w:r>
      <w:r w:rsidRPr="005E7973">
        <w:t xml:space="preserve">v průběhu kampaně navštívilo </w:t>
      </w:r>
      <w:r w:rsidRPr="002E3279">
        <w:rPr>
          <w:b/>
        </w:rPr>
        <w:t>214 492 uživatelů</w:t>
      </w:r>
      <w:r w:rsidRPr="005E7973">
        <w:t>, z toho:</w:t>
      </w:r>
    </w:p>
    <w:p w14:paraId="2AEF5749" w14:textId="77777777" w:rsidR="002E3279" w:rsidRPr="005E7973" w:rsidRDefault="002E3279" w:rsidP="002E3279">
      <w:pPr>
        <w:pStyle w:val="Odstavecseseznamem"/>
        <w:numPr>
          <w:ilvl w:val="0"/>
          <w:numId w:val="9"/>
        </w:numPr>
        <w:spacing w:after="160" w:line="256" w:lineRule="auto"/>
      </w:pPr>
      <w:r w:rsidRPr="005E7973">
        <w:t>203 356 přišlo z bannerů a videí v rámci kampaně,</w:t>
      </w:r>
    </w:p>
    <w:p w14:paraId="3AF460CA" w14:textId="77777777" w:rsidR="002E3279" w:rsidRPr="005E7973" w:rsidRDefault="002E3279" w:rsidP="002E3279">
      <w:pPr>
        <w:pStyle w:val="Odstavecseseznamem"/>
        <w:numPr>
          <w:ilvl w:val="0"/>
          <w:numId w:val="9"/>
        </w:numPr>
        <w:spacing w:after="160" w:line="256" w:lineRule="auto"/>
      </w:pPr>
      <w:r w:rsidRPr="005E7973">
        <w:t xml:space="preserve">10 863 přišlo z vyhledavače </w:t>
      </w:r>
      <w:proofErr w:type="spellStart"/>
      <w:r w:rsidRPr="005E7973">
        <w:t>google</w:t>
      </w:r>
      <w:proofErr w:type="spellEnd"/>
      <w:r w:rsidRPr="005E7973">
        <w:t>,</w:t>
      </w:r>
    </w:p>
    <w:p w14:paraId="4C31F3FB" w14:textId="77777777" w:rsidR="002E3279" w:rsidRPr="005E7973" w:rsidRDefault="002E3279" w:rsidP="002E3279">
      <w:pPr>
        <w:pStyle w:val="Odstavecseseznamem"/>
        <w:numPr>
          <w:ilvl w:val="0"/>
          <w:numId w:val="9"/>
        </w:numPr>
        <w:spacing w:after="160" w:line="256" w:lineRule="auto"/>
      </w:pPr>
      <w:r w:rsidRPr="005E7973">
        <w:t>1 183 přišlo z vyhledavače seznam,</w:t>
      </w:r>
    </w:p>
    <w:p w14:paraId="3369D2C7" w14:textId="77777777" w:rsidR="002E3279" w:rsidRPr="005E7973" w:rsidRDefault="002E3279" w:rsidP="002E3279">
      <w:pPr>
        <w:pStyle w:val="Odstavecseseznamem"/>
        <w:numPr>
          <w:ilvl w:val="0"/>
          <w:numId w:val="9"/>
        </w:numPr>
        <w:spacing w:after="160" w:line="256" w:lineRule="auto"/>
      </w:pPr>
      <w:r w:rsidRPr="005E7973">
        <w:t>7 226 přišlo ze sociálních sítí,</w:t>
      </w:r>
    </w:p>
    <w:p w14:paraId="7DC7FA06" w14:textId="77777777" w:rsidR="002E3279" w:rsidRPr="005E7973" w:rsidRDefault="002E3279" w:rsidP="002E3279">
      <w:pPr>
        <w:pStyle w:val="Odstavecseseznamem"/>
        <w:numPr>
          <w:ilvl w:val="0"/>
          <w:numId w:val="9"/>
        </w:numPr>
        <w:spacing w:after="160" w:line="256" w:lineRule="auto"/>
      </w:pPr>
      <w:r w:rsidRPr="005E7973">
        <w:t>171 přišlo na stránky přímo zadáním adresy,</w:t>
      </w:r>
    </w:p>
    <w:p w14:paraId="6AA7810E" w14:textId="77777777" w:rsidR="00304579" w:rsidRDefault="00304579" w:rsidP="002E3279">
      <w:pPr>
        <w:rPr>
          <w:rFonts w:eastAsiaTheme="majorEastAsia" w:cstheme="majorBidi"/>
          <w:b/>
          <w:color w:val="878787"/>
          <w:sz w:val="32"/>
          <w:szCs w:val="32"/>
        </w:rPr>
      </w:pPr>
    </w:p>
    <w:p w14:paraId="7785A321" w14:textId="54C02710" w:rsidR="002E3279" w:rsidRDefault="002E3279" w:rsidP="002E3279">
      <w:pPr>
        <w:rPr>
          <w:rFonts w:eastAsiaTheme="majorEastAsia" w:cstheme="majorBidi"/>
          <w:b/>
          <w:color w:val="878787"/>
          <w:sz w:val="32"/>
          <w:szCs w:val="32"/>
        </w:rPr>
      </w:pPr>
      <w:r>
        <w:rPr>
          <w:rFonts w:eastAsiaTheme="majorEastAsia" w:cstheme="majorBidi"/>
          <w:b/>
          <w:color w:val="878787"/>
          <w:sz w:val="32"/>
          <w:szCs w:val="32"/>
        </w:rPr>
        <w:t>Kvalitativní</w:t>
      </w:r>
      <w:r w:rsidRPr="008B09C5">
        <w:rPr>
          <w:rFonts w:eastAsiaTheme="majorEastAsia" w:cstheme="majorBidi"/>
          <w:b/>
          <w:color w:val="878787"/>
          <w:sz w:val="32"/>
          <w:szCs w:val="32"/>
        </w:rPr>
        <w:t xml:space="preserve"> výsledky</w:t>
      </w:r>
    </w:p>
    <w:p w14:paraId="298A873E" w14:textId="0D36373D" w:rsidR="00B2776A" w:rsidRDefault="00E431FD" w:rsidP="00F730D3">
      <w:pPr>
        <w:autoSpaceDE w:val="0"/>
        <w:autoSpaceDN w:val="0"/>
        <w:rPr>
          <w:b/>
          <w:bCs/>
          <w:color w:val="1D1D1B"/>
        </w:rPr>
      </w:pPr>
      <w:r w:rsidRPr="000644CB">
        <w:rPr>
          <w:b/>
          <w:bCs/>
          <w:color w:val="1D1D1B"/>
        </w:rPr>
        <w:t xml:space="preserve">Povědomí o </w:t>
      </w:r>
      <w:r w:rsidR="000644CB">
        <w:rPr>
          <w:b/>
          <w:bCs/>
          <w:color w:val="1D1D1B"/>
        </w:rPr>
        <w:t>IROP</w:t>
      </w:r>
      <w:r w:rsidRPr="000644CB">
        <w:rPr>
          <w:b/>
          <w:bCs/>
          <w:color w:val="1D1D1B"/>
        </w:rPr>
        <w:t xml:space="preserve"> narostlo z 35,7 </w:t>
      </w:r>
      <w:r w:rsidR="00EA2B45">
        <w:rPr>
          <w:b/>
          <w:bCs/>
          <w:color w:val="1D1D1B"/>
        </w:rPr>
        <w:t>%</w:t>
      </w:r>
      <w:r w:rsidR="00EA2B45">
        <w:rPr>
          <w:rStyle w:val="Znakapoznpodarou"/>
          <w:b/>
          <w:bCs/>
          <w:color w:val="1D1D1B"/>
        </w:rPr>
        <w:footnoteReference w:id="1"/>
      </w:r>
      <w:r w:rsidR="00EA2B45">
        <w:rPr>
          <w:b/>
          <w:bCs/>
          <w:color w:val="1D1D1B"/>
        </w:rPr>
        <w:t xml:space="preserve"> </w:t>
      </w:r>
      <w:r w:rsidRPr="000644CB">
        <w:rPr>
          <w:b/>
          <w:bCs/>
          <w:color w:val="1D1D1B"/>
        </w:rPr>
        <w:t>na 41,1 % cílové skupiny</w:t>
      </w:r>
      <w:r w:rsidR="000644CB">
        <w:rPr>
          <w:b/>
          <w:bCs/>
          <w:color w:val="1D1D1B"/>
        </w:rPr>
        <w:t xml:space="preserve"> </w:t>
      </w:r>
      <w:r w:rsidR="000644CB">
        <w:rPr>
          <w:rFonts w:cs="Arial"/>
          <w:b/>
          <w:bCs/>
          <w:color w:val="1D1D1B"/>
        </w:rPr>
        <w:t>→</w:t>
      </w:r>
      <w:r w:rsidR="000644CB">
        <w:rPr>
          <w:b/>
          <w:bCs/>
          <w:color w:val="1D1D1B"/>
        </w:rPr>
        <w:t xml:space="preserve"> </w:t>
      </w:r>
      <w:r w:rsidR="00304579">
        <w:rPr>
          <w:b/>
          <w:bCs/>
          <w:color w:val="1D1D1B"/>
        </w:rPr>
        <w:t xml:space="preserve">nárůst </w:t>
      </w:r>
      <w:r w:rsidR="005023B1">
        <w:rPr>
          <w:b/>
          <w:bCs/>
          <w:color w:val="1D1D1B"/>
        </w:rPr>
        <w:t xml:space="preserve">o </w:t>
      </w:r>
      <w:r w:rsidR="000644CB">
        <w:rPr>
          <w:b/>
          <w:bCs/>
          <w:color w:val="1D1D1B"/>
        </w:rPr>
        <w:t xml:space="preserve">5,4 </w:t>
      </w:r>
      <w:proofErr w:type="spellStart"/>
      <w:proofErr w:type="gramStart"/>
      <w:r w:rsidR="00EF7EDB">
        <w:rPr>
          <w:b/>
          <w:bCs/>
          <w:color w:val="1D1D1B"/>
        </w:rPr>
        <w:t>p.b</w:t>
      </w:r>
      <w:proofErr w:type="spellEnd"/>
      <w:r w:rsidR="00EA0E87">
        <w:rPr>
          <w:b/>
          <w:bCs/>
          <w:color w:val="1D1D1B"/>
        </w:rPr>
        <w:t>.</w:t>
      </w:r>
      <w:proofErr w:type="gramEnd"/>
    </w:p>
    <w:p w14:paraId="423D372C" w14:textId="4ACF16D8" w:rsidR="0086637E" w:rsidRDefault="0086637E" w:rsidP="00F730D3">
      <w:pPr>
        <w:autoSpaceDE w:val="0"/>
        <w:autoSpaceDN w:val="0"/>
        <w:rPr>
          <w:color w:val="1D1D1B"/>
        </w:rPr>
      </w:pPr>
      <w:r>
        <w:rPr>
          <w:color w:val="1D1D1B"/>
        </w:rPr>
        <w:t xml:space="preserve">Povědomí o </w:t>
      </w:r>
      <w:r w:rsidR="000644CB">
        <w:rPr>
          <w:color w:val="1D1D1B"/>
        </w:rPr>
        <w:t xml:space="preserve">tom, že IROP financuje </w:t>
      </w:r>
      <w:r w:rsidR="000644CB" w:rsidRPr="00E54E48">
        <w:rPr>
          <w:b/>
          <w:color w:val="1D1D1B"/>
        </w:rPr>
        <w:t>obnovu památek</w:t>
      </w:r>
      <w:r w:rsidR="000644CB">
        <w:rPr>
          <w:color w:val="1D1D1B"/>
        </w:rPr>
        <w:t xml:space="preserve">, vzrostlo </w:t>
      </w:r>
      <w:r w:rsidR="000644CB" w:rsidRPr="00E54E48">
        <w:rPr>
          <w:b/>
          <w:color w:val="1D1D1B"/>
        </w:rPr>
        <w:t>z 20 % na 24 %</w:t>
      </w:r>
      <w:r w:rsidR="000644CB">
        <w:rPr>
          <w:color w:val="1D1D1B"/>
        </w:rPr>
        <w:t xml:space="preserve">, u vysokoškolsky vzdělaných téměř </w:t>
      </w:r>
      <w:r w:rsidR="005023B1">
        <w:rPr>
          <w:color w:val="1D1D1B"/>
        </w:rPr>
        <w:t xml:space="preserve">na </w:t>
      </w:r>
      <w:r w:rsidR="000644CB">
        <w:rPr>
          <w:color w:val="1D1D1B"/>
        </w:rPr>
        <w:t>28 %.</w:t>
      </w:r>
    </w:p>
    <w:p w14:paraId="18E9BB8C" w14:textId="0E078BB3" w:rsidR="00975266" w:rsidRDefault="00975266">
      <w:pPr>
        <w:rPr>
          <w:color w:val="1D1D1B"/>
        </w:rPr>
      </w:pPr>
      <w:r>
        <w:rPr>
          <w:color w:val="1D1D1B"/>
        </w:rPr>
        <w:br w:type="page"/>
      </w:r>
    </w:p>
    <w:p w14:paraId="177EF691" w14:textId="23BE5D4C" w:rsidR="00B61362" w:rsidRDefault="00B61362" w:rsidP="00B61362">
      <w:pPr>
        <w:pStyle w:val="IROPpodtitulekdokumentu"/>
        <w:rPr>
          <w:color w:val="1D71B8"/>
          <w:sz w:val="40"/>
        </w:rPr>
      </w:pPr>
      <w:r>
        <w:rPr>
          <w:color w:val="1D71B8"/>
          <w:sz w:val="40"/>
        </w:rPr>
        <w:lastRenderedPageBreak/>
        <w:t>Souhrnné výsledky</w:t>
      </w:r>
    </w:p>
    <w:p w14:paraId="322ABCC2" w14:textId="6BCE4B66" w:rsidR="00DB60C7" w:rsidRPr="0001207C" w:rsidRDefault="00D4743A" w:rsidP="0001207C">
      <w:pPr>
        <w:pStyle w:val="Odstavecseseznamem"/>
        <w:numPr>
          <w:ilvl w:val="0"/>
          <w:numId w:val="14"/>
        </w:numPr>
        <w:tabs>
          <w:tab w:val="num" w:pos="720"/>
        </w:tabs>
        <w:autoSpaceDE w:val="0"/>
        <w:autoSpaceDN w:val="0"/>
        <w:jc w:val="both"/>
        <w:rPr>
          <w:color w:val="1D1D1B"/>
        </w:rPr>
      </w:pPr>
      <w:r w:rsidRPr="0001207C">
        <w:rPr>
          <w:b/>
          <w:color w:val="1D1D1B"/>
        </w:rPr>
        <w:t xml:space="preserve">Povědomí o </w:t>
      </w:r>
      <w:r w:rsidR="002B5217" w:rsidRPr="0001207C">
        <w:rPr>
          <w:b/>
          <w:color w:val="1D1D1B"/>
        </w:rPr>
        <w:t>IROP</w:t>
      </w:r>
      <w:r w:rsidRPr="0001207C">
        <w:rPr>
          <w:color w:val="1D1D1B"/>
        </w:rPr>
        <w:t xml:space="preserve"> narostlo z</w:t>
      </w:r>
      <w:r w:rsidR="002B5217" w:rsidRPr="0001207C">
        <w:rPr>
          <w:color w:val="1D1D1B"/>
        </w:rPr>
        <w:t> </w:t>
      </w:r>
      <w:r w:rsidR="002B5217" w:rsidRPr="0001207C">
        <w:rPr>
          <w:b/>
          <w:color w:val="1D1D1B"/>
        </w:rPr>
        <w:t>29,5</w:t>
      </w:r>
      <w:r w:rsidRPr="0001207C">
        <w:rPr>
          <w:b/>
          <w:color w:val="1D1D1B"/>
        </w:rPr>
        <w:t xml:space="preserve"> % na 41,1 %</w:t>
      </w:r>
      <w:r w:rsidRPr="0001207C">
        <w:rPr>
          <w:color w:val="1D1D1B"/>
        </w:rPr>
        <w:t xml:space="preserve"> cílové skupiny</w:t>
      </w:r>
      <w:r w:rsidR="002B5217" w:rsidRPr="0001207C">
        <w:rPr>
          <w:color w:val="1D1D1B"/>
        </w:rPr>
        <w:t xml:space="preserve"> </w:t>
      </w:r>
      <w:r w:rsidR="002B5217" w:rsidRPr="0001207C">
        <w:rPr>
          <w:rFonts w:cs="Arial"/>
          <w:b/>
          <w:bCs/>
          <w:color w:val="1D1D1B"/>
        </w:rPr>
        <w:t>→</w:t>
      </w:r>
      <w:r w:rsidR="002B5217" w:rsidRPr="0001207C">
        <w:rPr>
          <w:b/>
          <w:bCs/>
          <w:color w:val="1D1D1B"/>
        </w:rPr>
        <w:t xml:space="preserve"> nárůst </w:t>
      </w:r>
      <w:r w:rsidR="0001207C" w:rsidRPr="0001207C">
        <w:rPr>
          <w:b/>
          <w:bCs/>
          <w:color w:val="1D1D1B"/>
        </w:rPr>
        <w:t xml:space="preserve">o </w:t>
      </w:r>
      <w:r w:rsidR="002B5217" w:rsidRPr="0001207C">
        <w:rPr>
          <w:b/>
          <w:bCs/>
          <w:color w:val="1D1D1B"/>
        </w:rPr>
        <w:t>11,6</w:t>
      </w:r>
      <w:r w:rsidR="00EF7EDB">
        <w:rPr>
          <w:b/>
          <w:bCs/>
          <w:color w:val="1D1D1B"/>
        </w:rPr>
        <w:t xml:space="preserve"> </w:t>
      </w:r>
      <w:proofErr w:type="spellStart"/>
      <w:proofErr w:type="gramStart"/>
      <w:r w:rsidR="00EF7EDB">
        <w:rPr>
          <w:b/>
          <w:bCs/>
          <w:color w:val="1D1D1B"/>
        </w:rPr>
        <w:t>p.b</w:t>
      </w:r>
      <w:proofErr w:type="spellEnd"/>
      <w:r w:rsidR="002B5217" w:rsidRPr="0001207C">
        <w:rPr>
          <w:b/>
          <w:bCs/>
          <w:color w:val="1D1D1B"/>
        </w:rPr>
        <w:t>.</w:t>
      </w:r>
      <w:proofErr w:type="gramEnd"/>
    </w:p>
    <w:p w14:paraId="413CE8BB" w14:textId="785BC037" w:rsidR="00DB60C7" w:rsidRPr="0001207C" w:rsidRDefault="0001207C" w:rsidP="0001207C">
      <w:pPr>
        <w:pStyle w:val="Odstavecseseznamem"/>
        <w:numPr>
          <w:ilvl w:val="0"/>
          <w:numId w:val="14"/>
        </w:numPr>
        <w:autoSpaceDE w:val="0"/>
        <w:autoSpaceDN w:val="0"/>
        <w:jc w:val="both"/>
        <w:rPr>
          <w:color w:val="1D1D1B"/>
        </w:rPr>
      </w:pPr>
      <w:r>
        <w:rPr>
          <w:color w:val="1D1D1B"/>
        </w:rPr>
        <w:t xml:space="preserve">O </w:t>
      </w:r>
      <w:r w:rsidR="00D4743A" w:rsidRPr="0001207C">
        <w:rPr>
          <w:color w:val="1D1D1B"/>
        </w:rPr>
        <w:t>IROP slyšeli častěji muži ve 49 % (před kampaní 34 %), zatímco povědomí mezi ženami je 32 % (před kampaní 26 %)</w:t>
      </w:r>
      <w:r w:rsidR="00934F46" w:rsidRPr="0001207C">
        <w:rPr>
          <w:color w:val="1D1D1B"/>
        </w:rPr>
        <w:t xml:space="preserve">. </w:t>
      </w:r>
    </w:p>
    <w:p w14:paraId="78042784" w14:textId="4CB87038" w:rsidR="00934F46" w:rsidRPr="0001207C" w:rsidRDefault="00934F46" w:rsidP="0001207C">
      <w:pPr>
        <w:pStyle w:val="Odstavecseseznamem"/>
        <w:numPr>
          <w:ilvl w:val="0"/>
          <w:numId w:val="14"/>
        </w:numPr>
        <w:autoSpaceDE w:val="0"/>
        <w:autoSpaceDN w:val="0"/>
        <w:jc w:val="both"/>
        <w:rPr>
          <w:color w:val="1D1D1B"/>
        </w:rPr>
      </w:pPr>
      <w:r w:rsidRPr="0001207C">
        <w:rPr>
          <w:color w:val="1D1D1B"/>
        </w:rPr>
        <w:t xml:space="preserve">Nejvyšší nárůst byl u věkových skupin 25-35 let (o 12-13 </w:t>
      </w:r>
      <w:proofErr w:type="spellStart"/>
      <w:proofErr w:type="gramStart"/>
      <w:r w:rsidR="00EF7EDB">
        <w:rPr>
          <w:color w:val="1D1D1B"/>
        </w:rPr>
        <w:t>p.b</w:t>
      </w:r>
      <w:proofErr w:type="spellEnd"/>
      <w:r w:rsidR="00EF7EDB">
        <w:rPr>
          <w:color w:val="1D1D1B"/>
        </w:rPr>
        <w:t>.</w:t>
      </w:r>
      <w:r w:rsidRPr="0001207C">
        <w:rPr>
          <w:color w:val="1D1D1B"/>
        </w:rPr>
        <w:t>).</w:t>
      </w:r>
      <w:proofErr w:type="gramEnd"/>
    </w:p>
    <w:p w14:paraId="46FC0CB4" w14:textId="3063E49F" w:rsidR="00934F46" w:rsidRPr="0001207C" w:rsidRDefault="00934F46" w:rsidP="0001207C">
      <w:pPr>
        <w:pStyle w:val="Odstavecseseznamem"/>
        <w:numPr>
          <w:ilvl w:val="0"/>
          <w:numId w:val="14"/>
        </w:numPr>
        <w:autoSpaceDE w:val="0"/>
        <w:autoSpaceDN w:val="0"/>
        <w:jc w:val="both"/>
        <w:rPr>
          <w:color w:val="1D1D1B"/>
        </w:rPr>
      </w:pPr>
      <w:r w:rsidRPr="0001207C">
        <w:rPr>
          <w:color w:val="1D1D1B"/>
        </w:rPr>
        <w:t>Z hlediska regionů došlo k nejvyššímu posílení povědomí na Moravě.</w:t>
      </w:r>
    </w:p>
    <w:p w14:paraId="3E07F39D" w14:textId="77777777" w:rsidR="00B61362" w:rsidRPr="0001207C" w:rsidRDefault="00B61362" w:rsidP="0001207C">
      <w:pPr>
        <w:pStyle w:val="Odstavecseseznamem"/>
        <w:numPr>
          <w:ilvl w:val="0"/>
          <w:numId w:val="14"/>
        </w:numPr>
        <w:autoSpaceDE w:val="0"/>
        <w:autoSpaceDN w:val="0"/>
        <w:jc w:val="both"/>
        <w:rPr>
          <w:color w:val="1D1D1B"/>
        </w:rPr>
      </w:pPr>
      <w:r w:rsidRPr="0001207C">
        <w:rPr>
          <w:color w:val="1D1D1B"/>
        </w:rPr>
        <w:t xml:space="preserve">Nejčastěji si lidé spojují IROP s financováním </w:t>
      </w:r>
      <w:r w:rsidRPr="0001207C">
        <w:rPr>
          <w:b/>
          <w:color w:val="1D1D1B"/>
        </w:rPr>
        <w:t>oprav regionálních silnic</w:t>
      </w:r>
      <w:r w:rsidRPr="0001207C">
        <w:rPr>
          <w:color w:val="1D1D1B"/>
        </w:rPr>
        <w:t>.</w:t>
      </w:r>
    </w:p>
    <w:p w14:paraId="61634E06" w14:textId="794F9B0E" w:rsidR="00F91515" w:rsidRPr="0001207C" w:rsidRDefault="00D4743A" w:rsidP="0001207C">
      <w:pPr>
        <w:pStyle w:val="Odstavecseseznamem"/>
        <w:numPr>
          <w:ilvl w:val="0"/>
          <w:numId w:val="14"/>
        </w:numPr>
        <w:tabs>
          <w:tab w:val="num" w:pos="720"/>
        </w:tabs>
        <w:autoSpaceDE w:val="0"/>
        <w:autoSpaceDN w:val="0"/>
        <w:jc w:val="both"/>
        <w:rPr>
          <w:color w:val="1D1D1B"/>
        </w:rPr>
      </w:pPr>
      <w:r w:rsidRPr="0001207C">
        <w:rPr>
          <w:color w:val="1D1D1B"/>
        </w:rPr>
        <w:t xml:space="preserve">Nejčastějším zdrojem informací o </w:t>
      </w:r>
      <w:r w:rsidR="002B5217" w:rsidRPr="0001207C">
        <w:rPr>
          <w:color w:val="1D1D1B"/>
        </w:rPr>
        <w:t>IROP</w:t>
      </w:r>
      <w:r w:rsidRPr="0001207C">
        <w:rPr>
          <w:color w:val="1D1D1B"/>
        </w:rPr>
        <w:t xml:space="preserve"> je </w:t>
      </w:r>
      <w:r w:rsidRPr="0001207C">
        <w:rPr>
          <w:b/>
          <w:color w:val="1D1D1B"/>
        </w:rPr>
        <w:t>internet</w:t>
      </w:r>
      <w:r w:rsidRPr="0001207C">
        <w:rPr>
          <w:color w:val="1D1D1B"/>
        </w:rPr>
        <w:t xml:space="preserve"> (16 %)</w:t>
      </w:r>
      <w:r w:rsidR="002B5217" w:rsidRPr="0001207C">
        <w:rPr>
          <w:color w:val="1D1D1B"/>
        </w:rPr>
        <w:t xml:space="preserve">. </w:t>
      </w:r>
      <w:r w:rsidRPr="0001207C">
        <w:rPr>
          <w:color w:val="1D1D1B"/>
        </w:rPr>
        <w:t xml:space="preserve">S odstupem pak následuje nejsilnější </w:t>
      </w:r>
      <w:proofErr w:type="spellStart"/>
      <w:r w:rsidRPr="0001207C">
        <w:rPr>
          <w:color w:val="1D1D1B"/>
        </w:rPr>
        <w:t>medi</w:t>
      </w:r>
      <w:r w:rsidR="0001207C">
        <w:rPr>
          <w:color w:val="1D1D1B"/>
        </w:rPr>
        <w:t>a</w:t>
      </w:r>
      <w:r w:rsidRPr="0001207C">
        <w:rPr>
          <w:color w:val="1D1D1B"/>
        </w:rPr>
        <w:t>typ</w:t>
      </w:r>
      <w:proofErr w:type="spellEnd"/>
      <w:r w:rsidRPr="0001207C">
        <w:rPr>
          <w:color w:val="1D1D1B"/>
        </w:rPr>
        <w:t xml:space="preserve"> </w:t>
      </w:r>
      <w:r w:rsidR="002B5217" w:rsidRPr="0001207C">
        <w:rPr>
          <w:color w:val="1D1D1B"/>
        </w:rPr>
        <w:t>–</w:t>
      </w:r>
      <w:r w:rsidRPr="0001207C">
        <w:rPr>
          <w:color w:val="1D1D1B"/>
        </w:rPr>
        <w:t xml:space="preserve"> </w:t>
      </w:r>
      <w:r w:rsidRPr="0001207C">
        <w:rPr>
          <w:b/>
          <w:color w:val="1D1D1B"/>
        </w:rPr>
        <w:t>televize</w:t>
      </w:r>
      <w:r w:rsidR="002B5217" w:rsidRPr="0001207C">
        <w:rPr>
          <w:color w:val="1D1D1B"/>
        </w:rPr>
        <w:t xml:space="preserve">. </w:t>
      </w:r>
    </w:p>
    <w:p w14:paraId="4282DE41" w14:textId="69DA0769" w:rsidR="00DB60C7" w:rsidRPr="0001207C" w:rsidRDefault="00F91515" w:rsidP="0001207C">
      <w:pPr>
        <w:pStyle w:val="Odstavecseseznamem"/>
        <w:numPr>
          <w:ilvl w:val="0"/>
          <w:numId w:val="14"/>
        </w:numPr>
        <w:autoSpaceDE w:val="0"/>
        <w:autoSpaceDN w:val="0"/>
        <w:rPr>
          <w:color w:val="1D1D1B"/>
        </w:rPr>
      </w:pPr>
      <w:r w:rsidRPr="0001207C">
        <w:rPr>
          <w:b/>
          <w:color w:val="1D1D1B"/>
        </w:rPr>
        <w:t>Vizuál kampaně</w:t>
      </w:r>
      <w:r w:rsidRPr="0001207C">
        <w:rPr>
          <w:color w:val="1D1D1B"/>
        </w:rPr>
        <w:t xml:space="preserve"> zaznamenali lidé ve všech médiích. </w:t>
      </w:r>
      <w:r w:rsidR="00BC1614" w:rsidRPr="0001207C">
        <w:rPr>
          <w:color w:val="1D1D1B"/>
        </w:rPr>
        <w:t>Téměř 60 %</w:t>
      </w:r>
      <w:r w:rsidRPr="0001207C">
        <w:rPr>
          <w:color w:val="1D1D1B"/>
        </w:rPr>
        <w:t xml:space="preserve"> </w:t>
      </w:r>
      <w:r w:rsidRPr="0001207C">
        <w:rPr>
          <w:b/>
          <w:color w:val="1D1D1B"/>
        </w:rPr>
        <w:t>v televizi</w:t>
      </w:r>
      <w:r w:rsidRPr="0001207C">
        <w:rPr>
          <w:color w:val="1D1D1B"/>
        </w:rPr>
        <w:t xml:space="preserve"> (cca 29 %) a </w:t>
      </w:r>
      <w:r w:rsidRPr="0001207C">
        <w:rPr>
          <w:b/>
          <w:color w:val="1D1D1B"/>
        </w:rPr>
        <w:t>na internetu</w:t>
      </w:r>
      <w:r w:rsidRPr="0001207C">
        <w:rPr>
          <w:color w:val="1D1D1B"/>
        </w:rPr>
        <w:t xml:space="preserve"> (cca 2</w:t>
      </w:r>
      <w:r w:rsidR="00BC1614" w:rsidRPr="0001207C">
        <w:rPr>
          <w:color w:val="1D1D1B"/>
        </w:rPr>
        <w:t>9</w:t>
      </w:r>
      <w:r w:rsidRPr="0001207C">
        <w:rPr>
          <w:color w:val="1D1D1B"/>
        </w:rPr>
        <w:t xml:space="preserve"> %). Nejmenší dopad měla kampaň v kinech, cca 2 % CS. </w:t>
      </w:r>
    </w:p>
    <w:p w14:paraId="31954A91" w14:textId="4B8D0470" w:rsidR="00DB60C7" w:rsidRPr="0001207C" w:rsidRDefault="00D4743A" w:rsidP="0001207C">
      <w:pPr>
        <w:pStyle w:val="Odstavecseseznamem"/>
        <w:numPr>
          <w:ilvl w:val="0"/>
          <w:numId w:val="14"/>
        </w:numPr>
        <w:tabs>
          <w:tab w:val="num" w:pos="720"/>
        </w:tabs>
        <w:autoSpaceDE w:val="0"/>
        <w:autoSpaceDN w:val="0"/>
        <w:jc w:val="both"/>
        <w:rPr>
          <w:color w:val="1D1D1B"/>
        </w:rPr>
      </w:pPr>
      <w:r w:rsidRPr="0001207C">
        <w:rPr>
          <w:color w:val="1D1D1B"/>
        </w:rPr>
        <w:t>Kampaně zvýšily i povědomí o možnosti financování zateplování bytových domů a obnovy památek prostřednictvím IROP</w:t>
      </w:r>
      <w:r w:rsidR="002B5217" w:rsidRPr="0001207C">
        <w:rPr>
          <w:color w:val="1D1D1B"/>
        </w:rPr>
        <w:t>.</w:t>
      </w:r>
    </w:p>
    <w:p w14:paraId="475A662E" w14:textId="60659B31" w:rsidR="00DB60C7" w:rsidRPr="0001207C" w:rsidRDefault="00D4743A" w:rsidP="0001207C">
      <w:pPr>
        <w:pStyle w:val="Odstavecseseznamem"/>
        <w:numPr>
          <w:ilvl w:val="0"/>
          <w:numId w:val="14"/>
        </w:numPr>
        <w:tabs>
          <w:tab w:val="num" w:pos="720"/>
        </w:tabs>
        <w:autoSpaceDE w:val="0"/>
        <w:autoSpaceDN w:val="0"/>
        <w:jc w:val="both"/>
        <w:rPr>
          <w:color w:val="1D1D1B"/>
        </w:rPr>
      </w:pPr>
      <w:proofErr w:type="spellStart"/>
      <w:r w:rsidRPr="0001207C">
        <w:rPr>
          <w:color w:val="1D1D1B"/>
        </w:rPr>
        <w:t>Mediatypy</w:t>
      </w:r>
      <w:proofErr w:type="spellEnd"/>
      <w:r w:rsidRPr="0001207C">
        <w:rPr>
          <w:color w:val="1D1D1B"/>
        </w:rPr>
        <w:t xml:space="preserve"> oslovily s různou intenzitou jednotlivé sociodemografické skupiny, ale</w:t>
      </w:r>
      <w:r w:rsidRPr="0001207C">
        <w:rPr>
          <w:b/>
          <w:color w:val="1D1D1B"/>
        </w:rPr>
        <w:t xml:space="preserve"> jako celek</w:t>
      </w:r>
      <w:r w:rsidRPr="0001207C">
        <w:rPr>
          <w:color w:val="1D1D1B"/>
        </w:rPr>
        <w:t xml:space="preserve"> byla </w:t>
      </w:r>
      <w:r w:rsidRPr="0001207C">
        <w:rPr>
          <w:b/>
          <w:color w:val="1D1D1B"/>
        </w:rPr>
        <w:t>velmi silně oslovena celá široká veřejnost České republiky</w:t>
      </w:r>
      <w:r w:rsidR="00B8375E">
        <w:rPr>
          <w:color w:val="1D1D1B"/>
        </w:rPr>
        <w:t>.</w:t>
      </w:r>
    </w:p>
    <w:p w14:paraId="2D0FD87D" w14:textId="77777777" w:rsidR="00B61362" w:rsidRDefault="00B61362" w:rsidP="002B5217">
      <w:pPr>
        <w:jc w:val="both"/>
        <w:rPr>
          <w:rFonts w:eastAsiaTheme="majorEastAsia" w:cstheme="majorBidi"/>
          <w:b/>
          <w:color w:val="878787"/>
          <w:sz w:val="32"/>
          <w:szCs w:val="32"/>
        </w:rPr>
      </w:pPr>
    </w:p>
    <w:sectPr w:rsidR="00B61362" w:rsidSect="007F3302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2117" w:right="1417" w:bottom="2312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D2CB3" w14:textId="77777777" w:rsidR="00E431FD" w:rsidRDefault="00E431FD" w:rsidP="00AA59FC">
      <w:r>
        <w:separator/>
      </w:r>
    </w:p>
  </w:endnote>
  <w:endnote w:type="continuationSeparator" w:id="0">
    <w:p w14:paraId="62CE9193" w14:textId="77777777" w:rsidR="00E431FD" w:rsidRDefault="00E431FD" w:rsidP="00AA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E4454" w14:textId="5560E36E" w:rsidR="001705F2" w:rsidRDefault="00A80D81" w:rsidP="00CD5ACD">
    <w:pPr>
      <w:tabs>
        <w:tab w:val="center" w:pos="4678"/>
        <w:tab w:val="right" w:pos="9066"/>
      </w:tabs>
    </w:pPr>
    <w:r>
      <w:tab/>
    </w:r>
    <w:r>
      <w:rPr>
        <w:noProof/>
        <w:sz w:val="16"/>
        <w:szCs w:val="16"/>
        <w:lang w:eastAsia="cs-CZ"/>
      </w:rPr>
      <w:drawing>
        <wp:inline distT="0" distB="0" distL="0" distR="0" wp14:anchorId="13546080" wp14:editId="3989945D">
          <wp:extent cx="4169711" cy="938254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851" cy="943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1121036955"/>
        <w:docPartObj>
          <w:docPartGallery w:val="Page Numbers (Bottom of Page)"/>
          <w:docPartUnique/>
        </w:docPartObj>
      </w:sdtPr>
      <w:sdtEndPr/>
      <w:sdtContent>
        <w:r>
          <w:tab/>
        </w:r>
        <w:r w:rsidR="001705F2">
          <w:fldChar w:fldCharType="begin"/>
        </w:r>
        <w:r w:rsidR="001705F2">
          <w:instrText>PAGE   \* MERGEFORMAT</w:instrText>
        </w:r>
        <w:r w:rsidR="001705F2">
          <w:fldChar w:fldCharType="separate"/>
        </w:r>
        <w:r w:rsidR="00171577">
          <w:rPr>
            <w:noProof/>
          </w:rPr>
          <w:t>1</w:t>
        </w:r>
        <w:r w:rsidR="001705F2">
          <w:fldChar w:fldCharType="end"/>
        </w:r>
      </w:sdtContent>
    </w:sdt>
  </w:p>
  <w:p w14:paraId="62A02C4C" w14:textId="41DFF294" w:rsidR="00AA59FC" w:rsidRPr="000462FE" w:rsidRDefault="00AA59FC" w:rsidP="00DB7445">
    <w:pPr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8174F" w14:textId="77777777" w:rsidR="00AD68C8" w:rsidRDefault="00AD68C8" w:rsidP="00AD68C8">
    <w:pPr>
      <w:pStyle w:val="Zpat"/>
      <w:jc w:val="center"/>
    </w:pPr>
    <w:r w:rsidRPr="000462FE">
      <w:rPr>
        <w:noProof/>
        <w:sz w:val="16"/>
        <w:szCs w:val="16"/>
        <w:lang w:eastAsia="cs-CZ"/>
      </w:rPr>
      <w:drawing>
        <wp:inline distT="0" distB="0" distL="0" distR="0" wp14:anchorId="0EF1BA3F" wp14:editId="6A82C100">
          <wp:extent cx="4031814" cy="493677"/>
          <wp:effectExtent l="0" t="0" r="0" b="1905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M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87" b="20697"/>
                  <a:stretch/>
                </pic:blipFill>
                <pic:spPr bwMode="auto">
                  <a:xfrm>
                    <a:off x="0" y="0"/>
                    <a:ext cx="4034868" cy="4940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77C91" w14:textId="77777777" w:rsidR="00E431FD" w:rsidRDefault="00E431FD" w:rsidP="00AA59FC">
      <w:r>
        <w:separator/>
      </w:r>
    </w:p>
  </w:footnote>
  <w:footnote w:type="continuationSeparator" w:id="0">
    <w:p w14:paraId="64FCF1A9" w14:textId="77777777" w:rsidR="00E431FD" w:rsidRDefault="00E431FD" w:rsidP="00AA59FC">
      <w:r>
        <w:continuationSeparator/>
      </w:r>
    </w:p>
  </w:footnote>
  <w:footnote w:id="1">
    <w:p w14:paraId="3BD102DF" w14:textId="0B3621BE" w:rsidR="00EA2B45" w:rsidRDefault="00EA2B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53AA0">
        <w:t>Vyšší v</w:t>
      </w:r>
      <w:r>
        <w:t>ýchozí hodnota navazující kampaně Památky než dosažená hodnota předchozí kampaně Zateplování může být způsobena dozníváním kampaně Zateplování v mezidobí, překryvy s dalšími kampaněmi</w:t>
      </w:r>
      <w:r w:rsidR="0055120F">
        <w:t xml:space="preserve"> Odboru publicity EU</w:t>
      </w:r>
      <w:r>
        <w:t xml:space="preserve"> </w:t>
      </w:r>
      <w:r w:rsidR="00653AA0">
        <w:t>a SFŽP nebo statistickou chybou.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24715" w14:textId="433CCF98" w:rsidR="00AA59FC" w:rsidRDefault="00A412FD" w:rsidP="008F5C1F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8907A06" wp14:editId="2929A160">
          <wp:simplePos x="0" y="0"/>
          <wp:positionH relativeFrom="column">
            <wp:posOffset>-889162</wp:posOffset>
          </wp:positionH>
          <wp:positionV relativeFrom="paragraph">
            <wp:posOffset>-428315</wp:posOffset>
          </wp:positionV>
          <wp:extent cx="7525560" cy="9484242"/>
          <wp:effectExtent l="0" t="0" r="571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MR0022_hexagonA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9"/>
                  <a:stretch/>
                </pic:blipFill>
                <pic:spPr bwMode="auto">
                  <a:xfrm>
                    <a:off x="0" y="0"/>
                    <a:ext cx="7529469" cy="9489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D81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CCD8F2" wp14:editId="0EF4C1DB">
          <wp:simplePos x="0" y="0"/>
          <wp:positionH relativeFrom="column">
            <wp:posOffset>-331</wp:posOffset>
          </wp:positionH>
          <wp:positionV relativeFrom="paragraph">
            <wp:posOffset>-433070</wp:posOffset>
          </wp:positionV>
          <wp:extent cx="5756910" cy="1295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ROP_piktogram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7FF9B" w14:textId="77777777" w:rsidR="00AD68C8" w:rsidRDefault="00AD68C8" w:rsidP="00AD68C8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46EAD4C" wp14:editId="54FB3C49">
          <wp:simplePos x="0" y="0"/>
          <wp:positionH relativeFrom="column">
            <wp:posOffset>-891250</wp:posOffset>
          </wp:positionH>
          <wp:positionV relativeFrom="paragraph">
            <wp:posOffset>-463622</wp:posOffset>
          </wp:positionV>
          <wp:extent cx="7566138" cy="10701867"/>
          <wp:effectExtent l="0" t="0" r="3175" b="444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xagon_A4_vys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138" cy="10701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544AA24" wp14:editId="763FF6F3">
          <wp:extent cx="3997967" cy="485422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OP_piktogramy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37" b="22203"/>
                  <a:stretch/>
                </pic:blipFill>
                <pic:spPr bwMode="auto">
                  <a:xfrm>
                    <a:off x="0" y="0"/>
                    <a:ext cx="3999706" cy="485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4724"/>
    <w:multiLevelType w:val="hybridMultilevel"/>
    <w:tmpl w:val="4FF04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3315"/>
    <w:multiLevelType w:val="hybridMultilevel"/>
    <w:tmpl w:val="EF6CB8B6"/>
    <w:lvl w:ilvl="0" w:tplc="983A7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663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AA6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EAE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BC3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245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22B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683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029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835635"/>
    <w:multiLevelType w:val="hybridMultilevel"/>
    <w:tmpl w:val="DCF66A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138B7061"/>
    <w:multiLevelType w:val="hybridMultilevel"/>
    <w:tmpl w:val="AC34E39E"/>
    <w:lvl w:ilvl="0" w:tplc="9A44CE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0105F"/>
    <w:multiLevelType w:val="hybridMultilevel"/>
    <w:tmpl w:val="60BEA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D2495"/>
    <w:multiLevelType w:val="hybridMultilevel"/>
    <w:tmpl w:val="3AC859CC"/>
    <w:lvl w:ilvl="0" w:tplc="D1903A3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B02FB"/>
    <w:multiLevelType w:val="hybridMultilevel"/>
    <w:tmpl w:val="1EF88592"/>
    <w:lvl w:ilvl="0" w:tplc="930A7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F8EA5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4EE0A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F1CE3B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6E80C0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A64B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0B66A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0F481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76E61D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4AB425B5"/>
    <w:multiLevelType w:val="hybridMultilevel"/>
    <w:tmpl w:val="BA0AA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C2C7A"/>
    <w:multiLevelType w:val="hybridMultilevel"/>
    <w:tmpl w:val="CE449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57A24"/>
    <w:multiLevelType w:val="hybridMultilevel"/>
    <w:tmpl w:val="FEC8F95E"/>
    <w:lvl w:ilvl="0" w:tplc="19486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B481E0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641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827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6CE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8CD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BAC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A02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D80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75F2626"/>
    <w:multiLevelType w:val="hybridMultilevel"/>
    <w:tmpl w:val="8416DE14"/>
    <w:lvl w:ilvl="0" w:tplc="5ED44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96D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BCB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7A1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D41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28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21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789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1ED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6C56238"/>
    <w:multiLevelType w:val="hybridMultilevel"/>
    <w:tmpl w:val="8FDC7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458E5"/>
    <w:multiLevelType w:val="hybridMultilevel"/>
    <w:tmpl w:val="E46A39FA"/>
    <w:lvl w:ilvl="0" w:tplc="BF92B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7"/>
  </w:num>
  <w:num w:numId="5">
    <w:abstractNumId w:val="12"/>
  </w:num>
  <w:num w:numId="6">
    <w:abstractNumId w:val="0"/>
  </w:num>
  <w:num w:numId="7">
    <w:abstractNumId w:val="11"/>
  </w:num>
  <w:num w:numId="8">
    <w:abstractNumId w:val="3"/>
  </w:num>
  <w:num w:numId="9">
    <w:abstractNumId w:val="8"/>
  </w:num>
  <w:num w:numId="10">
    <w:abstractNumId w:val="6"/>
  </w:num>
  <w:num w:numId="11">
    <w:abstractNumId w:val="1"/>
  </w:num>
  <w:num w:numId="12">
    <w:abstractNumId w:val="9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A5"/>
    <w:rsid w:val="0001207C"/>
    <w:rsid w:val="000302E4"/>
    <w:rsid w:val="000462FE"/>
    <w:rsid w:val="000644CB"/>
    <w:rsid w:val="00074F2A"/>
    <w:rsid w:val="000935B7"/>
    <w:rsid w:val="000A1119"/>
    <w:rsid w:val="000C6C8C"/>
    <w:rsid w:val="00111084"/>
    <w:rsid w:val="00155EF1"/>
    <w:rsid w:val="001705F2"/>
    <w:rsid w:val="00171577"/>
    <w:rsid w:val="001A29B8"/>
    <w:rsid w:val="001A2BB9"/>
    <w:rsid w:val="001C4D5D"/>
    <w:rsid w:val="001E5D27"/>
    <w:rsid w:val="00212947"/>
    <w:rsid w:val="00213EF9"/>
    <w:rsid w:val="00221404"/>
    <w:rsid w:val="002438A5"/>
    <w:rsid w:val="00246BE0"/>
    <w:rsid w:val="002662F9"/>
    <w:rsid w:val="0027018D"/>
    <w:rsid w:val="002979CD"/>
    <w:rsid w:val="002A274A"/>
    <w:rsid w:val="002B5217"/>
    <w:rsid w:val="002C3205"/>
    <w:rsid w:val="002E3279"/>
    <w:rsid w:val="00304579"/>
    <w:rsid w:val="00320614"/>
    <w:rsid w:val="003267D8"/>
    <w:rsid w:val="003E574D"/>
    <w:rsid w:val="003F7733"/>
    <w:rsid w:val="00407704"/>
    <w:rsid w:val="00440297"/>
    <w:rsid w:val="00490BEB"/>
    <w:rsid w:val="004B2979"/>
    <w:rsid w:val="004F36F4"/>
    <w:rsid w:val="005023B1"/>
    <w:rsid w:val="00504C94"/>
    <w:rsid w:val="00540BBA"/>
    <w:rsid w:val="0055120F"/>
    <w:rsid w:val="00590FFB"/>
    <w:rsid w:val="00597166"/>
    <w:rsid w:val="005C4BAB"/>
    <w:rsid w:val="005F5ED6"/>
    <w:rsid w:val="00640A21"/>
    <w:rsid w:val="00642702"/>
    <w:rsid w:val="00645674"/>
    <w:rsid w:val="00653AA0"/>
    <w:rsid w:val="006B713A"/>
    <w:rsid w:val="00745A4D"/>
    <w:rsid w:val="007678D4"/>
    <w:rsid w:val="00786D01"/>
    <w:rsid w:val="007A2744"/>
    <w:rsid w:val="007E2465"/>
    <w:rsid w:val="007E303D"/>
    <w:rsid w:val="007F3302"/>
    <w:rsid w:val="0080633F"/>
    <w:rsid w:val="00845811"/>
    <w:rsid w:val="00850751"/>
    <w:rsid w:val="0086637E"/>
    <w:rsid w:val="00893247"/>
    <w:rsid w:val="00893270"/>
    <w:rsid w:val="008B09C5"/>
    <w:rsid w:val="008B16C8"/>
    <w:rsid w:val="008F5C1F"/>
    <w:rsid w:val="008F76BA"/>
    <w:rsid w:val="00914763"/>
    <w:rsid w:val="00934F46"/>
    <w:rsid w:val="00937730"/>
    <w:rsid w:val="009457FE"/>
    <w:rsid w:val="009710F1"/>
    <w:rsid w:val="00975266"/>
    <w:rsid w:val="00991BC2"/>
    <w:rsid w:val="009B0CA4"/>
    <w:rsid w:val="009D683B"/>
    <w:rsid w:val="00A412FD"/>
    <w:rsid w:val="00A80D81"/>
    <w:rsid w:val="00A9735E"/>
    <w:rsid w:val="00AA59FC"/>
    <w:rsid w:val="00AC6C13"/>
    <w:rsid w:val="00AD68C8"/>
    <w:rsid w:val="00B049A9"/>
    <w:rsid w:val="00B0656A"/>
    <w:rsid w:val="00B2478F"/>
    <w:rsid w:val="00B2776A"/>
    <w:rsid w:val="00B60C7C"/>
    <w:rsid w:val="00B61362"/>
    <w:rsid w:val="00B76A54"/>
    <w:rsid w:val="00B8375E"/>
    <w:rsid w:val="00B904E0"/>
    <w:rsid w:val="00BA7770"/>
    <w:rsid w:val="00BC1614"/>
    <w:rsid w:val="00BC3022"/>
    <w:rsid w:val="00BE6B60"/>
    <w:rsid w:val="00C116C3"/>
    <w:rsid w:val="00C409EA"/>
    <w:rsid w:val="00C4184B"/>
    <w:rsid w:val="00C43264"/>
    <w:rsid w:val="00C453AD"/>
    <w:rsid w:val="00CD5ACD"/>
    <w:rsid w:val="00D20533"/>
    <w:rsid w:val="00D26DAF"/>
    <w:rsid w:val="00D4743A"/>
    <w:rsid w:val="00D60234"/>
    <w:rsid w:val="00DB60C7"/>
    <w:rsid w:val="00DB7445"/>
    <w:rsid w:val="00DE47EB"/>
    <w:rsid w:val="00E1712F"/>
    <w:rsid w:val="00E431FD"/>
    <w:rsid w:val="00E54E48"/>
    <w:rsid w:val="00EA0E87"/>
    <w:rsid w:val="00EA2B45"/>
    <w:rsid w:val="00ED33BB"/>
    <w:rsid w:val="00EE4167"/>
    <w:rsid w:val="00EF4973"/>
    <w:rsid w:val="00EF7EDB"/>
    <w:rsid w:val="00F126F3"/>
    <w:rsid w:val="00F12E48"/>
    <w:rsid w:val="00F3628F"/>
    <w:rsid w:val="00F730D3"/>
    <w:rsid w:val="00F91515"/>
    <w:rsid w:val="00FC0F3E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8A215F"/>
  <w15:chartTrackingRefBased/>
  <w15:docId w15:val="{8C471211-3EFA-3442-8292-7B898F0C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26F3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126F3"/>
    <w:pPr>
      <w:keepNext/>
      <w:keepLines/>
      <w:spacing w:before="360" w:after="120"/>
      <w:outlineLvl w:val="0"/>
    </w:pPr>
    <w:rPr>
      <w:rFonts w:eastAsiaTheme="majorEastAsia" w:cstheme="majorBidi"/>
      <w:b/>
      <w:color w:val="1D71B8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26F3"/>
    <w:pPr>
      <w:keepNext/>
      <w:keepLines/>
      <w:spacing w:before="160" w:after="120"/>
      <w:outlineLvl w:val="1"/>
    </w:pPr>
    <w:rPr>
      <w:rFonts w:eastAsiaTheme="majorEastAsia" w:cstheme="majorBidi"/>
      <w:b/>
      <w:color w:val="1D71B8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26F3"/>
    <w:pPr>
      <w:keepNext/>
      <w:keepLines/>
      <w:spacing w:before="160" w:after="120"/>
      <w:outlineLvl w:val="2"/>
    </w:pPr>
    <w:rPr>
      <w:rFonts w:eastAsiaTheme="majorEastAsia" w:cstheme="majorBidi"/>
      <w:b/>
      <w:color w:val="1D71B8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IROP">
    <w:name w:val="IROP"/>
    <w:basedOn w:val="Normlntabulka"/>
    <w:uiPriority w:val="99"/>
    <w:rsid w:val="00490BEB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table" w:styleId="Mkatabulky">
    <w:name w:val="Table Grid"/>
    <w:basedOn w:val="Normlntabulka"/>
    <w:uiPriority w:val="39"/>
    <w:rsid w:val="00B06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126F3"/>
    <w:rPr>
      <w:rFonts w:ascii="Arial" w:eastAsiaTheme="majorEastAsia" w:hAnsi="Arial" w:cstheme="majorBidi"/>
      <w:b/>
      <w:color w:val="1D71B8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126F3"/>
    <w:rPr>
      <w:rFonts w:ascii="Arial" w:eastAsiaTheme="majorEastAsia" w:hAnsi="Arial" w:cstheme="majorBidi"/>
      <w:b/>
      <w:color w:val="1D71B8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126F3"/>
    <w:rPr>
      <w:rFonts w:ascii="Arial" w:eastAsiaTheme="majorEastAsia" w:hAnsi="Arial" w:cstheme="majorBidi"/>
      <w:b/>
      <w:color w:val="1D71B8"/>
      <w:sz w:val="32"/>
    </w:rPr>
  </w:style>
  <w:style w:type="paragraph" w:customStyle="1" w:styleId="Texttabulkatun">
    <w:name w:val="Text tabulka tučně"/>
    <w:basedOn w:val="Normln"/>
    <w:rsid w:val="002A274A"/>
    <w:pPr>
      <w:jc w:val="both"/>
    </w:pPr>
    <w:rPr>
      <w:rFonts w:eastAsia="Times New Roman" w:cs="Times New Roman"/>
      <w:b/>
      <w:bCs/>
      <w:sz w:val="22"/>
      <w:szCs w:val="20"/>
    </w:rPr>
  </w:style>
  <w:style w:type="character" w:customStyle="1" w:styleId="Texttabulka">
    <w:name w:val="Text tabulka"/>
    <w:basedOn w:val="Standardnpsmoodstavce"/>
    <w:rsid w:val="002A274A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2A274A"/>
    <w:rPr>
      <w:rFonts w:ascii="Arial" w:hAnsi="Arial" w:cs="Arial" w:hint="default"/>
      <w:i/>
      <w:iCs/>
    </w:rPr>
  </w:style>
  <w:style w:type="paragraph" w:customStyle="1" w:styleId="Normlntext">
    <w:name w:val="Normální text"/>
    <w:basedOn w:val="Odstavecseseznamem"/>
    <w:rsid w:val="002A274A"/>
    <w:pPr>
      <w:spacing w:before="240" w:after="120" w:line="276" w:lineRule="auto"/>
      <w:ind w:left="714"/>
      <w:jc w:val="both"/>
    </w:pPr>
    <w:rPr>
      <w:rFonts w:eastAsia="Times New Roman" w:cs="Times New Roman"/>
      <w:szCs w:val="20"/>
    </w:rPr>
  </w:style>
  <w:style w:type="paragraph" w:customStyle="1" w:styleId="Nadpistextu">
    <w:name w:val="Nadpis textu"/>
    <w:basedOn w:val="Odstavecseseznamem"/>
    <w:rsid w:val="002A274A"/>
    <w:pPr>
      <w:spacing w:before="240" w:after="120" w:line="276" w:lineRule="auto"/>
    </w:pPr>
    <w:rPr>
      <w:rFonts w:eastAsia="Times New Roman" w:cs="Times New Roman"/>
      <w:b/>
      <w:bCs/>
      <w:szCs w:val="20"/>
    </w:rPr>
  </w:style>
  <w:style w:type="paragraph" w:customStyle="1" w:styleId="Normmlntext-odrka">
    <w:name w:val="Normmální text - odrážka"/>
    <w:basedOn w:val="Normlntext"/>
    <w:rsid w:val="002A274A"/>
    <w:pPr>
      <w:spacing w:before="180" w:after="180"/>
    </w:pPr>
  </w:style>
  <w:style w:type="character" w:customStyle="1" w:styleId="Nadpistmata">
    <w:name w:val="Nadpis témata"/>
    <w:basedOn w:val="Standardnpsmoodstavce"/>
    <w:rsid w:val="002A274A"/>
    <w:rPr>
      <w:rFonts w:ascii="Arial" w:hAnsi="Arial" w:cs="Arial" w:hint="default"/>
      <w:b/>
      <w:bCs/>
      <w:color w:val="005392"/>
      <w:sz w:val="28"/>
    </w:rPr>
  </w:style>
  <w:style w:type="table" w:customStyle="1" w:styleId="IROPobecny">
    <w:name w:val="IROP obecny"/>
    <w:basedOn w:val="Normlntabulka"/>
    <w:uiPriority w:val="99"/>
    <w:rsid w:val="002A274A"/>
    <w:rPr>
      <w:rFonts w:ascii="Arial" w:hAnsi="Arial"/>
      <w:color w:val="000000" w:themeColor="text1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 w:val="0"/>
        <w:color w:val="FFFFFF" w:themeColor="background1"/>
      </w:rPr>
      <w:tblPr/>
      <w:tcPr>
        <w:shd w:val="clear" w:color="auto" w:fill="0070C0"/>
      </w:tcPr>
    </w:tblStylePr>
    <w:tblStylePr w:type="firstCol">
      <w:tblPr/>
      <w:tcPr>
        <w:shd w:val="clear" w:color="auto" w:fill="D09BCF" w:themeFill="text2" w:themeFillTint="66"/>
      </w:tcPr>
    </w:tblStylePr>
    <w:tblStylePr w:type="band1Horz">
      <w:tblPr/>
      <w:tcPr>
        <w:shd w:val="clear" w:color="auto" w:fill="F1CBF0" w:themeFill="accent1" w:themeFillTint="33"/>
      </w:tcPr>
    </w:tblStylePr>
    <w:tblStylePr w:type="band2Horz">
      <w:tblPr/>
      <w:tcPr>
        <w:shd w:val="clear" w:color="auto" w:fill="E8CDE7" w:themeFill="text2" w:themeFillTint="33"/>
      </w:tcPr>
    </w:tblStylePr>
  </w:style>
  <w:style w:type="paragraph" w:styleId="Odstavecseseznamem">
    <w:name w:val="List Paragraph"/>
    <w:basedOn w:val="Normln"/>
    <w:uiPriority w:val="34"/>
    <w:qFormat/>
    <w:rsid w:val="002A27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9FC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9FC"/>
    <w:rPr>
      <w:rFonts w:ascii="Arial" w:hAnsi="Arial"/>
    </w:rPr>
  </w:style>
  <w:style w:type="paragraph" w:customStyle="1" w:styleId="IROPtitulekdokumentu">
    <w:name w:val="IROP titulek dokumentu"/>
    <w:basedOn w:val="Nadpis1"/>
    <w:qFormat/>
    <w:rsid w:val="00850751"/>
    <w:pPr>
      <w:jc w:val="center"/>
    </w:pPr>
  </w:style>
  <w:style w:type="paragraph" w:customStyle="1" w:styleId="IROPpodtitulekdokumentu">
    <w:name w:val="IROP podtitulek dokumentu"/>
    <w:basedOn w:val="IROPtitulekdokumentu"/>
    <w:qFormat/>
    <w:rsid w:val="00850751"/>
    <w:rPr>
      <w:color w:val="878787"/>
      <w:sz w:val="32"/>
    </w:rPr>
  </w:style>
  <w:style w:type="character" w:styleId="Hypertextovodkaz">
    <w:name w:val="Hyperlink"/>
    <w:basedOn w:val="Standardnpsmoodstavce"/>
    <w:uiPriority w:val="99"/>
    <w:unhideWhenUsed/>
    <w:rsid w:val="00DB744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409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9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9E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9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9EA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9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9E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D5AC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979CD"/>
    <w:rPr>
      <w:rFonts w:ascii="Arial" w:hAnsi="Arial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A2B4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A2B45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A2B4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2B4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2B4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A2B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1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0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4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8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2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4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5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55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6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4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dyznudy.cz/iro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urmar\AppData\Local\Microsoft\Windows\INetCache\Content.Outlook\542O09PZ\SC%202.5%20Zateplov&#225;n&#237;_graf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urmar\AppData\Local\Microsoft\Windows\INetCache\Content.Outlook\542O09PZ\SC%202.5%20Zateplov&#225;n&#237;_graf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urmar\AppData\Local\Microsoft\Windows\INetCache\Content.Outlook\542O09PZ\SC%202.5%20Zateplov&#225;n&#237;_graf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600" b="1"/>
              <a:t>Počet zaregistrovaných projek</a:t>
            </a:r>
            <a:r>
              <a:rPr lang="cs-CZ" sz="1600" b="1"/>
              <a:t>ů</a:t>
            </a:r>
            <a:r>
              <a:rPr lang="cs-CZ" sz="1600" b="1" baseline="0"/>
              <a:t> - kumulativně</a:t>
            </a:r>
            <a:endParaRPr lang="en-US" sz="1600" b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PočtyRegistrovaných!$D$7</c:f>
              <c:strCache>
                <c:ptCount val="1"/>
                <c:pt idx="0">
                  <c:v>Počet zaregistrovaných projektů (kumulativně)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PočtyRegistrovaných!$C$8:$C$57</c:f>
              <c:strCache>
                <c:ptCount val="50"/>
                <c:pt idx="0">
                  <c:v>11.02.2018</c:v>
                </c:pt>
                <c:pt idx="2">
                  <c:v>11.03.2018</c:v>
                </c:pt>
                <c:pt idx="4">
                  <c:v>08.04.2018</c:v>
                </c:pt>
                <c:pt idx="6">
                  <c:v>06.05.2018</c:v>
                </c:pt>
                <c:pt idx="8">
                  <c:v>03.06.2018</c:v>
                </c:pt>
                <c:pt idx="10">
                  <c:v>01.07.2018</c:v>
                </c:pt>
                <c:pt idx="12">
                  <c:v>29.07.2018</c:v>
                </c:pt>
                <c:pt idx="14">
                  <c:v>26.08.2018</c:v>
                </c:pt>
                <c:pt idx="16">
                  <c:v>23.09.2018</c:v>
                </c:pt>
                <c:pt idx="18">
                  <c:v>21.10.2018</c:v>
                </c:pt>
                <c:pt idx="20">
                  <c:v>18.11.2018</c:v>
                </c:pt>
                <c:pt idx="22">
                  <c:v>16.12.2018</c:v>
                </c:pt>
                <c:pt idx="24">
                  <c:v>13.01.2019</c:v>
                </c:pt>
                <c:pt idx="26">
                  <c:v>10.02.2019</c:v>
                </c:pt>
                <c:pt idx="28">
                  <c:v>10.03.2019</c:v>
                </c:pt>
                <c:pt idx="30">
                  <c:v>07.04.2019</c:v>
                </c:pt>
                <c:pt idx="32">
                  <c:v>05.05.2019</c:v>
                </c:pt>
                <c:pt idx="34">
                  <c:v>02.06.2019</c:v>
                </c:pt>
                <c:pt idx="36">
                  <c:v>30.06.2019</c:v>
                </c:pt>
                <c:pt idx="38">
                  <c:v>28.07.2019</c:v>
                </c:pt>
                <c:pt idx="40">
                  <c:v>25.08.2019</c:v>
                </c:pt>
                <c:pt idx="42">
                  <c:v>22.09.2019</c:v>
                </c:pt>
                <c:pt idx="44">
                  <c:v>20.10.2019</c:v>
                </c:pt>
                <c:pt idx="46">
                  <c:v>17.11.2019</c:v>
                </c:pt>
                <c:pt idx="48">
                  <c:v>15.12.2019</c:v>
                </c:pt>
                <c:pt idx="49">
                  <c:v>29.12.2019</c:v>
                </c:pt>
              </c:strCache>
            </c:strRef>
          </c:cat>
          <c:val>
            <c:numRef>
              <c:f>PočtyRegistrovaných!$D$8:$D$57</c:f>
              <c:numCache>
                <c:formatCode>General</c:formatCode>
                <c:ptCount val="50"/>
                <c:pt idx="0">
                  <c:v>2</c:v>
                </c:pt>
                <c:pt idx="1">
                  <c:v>7</c:v>
                </c:pt>
                <c:pt idx="2">
                  <c:v>23</c:v>
                </c:pt>
                <c:pt idx="3">
                  <c:v>33</c:v>
                </c:pt>
                <c:pt idx="4">
                  <c:v>45</c:v>
                </c:pt>
                <c:pt idx="5">
                  <c:v>60</c:v>
                </c:pt>
                <c:pt idx="6">
                  <c:v>79</c:v>
                </c:pt>
                <c:pt idx="7">
                  <c:v>98</c:v>
                </c:pt>
                <c:pt idx="8">
                  <c:v>120</c:v>
                </c:pt>
                <c:pt idx="9">
                  <c:v>144</c:v>
                </c:pt>
                <c:pt idx="10">
                  <c:v>170</c:v>
                </c:pt>
                <c:pt idx="11">
                  <c:v>186</c:v>
                </c:pt>
                <c:pt idx="12">
                  <c:v>204</c:v>
                </c:pt>
                <c:pt idx="13">
                  <c:v>220</c:v>
                </c:pt>
                <c:pt idx="14">
                  <c:v>244</c:v>
                </c:pt>
                <c:pt idx="15">
                  <c:v>275</c:v>
                </c:pt>
                <c:pt idx="16">
                  <c:v>289</c:v>
                </c:pt>
                <c:pt idx="17">
                  <c:v>308</c:v>
                </c:pt>
                <c:pt idx="18">
                  <c:v>319</c:v>
                </c:pt>
                <c:pt idx="19">
                  <c:v>337</c:v>
                </c:pt>
                <c:pt idx="20">
                  <c:v>356</c:v>
                </c:pt>
                <c:pt idx="21">
                  <c:v>389</c:v>
                </c:pt>
                <c:pt idx="22">
                  <c:v>414</c:v>
                </c:pt>
                <c:pt idx="23">
                  <c:v>429</c:v>
                </c:pt>
                <c:pt idx="24">
                  <c:v>440</c:v>
                </c:pt>
                <c:pt idx="25">
                  <c:v>458</c:v>
                </c:pt>
                <c:pt idx="26">
                  <c:v>476</c:v>
                </c:pt>
                <c:pt idx="27">
                  <c:v>495</c:v>
                </c:pt>
                <c:pt idx="28">
                  <c:v>520</c:v>
                </c:pt>
                <c:pt idx="29">
                  <c:v>542</c:v>
                </c:pt>
                <c:pt idx="30">
                  <c:v>570</c:v>
                </c:pt>
                <c:pt idx="31">
                  <c:v>596</c:v>
                </c:pt>
                <c:pt idx="32">
                  <c:v>623</c:v>
                </c:pt>
                <c:pt idx="33">
                  <c:v>654</c:v>
                </c:pt>
                <c:pt idx="34">
                  <c:v>686</c:v>
                </c:pt>
                <c:pt idx="35">
                  <c:v>712</c:v>
                </c:pt>
                <c:pt idx="36">
                  <c:v>742</c:v>
                </c:pt>
                <c:pt idx="37">
                  <c:v>764</c:v>
                </c:pt>
                <c:pt idx="38">
                  <c:v>785</c:v>
                </c:pt>
                <c:pt idx="39">
                  <c:v>806</c:v>
                </c:pt>
                <c:pt idx="40">
                  <c:v>833</c:v>
                </c:pt>
                <c:pt idx="41">
                  <c:v>853</c:v>
                </c:pt>
                <c:pt idx="42">
                  <c:v>871</c:v>
                </c:pt>
                <c:pt idx="43">
                  <c:v>895</c:v>
                </c:pt>
                <c:pt idx="44">
                  <c:v>918</c:v>
                </c:pt>
                <c:pt idx="45">
                  <c:v>941</c:v>
                </c:pt>
                <c:pt idx="46">
                  <c:v>972</c:v>
                </c:pt>
                <c:pt idx="47">
                  <c:v>1008</c:v>
                </c:pt>
                <c:pt idx="48">
                  <c:v>1036</c:v>
                </c:pt>
                <c:pt idx="49">
                  <c:v>1057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AB-425F-A29B-86DBB00D13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"/>
        <c:overlap val="-90"/>
        <c:axId val="390560736"/>
        <c:axId val="390559424"/>
      </c:barChart>
      <c:catAx>
        <c:axId val="390560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90559424"/>
        <c:crosses val="autoZero"/>
        <c:auto val="1"/>
        <c:lblAlgn val="ctr"/>
        <c:lblOffset val="100"/>
        <c:noMultiLvlLbl val="0"/>
      </c:catAx>
      <c:valAx>
        <c:axId val="390559424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65000"/>
                </a:schemeClr>
              </a:solidFill>
              <a:prstDash val="sysDash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90560736"/>
        <c:crosses val="autoZero"/>
        <c:crossBetween val="between"/>
      </c:valAx>
      <c:spPr>
        <a:noFill/>
        <a:ln>
          <a:noFill/>
        </a:ln>
        <a:effectLst/>
      </c:spPr>
    </c:plotArea>
    <c:plotVisOnly val="0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600" b="1">
                <a:solidFill>
                  <a:sysClr val="windowText" lastClr="000000"/>
                </a:solidFill>
              </a:rPr>
              <a:t>P</a:t>
            </a:r>
            <a:r>
              <a:rPr lang="cs-CZ" sz="1600" b="1">
                <a:solidFill>
                  <a:sysClr val="windowText" lastClr="000000"/>
                </a:solidFill>
              </a:rPr>
              <a:t>řírůstek</a:t>
            </a:r>
            <a:r>
              <a:rPr lang="cs-CZ" sz="1600" b="1" baseline="0">
                <a:solidFill>
                  <a:sysClr val="windowText" lastClr="000000"/>
                </a:solidFill>
              </a:rPr>
              <a:t> zaregistrovaných projektů - s trendem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PočtyRegistrovaných!$E$7</c:f>
              <c:strCache>
                <c:ptCount val="1"/>
                <c:pt idx="0">
                  <c:v>Přírůstek za období</c:v>
                </c:pt>
              </c:strCache>
            </c:strRef>
          </c:tx>
          <c:spPr>
            <a:ln w="41275" cap="rnd">
              <a:solidFill>
                <a:schemeClr val="accent6"/>
              </a:solidFill>
              <a:round/>
            </a:ln>
            <a:effectLst/>
          </c:spPr>
          <c:marker>
            <c:symbol val="square"/>
            <c:size val="8"/>
            <c:spPr>
              <a:solidFill>
                <a:schemeClr val="accent4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41275" cap="sq">
                <a:solidFill>
                  <a:srgbClr val="002060"/>
                </a:solidFill>
                <a:prstDash val="sysDash"/>
                <a:round/>
              </a:ln>
              <a:effectLst/>
            </c:spPr>
            <c:trendlineType val="movingAvg"/>
            <c:period val="6"/>
            <c:dispRSqr val="0"/>
            <c:dispEq val="0"/>
          </c:trendline>
          <c:cat>
            <c:strRef>
              <c:f>PočtyRegistrovaných!$C$8:$C$57</c:f>
              <c:strCache>
                <c:ptCount val="50"/>
                <c:pt idx="0">
                  <c:v>11.02.2018</c:v>
                </c:pt>
                <c:pt idx="2">
                  <c:v>11.03.2018</c:v>
                </c:pt>
                <c:pt idx="4">
                  <c:v>08.04.2018</c:v>
                </c:pt>
                <c:pt idx="6">
                  <c:v>06.05.2018</c:v>
                </c:pt>
                <c:pt idx="8">
                  <c:v>03.06.2018</c:v>
                </c:pt>
                <c:pt idx="10">
                  <c:v>01.07.2018</c:v>
                </c:pt>
                <c:pt idx="12">
                  <c:v>29.07.2018</c:v>
                </c:pt>
                <c:pt idx="14">
                  <c:v>26.08.2018</c:v>
                </c:pt>
                <c:pt idx="16">
                  <c:v>23.09.2018</c:v>
                </c:pt>
                <c:pt idx="18">
                  <c:v>21.10.2018</c:v>
                </c:pt>
                <c:pt idx="20">
                  <c:v>18.11.2018</c:v>
                </c:pt>
                <c:pt idx="22">
                  <c:v>16.12.2018</c:v>
                </c:pt>
                <c:pt idx="24">
                  <c:v>13.01.2019</c:v>
                </c:pt>
                <c:pt idx="26">
                  <c:v>10.02.2019</c:v>
                </c:pt>
                <c:pt idx="28">
                  <c:v>10.03.2019</c:v>
                </c:pt>
                <c:pt idx="30">
                  <c:v>07.04.2019</c:v>
                </c:pt>
                <c:pt idx="32">
                  <c:v>05.05.2019</c:v>
                </c:pt>
                <c:pt idx="34">
                  <c:v>02.06.2019</c:v>
                </c:pt>
                <c:pt idx="36">
                  <c:v>30.06.2019</c:v>
                </c:pt>
                <c:pt idx="38">
                  <c:v>28.07.2019</c:v>
                </c:pt>
                <c:pt idx="40">
                  <c:v>25.08.2019</c:v>
                </c:pt>
                <c:pt idx="42">
                  <c:v>22.09.2019</c:v>
                </c:pt>
                <c:pt idx="44">
                  <c:v>20.10.2019</c:v>
                </c:pt>
                <c:pt idx="46">
                  <c:v>17.11.2019</c:v>
                </c:pt>
                <c:pt idx="48">
                  <c:v>15.12.2019</c:v>
                </c:pt>
                <c:pt idx="49">
                  <c:v>29.12.2019</c:v>
                </c:pt>
              </c:strCache>
            </c:strRef>
          </c:cat>
          <c:val>
            <c:numRef>
              <c:f>PočtyRegistrovaných!$E$8:$E$57</c:f>
              <c:numCache>
                <c:formatCode>General</c:formatCode>
                <c:ptCount val="50"/>
                <c:pt idx="0">
                  <c:v>2</c:v>
                </c:pt>
                <c:pt idx="1">
                  <c:v>5</c:v>
                </c:pt>
                <c:pt idx="2">
                  <c:v>16</c:v>
                </c:pt>
                <c:pt idx="3">
                  <c:v>10</c:v>
                </c:pt>
                <c:pt idx="4">
                  <c:v>12</c:v>
                </c:pt>
                <c:pt idx="5">
                  <c:v>15</c:v>
                </c:pt>
                <c:pt idx="6">
                  <c:v>19</c:v>
                </c:pt>
                <c:pt idx="7">
                  <c:v>19</c:v>
                </c:pt>
                <c:pt idx="8">
                  <c:v>22</c:v>
                </c:pt>
                <c:pt idx="9">
                  <c:v>24</c:v>
                </c:pt>
                <c:pt idx="10">
                  <c:v>26</c:v>
                </c:pt>
                <c:pt idx="11">
                  <c:v>16</c:v>
                </c:pt>
                <c:pt idx="12">
                  <c:v>18</c:v>
                </c:pt>
                <c:pt idx="13">
                  <c:v>16</c:v>
                </c:pt>
                <c:pt idx="14">
                  <c:v>24</c:v>
                </c:pt>
                <c:pt idx="15">
                  <c:v>31</c:v>
                </c:pt>
                <c:pt idx="16">
                  <c:v>14</c:v>
                </c:pt>
                <c:pt idx="17">
                  <c:v>19</c:v>
                </c:pt>
                <c:pt idx="18">
                  <c:v>11</c:v>
                </c:pt>
                <c:pt idx="19">
                  <c:v>18</c:v>
                </c:pt>
                <c:pt idx="20">
                  <c:v>19</c:v>
                </c:pt>
                <c:pt idx="21">
                  <c:v>33</c:v>
                </c:pt>
                <c:pt idx="22">
                  <c:v>25</c:v>
                </c:pt>
                <c:pt idx="23">
                  <c:v>15</c:v>
                </c:pt>
                <c:pt idx="24">
                  <c:v>11</c:v>
                </c:pt>
                <c:pt idx="25">
                  <c:v>18</c:v>
                </c:pt>
                <c:pt idx="26">
                  <c:v>18</c:v>
                </c:pt>
                <c:pt idx="27">
                  <c:v>19</c:v>
                </c:pt>
                <c:pt idx="28">
                  <c:v>25</c:v>
                </c:pt>
                <c:pt idx="29">
                  <c:v>22</c:v>
                </c:pt>
                <c:pt idx="30">
                  <c:v>28</c:v>
                </c:pt>
                <c:pt idx="31">
                  <c:v>26</c:v>
                </c:pt>
                <c:pt idx="32">
                  <c:v>27</c:v>
                </c:pt>
                <c:pt idx="33">
                  <c:v>31</c:v>
                </c:pt>
                <c:pt idx="34">
                  <c:v>32</c:v>
                </c:pt>
                <c:pt idx="35">
                  <c:v>26</c:v>
                </c:pt>
                <c:pt idx="36">
                  <c:v>30</c:v>
                </c:pt>
                <c:pt idx="37">
                  <c:v>22</c:v>
                </c:pt>
                <c:pt idx="38">
                  <c:v>21</c:v>
                </c:pt>
                <c:pt idx="39">
                  <c:v>21</c:v>
                </c:pt>
                <c:pt idx="40">
                  <c:v>27</c:v>
                </c:pt>
                <c:pt idx="41">
                  <c:v>20</c:v>
                </c:pt>
                <c:pt idx="42">
                  <c:v>18</c:v>
                </c:pt>
                <c:pt idx="43">
                  <c:v>24</c:v>
                </c:pt>
                <c:pt idx="44">
                  <c:v>23</c:v>
                </c:pt>
                <c:pt idx="45">
                  <c:v>23</c:v>
                </c:pt>
                <c:pt idx="46">
                  <c:v>31</c:v>
                </c:pt>
                <c:pt idx="47">
                  <c:v>36</c:v>
                </c:pt>
                <c:pt idx="48">
                  <c:v>28</c:v>
                </c:pt>
                <c:pt idx="49">
                  <c:v>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41D-4082-8D1F-D49E710F3D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0560736"/>
        <c:axId val="390559424"/>
      </c:lineChart>
      <c:catAx>
        <c:axId val="390560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90559424"/>
        <c:crosses val="autoZero"/>
        <c:auto val="1"/>
        <c:lblAlgn val="ctr"/>
        <c:lblOffset val="100"/>
        <c:tickMarkSkip val="2"/>
        <c:noMultiLvlLbl val="0"/>
      </c:catAx>
      <c:valAx>
        <c:axId val="390559424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65000"/>
                </a:schemeClr>
              </a:solidFill>
              <a:prstDash val="sysDash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90560736"/>
        <c:crosses val="autoZero"/>
        <c:crossBetween val="between"/>
      </c:valAx>
      <c:spPr>
        <a:noFill/>
        <a:ln>
          <a:noFill/>
        </a:ln>
        <a:effectLst/>
      </c:spPr>
    </c:plotArea>
    <c:plotVisOnly val="0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Průměr EFRR</a:t>
            </a:r>
            <a:r>
              <a:rPr lang="cs-CZ" b="1">
                <a:solidFill>
                  <a:sysClr val="windowText" lastClr="000000"/>
                </a:solidFill>
              </a:rPr>
              <a:t> projektů SC</a:t>
            </a:r>
            <a:r>
              <a:rPr lang="cs-CZ" b="1" baseline="0">
                <a:solidFill>
                  <a:sysClr val="windowText" lastClr="000000"/>
                </a:solidFill>
              </a:rPr>
              <a:t> 2.5 dle čtvrtletí registrace</a:t>
            </a:r>
            <a:endParaRPr lang="en-US" b="1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Čtvrtletí_Objemy_Pocty!$C$5</c:f>
              <c:strCache>
                <c:ptCount val="1"/>
                <c:pt idx="0">
                  <c:v>Průměr EFRR</c:v>
                </c:pt>
              </c:strCache>
            </c:strRef>
          </c:tx>
          <c:spPr>
            <a:ln w="31750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7"/>
            <c:spPr>
              <a:solidFill>
                <a:schemeClr val="tx1"/>
              </a:solidFill>
              <a:ln w="9525">
                <a:solidFill>
                  <a:schemeClr val="bg1"/>
                </a:solidFill>
              </a:ln>
              <a:effectLst/>
            </c:spPr>
          </c:marker>
          <c:cat>
            <c:strRef>
              <c:f>Čtvrtletí_Objemy_Pocty!$B$6:$B$21</c:f>
              <c:strCache>
                <c:ptCount val="16"/>
                <c:pt idx="0">
                  <c:v>Q1 16</c:v>
                </c:pt>
                <c:pt idx="1">
                  <c:v>Q2 16 </c:v>
                </c:pt>
                <c:pt idx="2">
                  <c:v>Q3 16</c:v>
                </c:pt>
                <c:pt idx="3">
                  <c:v>Q4 16</c:v>
                </c:pt>
                <c:pt idx="4">
                  <c:v>Q1 17</c:v>
                </c:pt>
                <c:pt idx="5">
                  <c:v>Q2 17</c:v>
                </c:pt>
                <c:pt idx="6">
                  <c:v>Q3 17</c:v>
                </c:pt>
                <c:pt idx="7">
                  <c:v>Q4 17</c:v>
                </c:pt>
                <c:pt idx="8">
                  <c:v>Q1 18</c:v>
                </c:pt>
                <c:pt idx="9">
                  <c:v>Q2 18</c:v>
                </c:pt>
                <c:pt idx="10">
                  <c:v>Q3 18</c:v>
                </c:pt>
                <c:pt idx="11">
                  <c:v>Q4 18</c:v>
                </c:pt>
                <c:pt idx="12">
                  <c:v>Q1 19</c:v>
                </c:pt>
                <c:pt idx="13">
                  <c:v>Q2 19</c:v>
                </c:pt>
                <c:pt idx="14">
                  <c:v>Q3 19</c:v>
                </c:pt>
                <c:pt idx="15">
                  <c:v>Q4 19</c:v>
                </c:pt>
              </c:strCache>
            </c:strRef>
          </c:cat>
          <c:val>
            <c:numRef>
              <c:f>Čtvrtletí_Objemy_Pocty!$C$6:$C$21</c:f>
              <c:numCache>
                <c:formatCode>#\ ##0\ "Kč"</c:formatCode>
                <c:ptCount val="16"/>
                <c:pt idx="0">
                  <c:v>2148446.8984615384</c:v>
                </c:pt>
                <c:pt idx="1">
                  <c:v>1739744.3632885907</c:v>
                </c:pt>
                <c:pt idx="2">
                  <c:v>1989887.2694021731</c:v>
                </c:pt>
                <c:pt idx="3">
                  <c:v>1881532.9818324614</c:v>
                </c:pt>
                <c:pt idx="4">
                  <c:v>2038495.9064028773</c:v>
                </c:pt>
                <c:pt idx="5">
                  <c:v>2025401.0457653054</c:v>
                </c:pt>
                <c:pt idx="6">
                  <c:v>2174709.3529878054</c:v>
                </c:pt>
                <c:pt idx="7">
                  <c:v>2257570.7888854486</c:v>
                </c:pt>
                <c:pt idx="8">
                  <c:v>2032632.5659883725</c:v>
                </c:pt>
                <c:pt idx="9">
                  <c:v>2105964.1943939403</c:v>
                </c:pt>
                <c:pt idx="10">
                  <c:v>2428393.811307691</c:v>
                </c:pt>
                <c:pt idx="11">
                  <c:v>2381759.155503876</c:v>
                </c:pt>
                <c:pt idx="12">
                  <c:v>2512978.2070731707</c:v>
                </c:pt>
                <c:pt idx="13">
                  <c:v>2755353.0113157891</c:v>
                </c:pt>
                <c:pt idx="14">
                  <c:v>2633692</c:v>
                </c:pt>
                <c:pt idx="15">
                  <c:v>3162741.2639655177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EA2-4DA2-8CCF-5939016EFD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0087368"/>
        <c:axId val="510088024"/>
      </c:lineChart>
      <c:catAx>
        <c:axId val="510087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10088024"/>
        <c:crosses val="autoZero"/>
        <c:auto val="1"/>
        <c:lblAlgn val="ctr"/>
        <c:lblOffset val="100"/>
        <c:tickMarkSkip val="2"/>
        <c:noMultiLvlLbl val="0"/>
      </c:catAx>
      <c:valAx>
        <c:axId val="510088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prstDash val="sysDot"/>
              <a:round/>
            </a:ln>
            <a:effectLst/>
          </c:spPr>
        </c:majorGridlines>
        <c:numFmt formatCode="#\ 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10087368"/>
        <c:crosses val="autoZero"/>
        <c:crossBetween val="between"/>
        <c:dispUnits>
          <c:builtInUnit val="millions"/>
          <c:dispUnitsLbl>
            <c:layout>
              <c:manualLayout>
                <c:xMode val="edge"/>
                <c:yMode val="edge"/>
                <c:x val="2.1333336916885992E-2"/>
                <c:y val="0.4769392287502523"/>
              </c:manualLayout>
            </c:layout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lang="en-US" sz="1050" b="1">
                      <a:solidFill>
                        <a:sysClr val="windowText" lastClr="000000"/>
                      </a:solidFill>
                    </a:rPr>
                    <a:t>Miliony</a:t>
                  </a:r>
                  <a:r>
                    <a:rPr lang="cs-CZ" sz="1050" b="1">
                      <a:solidFill>
                        <a:sysClr val="windowText" lastClr="000000"/>
                      </a:solidFill>
                    </a:rPr>
                    <a:t> Kč</a:t>
                  </a:r>
                  <a:endParaRPr lang="en-US" sz="1050" b="1">
                    <a:solidFill>
                      <a:sysClr val="windowText" lastClr="000000"/>
                    </a:solidFill>
                  </a:endParaRPr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</c:dispUnitsLbl>
        </c:dispUnits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0.61562</cdr:x>
      <cdr:y>0.11064</cdr:y>
    </cdr:from>
    <cdr:to>
      <cdr:x>0.61796</cdr:x>
      <cdr:y>0.87685</cdr:y>
    </cdr:to>
    <cdr:cxnSp macro="">
      <cdr:nvCxnSpPr>
        <cdr:cNvPr id="3" name="Přímá spojnice 2"/>
        <cdr:cNvCxnSpPr/>
      </cdr:nvCxnSpPr>
      <cdr:spPr>
        <a:xfrm xmlns:a="http://schemas.openxmlformats.org/drawingml/2006/main" flipH="1">
          <a:off x="5164829" y="518418"/>
          <a:ext cx="19632" cy="3590135"/>
        </a:xfrm>
        <a:prstGeom xmlns:a="http://schemas.openxmlformats.org/drawingml/2006/main" prst="line">
          <a:avLst/>
        </a:prstGeom>
        <a:ln xmlns:a="http://schemas.openxmlformats.org/drawingml/2006/main" w="31750">
          <a:solidFill>
            <a:srgbClr val="C00000"/>
          </a:solidFill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Motiv Office">
  <a:themeElements>
    <a:clrScheme name="Fialová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B35388-1B15-4EF2-BEAA-AB0F6EFE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5</Pages>
  <Words>553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Juřicová Martina</cp:lastModifiedBy>
  <cp:revision>18</cp:revision>
  <dcterms:created xsi:type="dcterms:W3CDTF">2019-07-30T13:57:00Z</dcterms:created>
  <dcterms:modified xsi:type="dcterms:W3CDTF">2020-04-17T13:34:00Z</dcterms:modified>
</cp:coreProperties>
</file>