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923EF65"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proofErr w:type="gramStart"/>
      <w:r w:rsidR="000F6082" w:rsidRPr="00284A98">
        <w:rPr>
          <w:rFonts w:ascii="Arial" w:hAnsi="Arial" w:cs="Arial"/>
          <w:b/>
          <w:bCs/>
          <w:caps/>
          <w:color w:val="214F87"/>
          <w:sz w:val="44"/>
          <w:szCs w:val="44"/>
        </w:rPr>
        <w:t>3</w:t>
      </w:r>
      <w:r w:rsidR="00284A98" w:rsidRPr="00284A98">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00583210" w:rsidR="00284A98" w:rsidRDefault="00284A98" w:rsidP="00284A98">
      <w:pPr>
        <w:pStyle w:val="Zkladnodstavec"/>
        <w:jc w:val="center"/>
        <w:rPr>
          <w:rFonts w:ascii="Arial" w:hAnsi="Arial" w:cs="Arial"/>
          <w:caps/>
          <w:color w:val="auto"/>
          <w:sz w:val="36"/>
          <w:szCs w:val="36"/>
        </w:rPr>
      </w:pPr>
      <w:r>
        <w:rPr>
          <w:rFonts w:ascii="Arial" w:hAnsi="Arial" w:cs="Arial"/>
          <w:caps/>
          <w:color w:val="auto"/>
          <w:sz w:val="36"/>
          <w:szCs w:val="36"/>
        </w:rPr>
        <w:t>4</w:t>
      </w:r>
      <w:r w:rsidR="000C470E">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w:t>
      </w:r>
      <w:r w:rsidR="00526BF0">
        <w:rPr>
          <w:rFonts w:ascii="Arial" w:hAnsi="Arial" w:cs="Arial"/>
          <w:caps/>
          <w:color w:val="auto"/>
          <w:sz w:val="36"/>
          <w:szCs w:val="36"/>
        </w:rPr>
        <w:t>5</w:t>
      </w:r>
      <w:r>
        <w:rPr>
          <w:rFonts w:ascii="Arial" w:hAnsi="Arial" w:cs="Arial"/>
          <w:caps/>
          <w:color w:val="auto"/>
          <w:sz w:val="36"/>
          <w:szCs w:val="36"/>
        </w:rPr>
        <w:t>.</w:t>
      </w:r>
      <w:r w:rsidR="00526BF0">
        <w:rPr>
          <w:rFonts w:ascii="Arial" w:hAnsi="Arial" w:cs="Arial"/>
          <w:caps/>
          <w:color w:val="auto"/>
          <w:sz w:val="36"/>
          <w:szCs w:val="36"/>
        </w:rPr>
        <w:t>1</w:t>
      </w:r>
      <w:r>
        <w:rPr>
          <w:rFonts w:ascii="Arial" w:hAnsi="Arial" w:cs="Arial"/>
          <w:caps/>
          <w:color w:val="auto"/>
          <w:sz w:val="36"/>
          <w:szCs w:val="36"/>
        </w:rPr>
        <w:t xml:space="preserve"> (</w:t>
      </w:r>
      <w:r w:rsidR="007C1C5C">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Pr="00DF7220" w:rsidRDefault="000F6082" w:rsidP="000F6082">
      <w:pPr>
        <w:spacing w:after="200"/>
        <w:jc w:val="center"/>
        <w:rPr>
          <w:rFonts w:ascii="Arial" w:hAnsi="Arial" w:cs="Arial"/>
          <w:caps/>
          <w:color w:val="7F7F7F" w:themeColor="text1" w:themeTint="80"/>
          <w:sz w:val="32"/>
          <w:szCs w:val="32"/>
        </w:rPr>
        <w:sectPr w:rsidR="000F6082" w:rsidRPr="00DF7220" w:rsidSect="000078E3">
          <w:headerReference w:type="default" r:id="rId34"/>
          <w:footerReference w:type="default" r:id="rId35"/>
          <w:pgSz w:w="11906" w:h="16838"/>
          <w:pgMar w:top="1418" w:right="1418" w:bottom="1418" w:left="1418" w:header="709" w:footer="709" w:gutter="0"/>
          <w:cols w:space="708"/>
          <w:titlePg/>
          <w:docGrid w:linePitch="360"/>
        </w:sectPr>
      </w:pPr>
      <w:r w:rsidRPr="003460C4">
        <w:rPr>
          <w:rFonts w:ascii="Arial" w:hAnsi="Arial" w:cs="Arial"/>
          <w:caps/>
          <w:color w:val="7F7F7F" w:themeColor="text1" w:themeTint="80"/>
        </w:rPr>
        <w:t>VERZE</w:t>
      </w:r>
      <w:r w:rsidRPr="00DF7220">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4B31D9">
        <w:trPr>
          <w:trHeight w:val="6089"/>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5D92DE22"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4ECD69C0"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p>
          <w:p w14:paraId="5338F4C7"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5F765260"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652C9AB9" w14:textId="7EDF8175" w:rsidR="008A0C4D" w:rsidRPr="00E21F60" w:rsidRDefault="008A0C4D"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lastRenderedPageBreak/>
              <w:t>Udržení indikátorů</w:t>
            </w:r>
          </w:p>
        </w:tc>
      </w:tr>
      <w:tr w:rsidR="009132E6" w:rsidRPr="00BF657C" w14:paraId="4B0E91EF" w14:textId="77777777" w:rsidTr="0094284B">
        <w:trPr>
          <w:trHeight w:val="12070"/>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66609F28"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7303E877"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C891BFF" w:rsidR="008A0C4D" w:rsidRPr="00BF657C" w:rsidRDefault="008A0C4D"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3C6B57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8A0C4D">
              <w:rPr>
                <w:rFonts w:ascii="Arial" w:hAnsi="Arial" w:cs="Arial"/>
                <w:snapToGrid w:val="0"/>
                <w:sz w:val="22"/>
                <w:szCs w:val="22"/>
              </w:rPr>
              <w:br/>
            </w:r>
            <w:proofErr w:type="gramStart"/>
            <w:r w:rsidR="008A0C4D" w:rsidRPr="00BF657C">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4C73C8">
            <w:pPr>
              <w:pStyle w:val="Odstavecseseznamem"/>
              <w:keepNext/>
              <w:numPr>
                <w:ilvl w:val="0"/>
                <w:numId w:val="25"/>
              </w:numPr>
              <w:spacing w:before="120" w:after="120" w:line="271" w:lineRule="auto"/>
              <w:ind w:left="1071" w:hanging="357"/>
              <w:jc w:val="both"/>
              <w:rPr>
                <w:rFonts w:ascii="Arial" w:hAnsi="Arial" w:cs="Arial"/>
                <w:sz w:val="22"/>
                <w:szCs w:val="22"/>
              </w:rPr>
            </w:pPr>
            <w:r w:rsidRPr="00C76CB5">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266311EC" w14:textId="77777777" w:rsidR="00C76CB5" w:rsidRPr="00C76CB5"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31852BE" w14:textId="41B34FE5" w:rsidR="00C76CB5" w:rsidRPr="00E21F60" w:rsidRDefault="00C76CB5" w:rsidP="00C76CB5">
            <w:p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Pokud bude poskytovatel služby pověřen více pověřovacími akty, je povinen zajistit jejich kontinuální návaznost.</w:t>
            </w:r>
          </w:p>
        </w:tc>
        <w:tc>
          <w:tcPr>
            <w:tcW w:w="4534" w:type="dxa"/>
          </w:tcPr>
          <w:p w14:paraId="472B088F" w14:textId="680545E0" w:rsidR="00C76CB5" w:rsidRPr="00E21F60" w:rsidRDefault="00C76CB5" w:rsidP="0042247B">
            <w:pPr>
              <w:spacing w:before="120" w:after="120" w:line="271" w:lineRule="auto"/>
              <w:jc w:val="both"/>
              <w:rPr>
                <w:rFonts w:ascii="Arial" w:hAnsi="Arial" w:cs="Arial"/>
                <w:sz w:val="22"/>
                <w:szCs w:val="22"/>
              </w:rPr>
            </w:pPr>
            <w:r w:rsidRPr="00C76CB5">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35C82768" w14:textId="77777777" w:rsidR="00C76CB5" w:rsidRPr="00C76CB5" w:rsidRDefault="00C76CB5" w:rsidP="000F027F">
      <w:pPr>
        <w:keepNext/>
        <w:keepLines/>
        <w:numPr>
          <w:ilvl w:val="0"/>
          <w:numId w:val="35"/>
        </w:numPr>
        <w:spacing w:before="120" w:after="120" w:line="271" w:lineRule="auto"/>
        <w:jc w:val="both"/>
        <w:rPr>
          <w:rFonts w:ascii="Arial" w:hAnsi="Arial" w:cs="Arial"/>
          <w:snapToGrid w:val="0"/>
          <w:sz w:val="22"/>
          <w:szCs w:val="22"/>
        </w:rPr>
      </w:pPr>
      <w:r w:rsidRPr="00C76CB5">
        <w:rPr>
          <w:rFonts w:ascii="Arial" w:hAnsi="Arial" w:cs="Arial"/>
          <w:snapToGrid w:val="0"/>
          <w:sz w:val="22"/>
          <w:szCs w:val="22"/>
        </w:rPr>
        <w:t>Dotace je udělena v souladu s Rozhodnutím Komise 2012/21/EU</w:t>
      </w:r>
      <w:r w:rsidRPr="00C76CB5">
        <w:rPr>
          <w:rFonts w:ascii="Arial" w:hAnsi="Arial" w:cs="Arial"/>
          <w:snapToGrid w:val="0"/>
          <w:sz w:val="22"/>
          <w:szCs w:val="22"/>
        </w:rPr>
        <w:footnoteReference w:id="18"/>
      </w:r>
      <w:r w:rsidRPr="00C76CB5">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5A9C97D9"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447A3C38"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06508C3" w14:textId="77777777" w:rsidR="00C76CB5" w:rsidRPr="00C76CB5" w:rsidRDefault="00C76CB5" w:rsidP="009408F0">
      <w:pPr>
        <w:numPr>
          <w:ilvl w:val="0"/>
          <w:numId w:val="35"/>
        </w:numPr>
        <w:spacing w:before="120" w:after="120" w:line="271" w:lineRule="auto"/>
        <w:ind w:left="357" w:hanging="357"/>
        <w:jc w:val="both"/>
        <w:rPr>
          <w:rFonts w:ascii="Arial" w:hAnsi="Arial" w:cs="Arial"/>
          <w:snapToGrid w:val="0"/>
          <w:sz w:val="22"/>
          <w:szCs w:val="22"/>
        </w:rPr>
      </w:pPr>
      <w:r w:rsidRPr="00C76CB5">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24D6D" w:rsidRDefault="009132E6" w:rsidP="009408F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223F123"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5F0DE134" w14:textId="77777777" w:rsidR="00C76CB5" w:rsidRPr="000F027F" w:rsidRDefault="00C76CB5" w:rsidP="00C76CB5">
      <w:pPr>
        <w:pStyle w:val="Textpoznpodarou"/>
        <w:rPr>
          <w:rFonts w:ascii="Arial" w:hAnsi="Arial" w:cs="Arial"/>
          <w:sz w:val="18"/>
          <w:szCs w:val="18"/>
        </w:rPr>
      </w:pPr>
      <w:r w:rsidRPr="000F027F">
        <w:rPr>
          <w:rStyle w:val="Znakapoznpodarou"/>
          <w:rFonts w:ascii="Arial" w:hAnsi="Arial" w:cs="Arial"/>
          <w:sz w:val="18"/>
          <w:szCs w:val="18"/>
        </w:rPr>
        <w:footnoteRef/>
      </w:r>
      <w:r w:rsidRPr="000F027F">
        <w:rPr>
          <w:rFonts w:ascii="Arial" w:hAnsi="Arial" w:cs="Arial"/>
          <w:sz w:val="18"/>
          <w:szCs w:val="18"/>
        </w:rPr>
        <w:t xml:space="preserve"> </w:t>
      </w:r>
      <w:proofErr w:type="spellStart"/>
      <w:r w:rsidRPr="000F027F">
        <w:rPr>
          <w:rFonts w:ascii="Arial" w:hAnsi="Arial" w:cs="Arial"/>
          <w:sz w:val="18"/>
          <w:szCs w:val="18"/>
        </w:rPr>
        <w:t>Úř</w:t>
      </w:r>
      <w:proofErr w:type="spellEnd"/>
      <w:r w:rsidRPr="000F027F">
        <w:rPr>
          <w:rFonts w:ascii="Arial" w:hAnsi="Arial" w:cs="Arial"/>
          <w:sz w:val="18"/>
          <w:szCs w:val="18"/>
        </w:rPr>
        <w:t xml:space="preserve">. </w:t>
      </w:r>
      <w:proofErr w:type="spellStart"/>
      <w:r w:rsidRPr="000F027F">
        <w:rPr>
          <w:rFonts w:ascii="Arial" w:hAnsi="Arial" w:cs="Arial"/>
          <w:sz w:val="18"/>
          <w:szCs w:val="18"/>
        </w:rPr>
        <w:t>věst</w:t>
      </w:r>
      <w:proofErr w:type="spellEnd"/>
      <w:r w:rsidRPr="000F027F">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70E"/>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0C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970"/>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1D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3C8"/>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6BF0"/>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ED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C5C"/>
    <w:rsid w:val="007C1EF9"/>
    <w:rsid w:val="007C2215"/>
    <w:rsid w:val="007C26F8"/>
    <w:rsid w:val="007C2C05"/>
    <w:rsid w:val="007C33EA"/>
    <w:rsid w:val="007C40A2"/>
    <w:rsid w:val="007C52FC"/>
    <w:rsid w:val="007C5793"/>
    <w:rsid w:val="007C5A74"/>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DD1"/>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C4D"/>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284B"/>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E4E"/>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3D5"/>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220"/>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E83CA-2FCA-458A-B6D6-63815728E070}">
  <ds:schemaRefs>
    <ds:schemaRef ds:uri="http://schemas.openxmlformats.org/officeDocument/2006/bibliography"/>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2.xml><?xml version="1.0" encoding="utf-8"?>
<ds:datastoreItem xmlns:ds="http://schemas.openxmlformats.org/officeDocument/2006/customXml" ds:itemID="{5B35A6B9-770F-421C-8D7E-D26E4A6AB25B}">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5.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9.xml><?xml version="1.0" encoding="utf-8"?>
<ds:datastoreItem xmlns:ds="http://schemas.openxmlformats.org/officeDocument/2006/customXml" ds:itemID="{E135EE9A-405A-4EF7-A7B4-9E5FC2529044}">
  <ds:schemaRefs>
    <ds:schemaRef ds:uri="http://schemas.openxmlformats.org/officeDocument/2006/bibliography"/>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3.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4.xml><?xml version="1.0" encoding="utf-8"?>
<ds:datastoreItem xmlns:ds="http://schemas.openxmlformats.org/officeDocument/2006/customXml" ds:itemID="{9EEAD467-14D0-4FF6-9EDB-3C7304399C16}">
  <ds:schemaRefs>
    <ds:schemaRef ds:uri="http://schemas.openxmlformats.org/officeDocument/2006/bibliography"/>
  </ds:schemaRefs>
</ds:datastoreItem>
</file>

<file path=customXml/itemProps5.xml><?xml version="1.0" encoding="utf-8"?>
<ds:datastoreItem xmlns:ds="http://schemas.openxmlformats.org/officeDocument/2006/customXml" ds:itemID="{88F8316A-F4C6-48A7-A28E-00D79F0E69E9}">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3827</Words>
  <Characters>22252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19</cp:revision>
  <cp:lastPrinted>2022-07-27T19:25:00Z</cp:lastPrinted>
  <dcterms:created xsi:type="dcterms:W3CDTF">2022-09-15T08:53:00Z</dcterms:created>
  <dcterms:modified xsi:type="dcterms:W3CDTF">2022-12-05T07:14:00Z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