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5D3" w:rsidRDefault="00C835D3" w:rsidP="00C835D3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C835D3" w:rsidRPr="00B304E9" w:rsidRDefault="00C835D3" w:rsidP="00C835D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835D3" w:rsidRDefault="00C835D3" w:rsidP="00C835D3">
      <w:pPr>
        <w:rPr>
          <w:rFonts w:ascii="Cambria" w:hAnsi="Cambria" w:cs="Arial"/>
          <w:b/>
          <w:sz w:val="40"/>
          <w:szCs w:val="40"/>
        </w:rPr>
      </w:pPr>
    </w:p>
    <w:p w:rsidR="00C835D3" w:rsidRPr="004C3570" w:rsidRDefault="00C835D3" w:rsidP="00C835D3">
      <w:pPr>
        <w:rPr>
          <w:rFonts w:ascii="Cambria" w:hAnsi="Cambria" w:cs="Arial"/>
          <w:b/>
          <w:sz w:val="40"/>
          <w:szCs w:val="40"/>
        </w:rPr>
      </w:pPr>
    </w:p>
    <w:p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C835D3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:rsidR="00C835D3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:rsidR="00C835D3" w:rsidRPr="004A011E" w:rsidRDefault="00507332" w:rsidP="00C835D3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3</w:t>
      </w:r>
      <w:r w:rsidR="00C835D3" w:rsidRPr="004A011E">
        <w:rPr>
          <w:rFonts w:ascii="Cambria" w:hAnsi="Cambria" w:cs="MyriadPro-Black"/>
          <w:caps/>
          <w:color w:val="A6A6A6"/>
          <w:sz w:val="40"/>
          <w:szCs w:val="40"/>
        </w:rPr>
        <w:t>.</w:t>
      </w:r>
      <w:r>
        <w:rPr>
          <w:rFonts w:ascii="Cambria" w:hAnsi="Cambria" w:cs="MyriadPro-Black"/>
          <w:caps/>
          <w:color w:val="A6A6A6"/>
          <w:sz w:val="40"/>
          <w:szCs w:val="40"/>
        </w:rPr>
        <w:t>1</w:t>
      </w:r>
    </w:p>
    <w:p w:rsidR="00C835D3" w:rsidRPr="004A011E" w:rsidRDefault="00507332" w:rsidP="00C835D3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kOLOVÁ</w:t>
      </w:r>
      <w:r w:rsidR="00C835D3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326CE2">
        <w:rPr>
          <w:rFonts w:ascii="Cambria" w:hAnsi="Cambria" w:cs="MyriadPro-Black"/>
          <w:caps/>
          <w:color w:val="A6A6A6"/>
          <w:sz w:val="40"/>
          <w:szCs w:val="40"/>
        </w:rPr>
        <w:t>2</w:t>
      </w:r>
      <w:r>
        <w:rPr>
          <w:rFonts w:ascii="Cambria" w:hAnsi="Cambria" w:cs="MyriadPro-Black"/>
          <w:caps/>
          <w:color w:val="A6A6A6"/>
          <w:sz w:val="40"/>
          <w:szCs w:val="40"/>
        </w:rPr>
        <w:t>1</w:t>
      </w:r>
    </w:p>
    <w:p w:rsidR="00C835D3" w:rsidRPr="004C3570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7310A5">
        <w:rPr>
          <w:rFonts w:ascii="Cambria" w:hAnsi="Cambria" w:cs="MyriadPro-Black"/>
          <w:caps/>
          <w:sz w:val="40"/>
          <w:szCs w:val="40"/>
        </w:rPr>
        <w:t>3</w:t>
      </w:r>
    </w:p>
    <w:p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C835D3" w:rsidRPr="004C3570" w:rsidRDefault="004C15AB" w:rsidP="00C835D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</w:t>
      </w:r>
      <w:r w:rsidR="007310A5">
        <w:rPr>
          <w:rFonts w:ascii="Cambria" w:hAnsi="Cambria" w:cs="MyriadPro-Black"/>
          <w:b/>
          <w:caps/>
          <w:sz w:val="46"/>
          <w:szCs w:val="40"/>
        </w:rPr>
        <w:t>É</w:t>
      </w:r>
      <w:r>
        <w:rPr>
          <w:rFonts w:ascii="Cambria" w:hAnsi="Cambria" w:cs="MyriadPro-Black"/>
          <w:b/>
          <w:caps/>
          <w:sz w:val="46"/>
          <w:szCs w:val="40"/>
        </w:rPr>
        <w:t xml:space="preserve"> list</w:t>
      </w:r>
      <w:r w:rsidR="007310A5">
        <w:rPr>
          <w:rFonts w:ascii="Cambria" w:hAnsi="Cambria" w:cs="MyriadPro-Black"/>
          <w:b/>
          <w:caps/>
          <w:sz w:val="46"/>
          <w:szCs w:val="40"/>
        </w:rPr>
        <w:t>Y</w:t>
      </w:r>
      <w:r>
        <w:rPr>
          <w:rFonts w:ascii="Cambria" w:hAnsi="Cambria" w:cs="MyriadPro-Black"/>
          <w:b/>
          <w:caps/>
          <w:sz w:val="46"/>
          <w:szCs w:val="40"/>
        </w:rPr>
        <w:t xml:space="preserve"> indikátor</w:t>
      </w:r>
      <w:r w:rsidR="007310A5">
        <w:rPr>
          <w:rFonts w:ascii="Cambria" w:hAnsi="Cambria" w:cs="MyriadPro-Black"/>
          <w:b/>
          <w:caps/>
          <w:sz w:val="46"/>
          <w:szCs w:val="40"/>
        </w:rPr>
        <w:t>Ů</w:t>
      </w:r>
    </w:p>
    <w:p w:rsidR="00C835D3" w:rsidRDefault="00C835D3" w:rsidP="00C835D3">
      <w:pPr>
        <w:pStyle w:val="Default"/>
        <w:spacing w:line="276" w:lineRule="auto"/>
        <w:jc w:val="center"/>
      </w:pPr>
    </w:p>
    <w:p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jc w:val="center"/>
        <w:rPr>
          <w:rFonts w:ascii="Cambria" w:hAnsi="Cambria"/>
        </w:rPr>
      </w:pPr>
    </w:p>
    <w:p w:rsidR="00C835D3" w:rsidRPr="005373D0" w:rsidRDefault="00C835D3" w:rsidP="00C835D3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58490C" w:rsidRPr="004C15AB" w:rsidRDefault="00C835D3" w:rsidP="004C15AB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C41442">
        <w:rPr>
          <w:rFonts w:ascii="Cambria" w:hAnsi="Cambria" w:cs="MyriadPro-Black"/>
          <w:caps/>
          <w:color w:val="A6A6A6"/>
          <w:sz w:val="32"/>
          <w:szCs w:val="40"/>
        </w:rPr>
        <w:t xml:space="preserve">pLATNOST </w:t>
      </w:r>
      <w:r w:rsidR="00EA0516" w:rsidRPr="00C41442">
        <w:rPr>
          <w:rFonts w:ascii="Cambria" w:hAnsi="Cambria" w:cs="MyriadPro-Black"/>
          <w:caps/>
          <w:color w:val="A6A6A6"/>
          <w:sz w:val="32"/>
          <w:szCs w:val="40"/>
        </w:rPr>
        <w:t>OD</w:t>
      </w:r>
      <w:r w:rsidR="00EA0516">
        <w:rPr>
          <w:rFonts w:ascii="Cambria" w:hAnsi="Cambria" w:cs="MyriadPro-Black"/>
          <w:caps/>
          <w:color w:val="A6A6A6"/>
          <w:sz w:val="32"/>
          <w:szCs w:val="40"/>
        </w:rPr>
        <w:t xml:space="preserve"> </w:t>
      </w:r>
      <w:r w:rsidR="00650A3A">
        <w:rPr>
          <w:rFonts w:ascii="Cambria" w:hAnsi="Cambria" w:cs="MyriadPro-Black"/>
          <w:caps/>
          <w:color w:val="A6A6A6"/>
          <w:sz w:val="32"/>
          <w:szCs w:val="40"/>
        </w:rPr>
        <w:t>20</w:t>
      </w:r>
      <w:r w:rsidR="00EA0516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D50B1E">
        <w:rPr>
          <w:rFonts w:ascii="Cambria" w:hAnsi="Cambria" w:cs="MyriadPro-Black"/>
          <w:caps/>
          <w:color w:val="A6A6A6"/>
          <w:sz w:val="32"/>
          <w:szCs w:val="40"/>
        </w:rPr>
        <w:t>8</w:t>
      </w:r>
      <w:r w:rsidR="00DE14B7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9C36A2">
        <w:rPr>
          <w:rFonts w:ascii="Cambria" w:hAnsi="Cambria" w:cs="MyriadPro-Black"/>
          <w:caps/>
          <w:color w:val="A6A6A6"/>
          <w:sz w:val="32"/>
          <w:szCs w:val="40"/>
        </w:rPr>
        <w:t>8</w:t>
      </w:r>
      <w:bookmarkStart w:id="5" w:name="_GoBack"/>
      <w:bookmarkEnd w:id="5"/>
    </w:p>
    <w:bookmarkEnd w:id="0"/>
    <w:bookmarkEnd w:id="1"/>
    <w:bookmarkEnd w:id="2"/>
    <w:bookmarkEnd w:id="3"/>
    <w:bookmarkEnd w:id="4"/>
    <w:p w:rsidR="009C48D6" w:rsidRDefault="009C48D6" w:rsidP="004C15AB">
      <w:pPr>
        <w:rPr>
          <w:rFonts w:ascii="Arial" w:hAnsi="Arial" w:cs="Arial"/>
          <w:b/>
          <w:sz w:val="20"/>
          <w:szCs w:val="20"/>
        </w:rPr>
        <w:sectPr w:rsidR="009C48D6" w:rsidSect="00C835D3">
          <w:headerReference w:type="default" r:id="rId8"/>
          <w:footerReference w:type="default" r:id="rId9"/>
          <w:pgSz w:w="11906" w:h="16838"/>
          <w:pgMar w:top="2377" w:right="1417" w:bottom="1417" w:left="1417" w:header="708" w:footer="708" w:gutter="0"/>
          <w:cols w:space="708"/>
          <w:docGrid w:linePitch="360"/>
        </w:sect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07332" w:rsidRPr="0098535B" w:rsidTr="00DB5FE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07332" w:rsidRPr="0098535B" w:rsidTr="00DB5FE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07332" w:rsidRPr="0098535B" w:rsidTr="00DB5FE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07332" w:rsidRPr="00194C06" w:rsidRDefault="00507332" w:rsidP="00DB5FE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6C07E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Podíl zpřístupněných a zefektivněných podsbírek a fondů</w:t>
            </w:r>
          </w:p>
        </w:tc>
      </w:tr>
      <w:tr w:rsidR="00507332" w:rsidRPr="0098535B" w:rsidTr="00DB5FE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507332" w:rsidRPr="0098535B" w:rsidRDefault="00507332" w:rsidP="00DB5FE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07332" w:rsidRPr="0098535B" w:rsidTr="00DB5FE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332" w:rsidRPr="0098535B" w:rsidRDefault="00507332" w:rsidP="00DB5FE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6C07E8">
              <w:rPr>
                <w:b/>
                <w:bCs/>
                <w:color w:val="000000"/>
              </w:rPr>
              <w:t>9 07 10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332" w:rsidRPr="0098535B" w:rsidRDefault="00507332" w:rsidP="00DB5FE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332" w:rsidRPr="0098535B" w:rsidRDefault="00507332" w:rsidP="00DB5FE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6C07E8">
              <w:rPr>
                <w:b/>
                <w:bCs/>
                <w:color w:val="00000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332" w:rsidRPr="0098535B" w:rsidRDefault="00507332" w:rsidP="00DB5FE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07332" w:rsidRPr="0098535B" w:rsidRDefault="00507332" w:rsidP="00DB5FE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07332" w:rsidRPr="0098535B" w:rsidTr="00DB5FE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07332" w:rsidRPr="0098535B" w:rsidTr="00DB5FE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07332" w:rsidRPr="00B276E4" w:rsidRDefault="00507332" w:rsidP="00DB5FE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6C07E8">
              <w:rPr>
                <w:sz w:val="20"/>
                <w:szCs w:val="20"/>
              </w:rPr>
              <w:t>Jedná se o podíl počtu zpřístupněných a/nebo zefektivněných muzejních/galerijních podsbírek a/nebo knihovních fondů na počtu všech muzejních/galerijních podsbírek a knih</w:t>
            </w:r>
            <w:r>
              <w:rPr>
                <w:sz w:val="20"/>
                <w:szCs w:val="20"/>
              </w:rPr>
              <w:t>ovních fondů ve správě potenci</w:t>
            </w:r>
            <w:r w:rsidRPr="006C07E8">
              <w:rPr>
                <w:sz w:val="20"/>
                <w:szCs w:val="20"/>
              </w:rPr>
              <w:t>álních příjemců  - v %.</w:t>
            </w:r>
          </w:p>
        </w:tc>
      </w:tr>
      <w:tr w:rsidR="00507332" w:rsidRPr="0098535B" w:rsidTr="00DB5FE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507332" w:rsidRPr="0098535B" w:rsidTr="00DB5FE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332" w:rsidRPr="0098535B" w:rsidRDefault="00507332" w:rsidP="00DB5FE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3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767937">
              <w:t>Dobrá správa území a zefektivnění veřejných institucí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07332" w:rsidRPr="00767937" w:rsidRDefault="00507332" w:rsidP="00DB5FE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767937">
              <w:rPr>
                <w:b/>
                <w:color w:val="000000"/>
              </w:rPr>
              <w:t>3.1</w:t>
            </w:r>
            <w:r w:rsidRPr="00767937">
              <w:rPr>
                <w:color w:val="000000"/>
              </w:rPr>
              <w:t xml:space="preserve"> - </w:t>
            </w:r>
            <w:r w:rsidRPr="00767937">
              <w:t>Zefektivnění prezentace, posílení ochrany a rozvoje kulturního dědictví</w:t>
            </w:r>
          </w:p>
        </w:tc>
      </w:tr>
      <w:tr w:rsidR="00507332" w:rsidRPr="0098535B" w:rsidTr="00DB5FE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07332" w:rsidRPr="0098535B" w:rsidTr="00DB5FE3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507332" w:rsidRPr="0098535B" w:rsidRDefault="00507332" w:rsidP="00DB5FE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Stanovená žadatelem</w:t>
            </w:r>
          </w:p>
        </w:tc>
      </w:tr>
      <w:tr w:rsidR="00507332" w:rsidRPr="0098535B" w:rsidTr="00DB5FE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07332" w:rsidRPr="0098535B" w:rsidTr="00DB5FE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507332" w:rsidRDefault="00507332" w:rsidP="00DB5FE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 Z</w:t>
            </w:r>
            <w:r w:rsidRPr="00975447">
              <w:rPr>
                <w:sz w:val="20"/>
                <w:szCs w:val="20"/>
              </w:rPr>
              <w:t>pří</w:t>
            </w:r>
            <w:r>
              <w:rPr>
                <w:sz w:val="20"/>
                <w:szCs w:val="20"/>
              </w:rPr>
              <w:t xml:space="preserve">stupněnou a/nebo zefektivněnou podsbírkou je myšlena každá podsbírka, která je přímo podpořena v rámci projektu IROP. </w:t>
            </w:r>
          </w:p>
          <w:p w:rsidR="008413D9" w:rsidRDefault="00507332" w:rsidP="008413D9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786DBF">
              <w:rPr>
                <w:b/>
                <w:sz w:val="20"/>
                <w:szCs w:val="20"/>
                <w:u w:val="single"/>
              </w:rPr>
              <w:t>Výchozí hodnota:</w:t>
            </w:r>
            <w:r>
              <w:rPr>
                <w:sz w:val="20"/>
                <w:szCs w:val="20"/>
              </w:rPr>
              <w:t xml:space="preserve"> podíl </w:t>
            </w:r>
            <w:r w:rsidRPr="006C07E8">
              <w:rPr>
                <w:sz w:val="20"/>
                <w:szCs w:val="20"/>
              </w:rPr>
              <w:t xml:space="preserve">muzejních/galerijních podsbírek zpřístupněných a/nebo zefektivněných </w:t>
            </w:r>
            <w:r>
              <w:rPr>
                <w:sz w:val="20"/>
                <w:szCs w:val="20"/>
              </w:rPr>
              <w:t xml:space="preserve">před dnem zahájení realizace projektu IROP, </w:t>
            </w:r>
            <w:r w:rsidRPr="006C07E8">
              <w:rPr>
                <w:sz w:val="20"/>
                <w:szCs w:val="20"/>
              </w:rPr>
              <w:t>na počtu všech muzejních/galerijních podsbírek a knihovních fondů ve správ</w:t>
            </w:r>
            <w:r>
              <w:rPr>
                <w:sz w:val="20"/>
                <w:szCs w:val="20"/>
              </w:rPr>
              <w:t>ě příjemce, které je možné podpořit z IROP.</w:t>
            </w:r>
            <w:r w:rsidR="008413D9">
              <w:rPr>
                <w:sz w:val="20"/>
                <w:szCs w:val="20"/>
              </w:rPr>
              <w:t xml:space="preserve"> </w:t>
            </w:r>
            <w:r w:rsidR="008413D9" w:rsidRPr="003E3B69">
              <w:rPr>
                <w:sz w:val="20"/>
                <w:szCs w:val="20"/>
              </w:rPr>
              <w:t>Upozorňujeme, že stanovené datum výchozí hodnoty indikátoru se musí nově ve všech případech rovnat datu podání žádosti o podporu</w:t>
            </w:r>
            <w:r w:rsidR="008413D9">
              <w:rPr>
                <w:sz w:val="20"/>
                <w:szCs w:val="20"/>
              </w:rPr>
              <w:t xml:space="preserve"> nebo mu předcházet.</w:t>
            </w:r>
          </w:p>
          <w:p w:rsidR="00507332" w:rsidRDefault="00507332" w:rsidP="00DB5FE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</w:p>
          <w:p w:rsidR="00507332" w:rsidRPr="00786DBF" w:rsidRDefault="00507332" w:rsidP="00DB5FE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podíl </w:t>
            </w:r>
            <w:r w:rsidRPr="006C07E8">
              <w:rPr>
                <w:sz w:val="20"/>
                <w:szCs w:val="20"/>
              </w:rPr>
              <w:t xml:space="preserve">zpřístupněných a/nebo zefektivněných muzejních/galerijních podsbírek </w:t>
            </w:r>
            <w:r>
              <w:rPr>
                <w:sz w:val="20"/>
                <w:szCs w:val="20"/>
              </w:rPr>
              <w:t xml:space="preserve">(tedy těch, které byly zpřístupněny/zefektivněny před podáním žádosti + těch, které budou v rámci projektu zefektivněny v rámci IROP) </w:t>
            </w:r>
            <w:r w:rsidRPr="006C07E8">
              <w:rPr>
                <w:sz w:val="20"/>
                <w:szCs w:val="20"/>
              </w:rPr>
              <w:t>na počtu všech muzejních/galerijních podsbírek a knihovních fondů ve správ</w:t>
            </w:r>
            <w:r>
              <w:rPr>
                <w:sz w:val="20"/>
                <w:szCs w:val="20"/>
              </w:rPr>
              <w:t>ě příjemce, které je možné podpořit z IROP, po ukončení projektu. Žadatel má povinnost naplnit cílovou hodnotu k datu ukončení realizace projektu.</w:t>
            </w:r>
          </w:p>
          <w:p w:rsidR="00507332" w:rsidRDefault="00507332" w:rsidP="00DB5FE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skutečný podíl </w:t>
            </w:r>
            <w:r w:rsidRPr="006C07E8">
              <w:rPr>
                <w:sz w:val="20"/>
                <w:szCs w:val="20"/>
              </w:rPr>
              <w:t xml:space="preserve">zpřístupněných a/nebo zefektivněných muzejních/galerijních podsbírek </w:t>
            </w:r>
            <w:r>
              <w:rPr>
                <w:sz w:val="20"/>
                <w:szCs w:val="20"/>
              </w:rPr>
              <w:t xml:space="preserve">(tedy těch, které byly zpřístupněny/zefektivněny před podáním žádosti + těch, které budou v rámci projektu zefektivněny v rámci IROP) </w:t>
            </w:r>
            <w:r w:rsidRPr="006C07E8">
              <w:rPr>
                <w:sz w:val="20"/>
                <w:szCs w:val="20"/>
              </w:rPr>
              <w:t>na počtu všech muzejních/galerijních podsbírek a knihovních fondů ve správ</w:t>
            </w:r>
            <w:r>
              <w:rPr>
                <w:sz w:val="20"/>
                <w:szCs w:val="20"/>
              </w:rPr>
              <w:t>ě příjemce.</w:t>
            </w:r>
          </w:p>
          <w:p w:rsidR="00507332" w:rsidRPr="00764007" w:rsidRDefault="00507332" w:rsidP="00DB5FE3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546FC9">
              <w:rPr>
                <w:b/>
                <w:sz w:val="20"/>
                <w:szCs w:val="20"/>
                <w:u w:val="single"/>
              </w:rPr>
              <w:t>Tolerance</w:t>
            </w:r>
            <w:r>
              <w:rPr>
                <w:b/>
                <w:sz w:val="20"/>
                <w:szCs w:val="20"/>
              </w:rPr>
              <w:t xml:space="preserve">: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</w:t>
            </w:r>
            <w:r>
              <w:rPr>
                <w:sz w:val="20"/>
                <w:szCs w:val="20"/>
              </w:rPr>
              <w:lastRenderedPageBreak/>
              <w:t>sankcionováno.</w:t>
            </w:r>
          </w:p>
          <w:p w:rsidR="00507332" w:rsidRPr="00B276E4" w:rsidRDefault="00507332" w:rsidP="00DB5FE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 xml:space="preserve">Výše a typ sankce, </w:t>
            </w:r>
            <w:r>
              <w:rPr>
                <w:sz w:val="20"/>
                <w:szCs w:val="20"/>
              </w:rPr>
              <w:t>aplikované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</w:t>
            </w:r>
            <w:r>
              <w:rPr>
                <w:sz w:val="20"/>
                <w:szCs w:val="20"/>
              </w:rPr>
              <w:t>ní cílové hodnoty indikátoru, jsou stanovené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právního aktu.</w:t>
            </w:r>
          </w:p>
        </w:tc>
      </w:tr>
      <w:tr w:rsidR="00507332" w:rsidRPr="0098535B" w:rsidTr="00DB5FE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507332" w:rsidRPr="0070197F" w:rsidRDefault="00507332" w:rsidP="00DB5FE3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07332" w:rsidRPr="0098535B" w:rsidTr="00DB5FE3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07332" w:rsidRPr="000E2AF2" w:rsidRDefault="00507332" w:rsidP="00DB5FE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507332" w:rsidRPr="000E2AF2" w:rsidRDefault="00507332" w:rsidP="00DB5FE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507332" w:rsidRPr="000E2AF2" w:rsidRDefault="00507332" w:rsidP="00DB5FE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507332" w:rsidRPr="000E2AF2" w:rsidRDefault="00507332" w:rsidP="00DB5FE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507332" w:rsidRDefault="00507332" w:rsidP="00DB5FE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:rsidR="00507332" w:rsidRDefault="00507332" w:rsidP="00DB5FE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B276E4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507332" w:rsidRPr="0004138D" w:rsidRDefault="00507332" w:rsidP="00DB5FE3">
            <w:pPr>
              <w:spacing w:before="120" w:after="120"/>
              <w:ind w:left="170" w:right="170"/>
              <w:rPr>
                <w:rFonts w:eastAsiaTheme="minorEastAsia"/>
                <w:b/>
                <w:color w:val="000000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18"/>
                    <w:szCs w:val="18"/>
                  </w:rPr>
                  <m:t>Výchozí hodnota indikátoru</m:t>
                </m:r>
              </m:oMath>
            </m:oMathPara>
          </w:p>
          <w:p w:rsidR="00507332" w:rsidRPr="0094354D" w:rsidRDefault="00507332" w:rsidP="00DB5FE3">
            <w:pPr>
              <w:spacing w:before="120" w:after="120"/>
              <w:ind w:left="170" w:right="170"/>
              <w:rPr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00000"/>
                    </w:rPr>
                  </m:ctrlPr>
                </m:fPr>
                <m:num>
                  <m:eqArr>
                    <m:eqArrPr>
                      <m:ctrlPr>
                        <w:rPr>
                          <w:rFonts w:ascii="Cambria Math" w:hAnsi="Cambria Math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počet  zpřístupněných a zefektivněných muzejních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galerijních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podsbírek  ve správě příjemce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před dnem zahájení realizace projektu</m:t>
                      </m:r>
                    </m:e>
                  </m:eqAr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počet všech podsbírek ve správě příjemce</m:t>
                  </m:r>
                </m:den>
              </m:f>
            </m:oMath>
            <w:r w:rsidR="0094354D" w:rsidRPr="0094354D">
              <w:rPr>
                <w:rFonts w:eastAsiaTheme="minorEastAsia"/>
                <w:color w:val="000000"/>
              </w:rPr>
              <w:t xml:space="preserve"> x 100</w:t>
            </w:r>
          </w:p>
          <w:p w:rsidR="00507332" w:rsidRPr="0004138D" w:rsidRDefault="00507332" w:rsidP="00DB5FE3">
            <w:pPr>
              <w:spacing w:before="120" w:after="120"/>
              <w:ind w:left="170" w:right="170"/>
              <w:rPr>
                <w:rFonts w:eastAsiaTheme="minorEastAsia"/>
                <w:b/>
                <w:color w:val="000000"/>
                <w:sz w:val="18"/>
                <w:szCs w:val="18"/>
              </w:rPr>
            </w:pPr>
          </w:p>
          <w:p w:rsidR="00507332" w:rsidRPr="0004138D" w:rsidRDefault="00507332" w:rsidP="00DB5FE3">
            <w:pPr>
              <w:spacing w:before="120" w:after="120"/>
              <w:ind w:left="170" w:right="170"/>
              <w:rPr>
                <w:rFonts w:eastAsiaTheme="minorEastAsia"/>
                <w:b/>
                <w:color w:val="000000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18"/>
                    <w:szCs w:val="18"/>
                  </w:rPr>
                  <m:t>Cílová a dosažená hodnota indikátoru</m:t>
                </m:r>
              </m:oMath>
            </m:oMathPara>
          </w:p>
          <w:p w:rsidR="00507332" w:rsidRPr="0094354D" w:rsidRDefault="00507332" w:rsidP="00DB5FE3">
            <w:pPr>
              <w:spacing w:before="120" w:after="120"/>
              <w:ind w:left="170" w:right="170"/>
              <w:rPr>
                <w:color w:val="000000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</m:ctrlPr>
                </m:fPr>
                <m:num>
                  <m:eqArr>
                    <m:eqArr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 xml:space="preserve">počet všech zpřístupněných a zefektivněných muzejních podsbírek  ve správě příjemce 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(před dnem zahájení realizace projektu +v rámci podpořeného projektu IROP)</m:t>
                      </m:r>
                    </m:e>
                  </m:eqAr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počet všech podsbírek ve správě příjemce</m:t>
                  </m:r>
                </m:den>
              </m:f>
            </m:oMath>
            <w:r w:rsidR="0094354D" w:rsidRPr="0094354D">
              <w:rPr>
                <w:rFonts w:eastAsiaTheme="minorEastAsia"/>
                <w:color w:val="000000"/>
                <w:sz w:val="24"/>
                <w:szCs w:val="24"/>
              </w:rPr>
              <w:t xml:space="preserve"> x 100</w:t>
            </w:r>
          </w:p>
          <w:p w:rsidR="00507332" w:rsidRDefault="00507332" w:rsidP="00DB5FE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812573">
              <w:rPr>
                <w:color w:val="000000"/>
                <w:sz w:val="20"/>
                <w:szCs w:val="20"/>
              </w:rPr>
              <w:t>Hodnoty jsou vykazovány s přesností na dvě desetinná místa.</w:t>
            </w:r>
          </w:p>
          <w:p w:rsidR="0094354D" w:rsidRDefault="0094354D" w:rsidP="00DB5FE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</w:p>
          <w:p w:rsidR="0094354D" w:rsidRDefault="0094354D" w:rsidP="0094354D">
            <w:pPr>
              <w:spacing w:before="120" w:after="120"/>
              <w:ind w:left="170" w:right="170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PŘÍKLAD VÝPOČTU č. 1</w:t>
            </w:r>
          </w:p>
          <w:p w:rsidR="0094354D" w:rsidRPr="0094354D" w:rsidRDefault="0094354D" w:rsidP="0094354D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4354D">
              <w:rPr>
                <w:b/>
                <w:bCs/>
                <w:color w:val="000000"/>
                <w:sz w:val="20"/>
                <w:szCs w:val="20"/>
                <w:u w:val="single"/>
              </w:rPr>
              <w:t>Výchozí hodnota:</w:t>
            </w:r>
            <w:r w:rsidRPr="0094354D">
              <w:rPr>
                <w:color w:val="000000"/>
                <w:sz w:val="20"/>
                <w:szCs w:val="20"/>
              </w:rPr>
              <w:t xml:space="preserve"> Muzeum má již nějakým způsobem zpřístupněno všech 10 podsbírek, ale v rámci IROP jich plánuje 5 zefektivnit. Čitatel ve vzorci je </w:t>
            </w:r>
            <w:r w:rsidRPr="0094354D">
              <w:rPr>
                <w:color w:val="000000"/>
                <w:sz w:val="20"/>
                <w:szCs w:val="20"/>
                <w:lang w:val="en-US"/>
              </w:rPr>
              <w:t>v tomto p</w:t>
            </w:r>
            <w:r w:rsidRPr="0094354D">
              <w:rPr>
                <w:color w:val="000000"/>
                <w:sz w:val="20"/>
                <w:szCs w:val="20"/>
              </w:rPr>
              <w:t>řípadě</w:t>
            </w:r>
            <w:r w:rsidRPr="0094354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0</w:t>
            </w:r>
            <w:r w:rsidRPr="0094354D">
              <w:rPr>
                <w:color w:val="000000"/>
                <w:sz w:val="20"/>
                <w:szCs w:val="20"/>
              </w:rPr>
              <w:t xml:space="preserve">, výchozí hodnota je tedy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 xml:space="preserve">0 </w:t>
            </w:r>
            <w:r w:rsidRPr="0094354D">
              <w:rPr>
                <w:b/>
                <w:bCs/>
                <w:color w:val="000000"/>
                <w:sz w:val="20"/>
                <w:szCs w:val="20"/>
                <w:lang w:val="en-US"/>
              </w:rPr>
              <w:t>%</w:t>
            </w:r>
            <w:r w:rsidRPr="0094354D">
              <w:rPr>
                <w:color w:val="000000"/>
                <w:sz w:val="20"/>
                <w:szCs w:val="20"/>
                <w:lang w:val="en-US"/>
              </w:rPr>
              <w:t>.</w:t>
            </w:r>
          </w:p>
          <w:p w:rsidR="0094354D" w:rsidRDefault="0094354D" w:rsidP="0094354D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lang w:val="en-US"/>
              </w:rPr>
            </w:pPr>
            <w:r w:rsidRPr="0094354D">
              <w:rPr>
                <w:b/>
                <w:bCs/>
                <w:color w:val="000000"/>
                <w:sz w:val="20"/>
                <w:szCs w:val="20"/>
                <w:u w:val="single"/>
              </w:rPr>
              <w:t>Cílová hodnota:</w:t>
            </w:r>
            <w:r w:rsidRPr="0094354D">
              <w:rPr>
                <w:color w:val="000000"/>
                <w:sz w:val="20"/>
                <w:szCs w:val="20"/>
              </w:rPr>
              <w:t xml:space="preserve"> Muzeum v rámci projektu IROP plánuje zefektivnit 5 podsbírek. Čitatel ve vzorci je v tomto případě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94354D">
              <w:rPr>
                <w:color w:val="000000"/>
                <w:sz w:val="20"/>
                <w:szCs w:val="20"/>
              </w:rPr>
              <w:t xml:space="preserve">, jmenovatel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10</w:t>
            </w:r>
            <w:r w:rsidRPr="0094354D">
              <w:rPr>
                <w:color w:val="000000"/>
                <w:sz w:val="20"/>
                <w:szCs w:val="20"/>
              </w:rPr>
              <w:t xml:space="preserve">, cílová hodnota je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 xml:space="preserve">50 </w:t>
            </w:r>
            <w:r w:rsidRPr="0094354D">
              <w:rPr>
                <w:b/>
                <w:bCs/>
                <w:color w:val="000000"/>
                <w:sz w:val="20"/>
                <w:szCs w:val="20"/>
                <w:lang w:val="en-US"/>
              </w:rPr>
              <w:t>%</w:t>
            </w:r>
            <w:r w:rsidRPr="0094354D">
              <w:rPr>
                <w:color w:val="000000"/>
                <w:sz w:val="20"/>
                <w:szCs w:val="20"/>
                <w:lang w:val="en-US"/>
              </w:rPr>
              <w:t>.</w:t>
            </w:r>
          </w:p>
          <w:p w:rsidR="0094354D" w:rsidRDefault="0094354D" w:rsidP="0094354D">
            <w:pPr>
              <w:spacing w:before="120" w:after="120"/>
              <w:ind w:left="170" w:right="170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PŘÍKLAD VÝPOČTU č. 2</w:t>
            </w:r>
          </w:p>
          <w:p w:rsidR="0094354D" w:rsidRPr="0094354D" w:rsidRDefault="0094354D" w:rsidP="0094354D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4354D">
              <w:rPr>
                <w:b/>
                <w:bCs/>
                <w:color w:val="000000"/>
                <w:sz w:val="20"/>
                <w:szCs w:val="20"/>
                <w:u w:val="single"/>
              </w:rPr>
              <w:t>Výchozí hodnota:</w:t>
            </w:r>
            <w:r w:rsidRPr="0094354D">
              <w:rPr>
                <w:color w:val="000000"/>
                <w:sz w:val="20"/>
                <w:szCs w:val="20"/>
              </w:rPr>
              <w:t xml:space="preserve"> Muzeum má celkem 10 podsbírek, z toho 5 již bylo v minulosti zefektivněno, takže nebudou předmětem podpory z IROP. V rámci IROP jich plánuje 5 zefektivnit. Čitatel ve vzorci je </w:t>
            </w:r>
            <w:r w:rsidR="00653F14">
              <w:rPr>
                <w:color w:val="000000"/>
                <w:sz w:val="20"/>
                <w:szCs w:val="20"/>
                <w:lang w:val="en-US"/>
              </w:rPr>
              <w:t xml:space="preserve">v tomto </w:t>
            </w:r>
            <w:r w:rsidRPr="0094354D">
              <w:rPr>
                <w:color w:val="000000"/>
                <w:sz w:val="20"/>
                <w:szCs w:val="20"/>
                <w:lang w:val="en-US"/>
              </w:rPr>
              <w:t>p</w:t>
            </w:r>
            <w:r w:rsidRPr="0094354D">
              <w:rPr>
                <w:color w:val="000000"/>
                <w:sz w:val="20"/>
                <w:szCs w:val="20"/>
              </w:rPr>
              <w:t>řípadě</w:t>
            </w:r>
            <w:r w:rsidRPr="0094354D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94354D">
              <w:rPr>
                <w:color w:val="000000"/>
                <w:sz w:val="20"/>
                <w:szCs w:val="20"/>
              </w:rPr>
              <w:t xml:space="preserve">, výchozí hodnota je tedy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 xml:space="preserve">50 </w:t>
            </w:r>
            <w:r w:rsidRPr="0094354D">
              <w:rPr>
                <w:b/>
                <w:bCs/>
                <w:color w:val="000000"/>
                <w:sz w:val="20"/>
                <w:szCs w:val="20"/>
                <w:lang w:val="en-US"/>
              </w:rPr>
              <w:t>%</w:t>
            </w:r>
            <w:r w:rsidRPr="0094354D">
              <w:rPr>
                <w:color w:val="000000"/>
                <w:sz w:val="20"/>
                <w:szCs w:val="20"/>
                <w:lang w:val="en-US"/>
              </w:rPr>
              <w:t>.</w:t>
            </w:r>
          </w:p>
          <w:p w:rsidR="0094354D" w:rsidRPr="00812573" w:rsidRDefault="0094354D" w:rsidP="0094354D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4354D">
              <w:rPr>
                <w:b/>
                <w:bCs/>
                <w:color w:val="000000"/>
                <w:sz w:val="20"/>
                <w:szCs w:val="20"/>
                <w:u w:val="single"/>
              </w:rPr>
              <w:t>Cílová hodnota:</w:t>
            </w:r>
            <w:r w:rsidRPr="0094354D">
              <w:rPr>
                <w:color w:val="000000"/>
                <w:sz w:val="20"/>
                <w:szCs w:val="20"/>
              </w:rPr>
              <w:t xml:space="preserve"> Muzeum v rámci projektu IROP plánuje zefektivnit 5 podsbírek. Čitatel ve vzorci je v tomto případě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10</w:t>
            </w:r>
            <w:r w:rsidRPr="0094354D">
              <w:rPr>
                <w:color w:val="000000"/>
                <w:sz w:val="20"/>
                <w:szCs w:val="20"/>
              </w:rPr>
              <w:t xml:space="preserve">, jmenovatel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10</w:t>
            </w:r>
            <w:r w:rsidRPr="0094354D">
              <w:rPr>
                <w:color w:val="000000"/>
                <w:sz w:val="20"/>
                <w:szCs w:val="20"/>
              </w:rPr>
              <w:t xml:space="preserve">, cílová hodnota je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 xml:space="preserve">100 </w:t>
            </w:r>
            <w:r w:rsidRPr="0094354D">
              <w:rPr>
                <w:b/>
                <w:bCs/>
                <w:color w:val="000000"/>
                <w:sz w:val="20"/>
                <w:szCs w:val="20"/>
                <w:lang w:val="en-US"/>
              </w:rPr>
              <w:t>%</w:t>
            </w:r>
            <w:r w:rsidRPr="0094354D">
              <w:rPr>
                <w:color w:val="000000"/>
                <w:sz w:val="20"/>
                <w:szCs w:val="20"/>
                <w:lang w:val="en-US"/>
              </w:rPr>
              <w:t>.</w:t>
            </w:r>
          </w:p>
        </w:tc>
      </w:tr>
    </w:tbl>
    <w:p w:rsidR="00507332" w:rsidRDefault="00507332" w:rsidP="00507332"/>
    <w:p w:rsidR="00507332" w:rsidRPr="00812573" w:rsidRDefault="00507332" w:rsidP="00507332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07332" w:rsidRPr="0098535B" w:rsidTr="00DB5FE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07332" w:rsidRPr="0098535B" w:rsidTr="00DB5FE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07332" w:rsidRPr="0098535B" w:rsidTr="00DB5FE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07332" w:rsidRPr="00194C06" w:rsidRDefault="00507332" w:rsidP="00DB5FE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975447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nově zpřístupněných a zefektivněných podsbírek a fondů</w:t>
            </w:r>
          </w:p>
        </w:tc>
      </w:tr>
      <w:tr w:rsidR="00507332" w:rsidRPr="0098535B" w:rsidTr="00DB5FE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507332" w:rsidRPr="0098535B" w:rsidRDefault="00507332" w:rsidP="00DB5FE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07332" w:rsidRPr="0098535B" w:rsidTr="00DB5FE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332" w:rsidRPr="0098535B" w:rsidRDefault="00507332" w:rsidP="00DB5FE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975447">
              <w:rPr>
                <w:b/>
                <w:bCs/>
                <w:color w:val="000000"/>
              </w:rPr>
              <w:t>9 07 03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332" w:rsidRPr="0098535B" w:rsidRDefault="00507332" w:rsidP="00DB5FE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332" w:rsidRPr="0098535B" w:rsidRDefault="00507332" w:rsidP="00DB5FE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975447">
              <w:rPr>
                <w:b/>
                <w:bCs/>
                <w:color w:val="000000"/>
              </w:rPr>
              <w:t>Podsbírky/fondy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332" w:rsidRPr="0098535B" w:rsidRDefault="00507332" w:rsidP="00DB5FE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07332" w:rsidRPr="0098535B" w:rsidRDefault="00507332" w:rsidP="00DB5FE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07332" w:rsidRPr="0098535B" w:rsidTr="00DB5FE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07332" w:rsidRPr="0098535B" w:rsidTr="00DB5FE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507332" w:rsidRPr="00B276E4" w:rsidRDefault="00507332" w:rsidP="00954C1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975447">
              <w:rPr>
                <w:sz w:val="20"/>
                <w:szCs w:val="20"/>
              </w:rPr>
              <w:t>Jedná se o počet nově zpřístupněných a/nebo zefektivněných muzejních/galerijních podsbírek a/nebo knihovních fondů, které budou např. lépe zabezpečeny a/nebo ochráněny proti nejrůznějším negativním vlivům a/nebo lépe uchovány pro další generace včetně možného fyzického či elektronického zpřístupnění např. pro vědecké/badatelské, profesní, zájmové, vzdělávací či propagační účely apod. Zpřístupněním je v</w:t>
            </w:r>
            <w:r w:rsidR="00954C10">
              <w:rPr>
                <w:sz w:val="20"/>
                <w:szCs w:val="20"/>
              </w:rPr>
              <w:t> </w:t>
            </w:r>
            <w:r w:rsidRPr="00975447">
              <w:rPr>
                <w:sz w:val="20"/>
                <w:szCs w:val="20"/>
              </w:rPr>
              <w:t>tomto smyslu myšlena i např. modernizace dotčených prostor pro uváděné účely, popř. vybudování nezbytných objektů sociálního, technického/technologického zázemí či realizace opatření vedoucích k</w:t>
            </w:r>
            <w:r w:rsidR="00954C10">
              <w:rPr>
                <w:sz w:val="20"/>
                <w:szCs w:val="20"/>
              </w:rPr>
              <w:t> </w:t>
            </w:r>
            <w:r w:rsidRPr="00975447">
              <w:rPr>
                <w:sz w:val="20"/>
                <w:szCs w:val="20"/>
              </w:rPr>
              <w:t>zajištění vyšší bezpečnosti návštěvníků, odstraňování přístupových bariér apod.</w:t>
            </w:r>
          </w:p>
        </w:tc>
      </w:tr>
      <w:tr w:rsidR="00507332" w:rsidRPr="0098535B" w:rsidTr="00DB5FE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507332" w:rsidRPr="0098535B" w:rsidTr="00DB5FE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7332" w:rsidRPr="0098535B" w:rsidRDefault="00507332" w:rsidP="00DB5FE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3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767937">
              <w:t>Dobrá správa území a zefektivnění veřejných institucí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507332" w:rsidRPr="00767937" w:rsidRDefault="00507332" w:rsidP="00DB5FE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767937">
              <w:rPr>
                <w:b/>
                <w:color w:val="000000"/>
              </w:rPr>
              <w:t>3.1</w:t>
            </w:r>
            <w:r w:rsidRPr="00767937">
              <w:rPr>
                <w:color w:val="000000"/>
              </w:rPr>
              <w:t xml:space="preserve"> - </w:t>
            </w:r>
            <w:r w:rsidRPr="00767937">
              <w:t>Zefektivnění prezentace, posílení ochrany a rozvoje kulturního dědictví</w:t>
            </w:r>
          </w:p>
        </w:tc>
      </w:tr>
      <w:tr w:rsidR="00507332" w:rsidRPr="0098535B" w:rsidTr="00DB5FE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07332" w:rsidRPr="0098535B" w:rsidTr="00DB5FE3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507332" w:rsidRPr="0098535B" w:rsidRDefault="00507332" w:rsidP="00DB5FE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507332" w:rsidRPr="0098535B" w:rsidTr="00DB5FE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507332" w:rsidRPr="0098535B" w:rsidRDefault="00507332" w:rsidP="00DB5FE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07332" w:rsidRPr="0098535B" w:rsidTr="00DB5FE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507332" w:rsidRDefault="00507332" w:rsidP="00DB5FE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 Z</w:t>
            </w:r>
            <w:r w:rsidRPr="00975447">
              <w:rPr>
                <w:sz w:val="20"/>
                <w:szCs w:val="20"/>
              </w:rPr>
              <w:t>pří</w:t>
            </w:r>
            <w:r>
              <w:rPr>
                <w:sz w:val="20"/>
                <w:szCs w:val="20"/>
              </w:rPr>
              <w:t xml:space="preserve">stupněnou a/nebo zefektivněnou podsbírkou je myšlena každá podsbírka, která je přímo podpořena v rámci projektu IROP. </w:t>
            </w:r>
          </w:p>
          <w:p w:rsidR="00507332" w:rsidRPr="0099087B" w:rsidRDefault="00507332" w:rsidP="00DB5FE3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nově zpřístupněných a zefektivněných podsbírek. Žadatel se zavazuje stanovenou hodnotu naplnit k datu ukončení fyzické realizace projektu.</w:t>
            </w:r>
          </w:p>
          <w:p w:rsidR="00507332" w:rsidRDefault="00507332" w:rsidP="00DB5FE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nově zpřístupněných a zefektivněných podsbírek k datu ukončení fyzické realizace projektu.</w:t>
            </w:r>
          </w:p>
          <w:p w:rsidR="00507332" w:rsidRPr="00764007" w:rsidRDefault="00507332" w:rsidP="00DB5FE3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2164B6">
              <w:rPr>
                <w:b/>
                <w:sz w:val="20"/>
                <w:szCs w:val="20"/>
                <w:u w:val="single"/>
              </w:rPr>
              <w:t>Tolerance:</w:t>
            </w:r>
            <w:r>
              <w:rPr>
                <w:b/>
                <w:sz w:val="20"/>
                <w:szCs w:val="20"/>
              </w:rPr>
              <w:t xml:space="preserve">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</w:t>
            </w:r>
            <w:r w:rsidR="00954C1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507332" w:rsidRPr="00B276E4" w:rsidRDefault="00507332" w:rsidP="00DB5FE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je stanovena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507332" w:rsidRPr="0098535B" w:rsidTr="00DB5FE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507332" w:rsidRPr="0070197F" w:rsidRDefault="00507332" w:rsidP="00DB5FE3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507332" w:rsidRPr="0098535B" w:rsidTr="00DB5FE3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507332" w:rsidRPr="000E2AF2" w:rsidRDefault="00507332" w:rsidP="00DB5FE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lastRenderedPageBreak/>
              <w:t>Výchozí a cílové hodnoty, stanovené na základě uvedených pravidel, žadatel zadává do žádosti o podporu v</w:t>
            </w:r>
            <w:r w:rsidR="00954C10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507332" w:rsidRPr="000E2AF2" w:rsidRDefault="00507332" w:rsidP="00DB5FE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507332" w:rsidRPr="000E2AF2" w:rsidRDefault="00507332" w:rsidP="00DB5FE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507332" w:rsidRPr="000E2AF2" w:rsidRDefault="00507332" w:rsidP="00DB5FE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507332" w:rsidRPr="00CF53B4" w:rsidRDefault="00507332" w:rsidP="00DB5FE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:rsidR="00507332" w:rsidRDefault="00507332" w:rsidP="00507332"/>
    <w:p w:rsidR="009C48D6" w:rsidRPr="004C15AB" w:rsidRDefault="009C48D6" w:rsidP="004C15AB">
      <w:pPr>
        <w:rPr>
          <w:rFonts w:ascii="Arial" w:hAnsi="Arial" w:cs="Arial"/>
          <w:b/>
          <w:sz w:val="20"/>
          <w:szCs w:val="20"/>
        </w:rPr>
      </w:pPr>
    </w:p>
    <w:sectPr w:rsidR="009C48D6" w:rsidRPr="004C1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631" w:rsidRDefault="00E80631" w:rsidP="00C835D3">
      <w:pPr>
        <w:spacing w:after="0" w:line="240" w:lineRule="auto"/>
      </w:pPr>
      <w:r>
        <w:separator/>
      </w:r>
    </w:p>
  </w:endnote>
  <w:endnote w:type="continuationSeparator" w:id="0">
    <w:p w:rsidR="00E80631" w:rsidRDefault="00E80631" w:rsidP="00C83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C835D3" w:rsidRPr="00E47FC1" w:rsidTr="00FB62E1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C835D3" w:rsidRPr="00E47FC1" w:rsidRDefault="00C835D3" w:rsidP="00861B9B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C835D3" w:rsidRPr="00E47FC1" w:rsidRDefault="00C835D3" w:rsidP="00FB62E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C835D3" w:rsidRPr="00E47FC1" w:rsidRDefault="00C835D3" w:rsidP="00FB62E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C835D3" w:rsidRPr="00E47FC1" w:rsidRDefault="00C835D3" w:rsidP="00FB62E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C835D3" w:rsidRPr="00E47FC1" w:rsidRDefault="00C835D3" w:rsidP="00FB62E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9C36A2">
            <w:rPr>
              <w:rStyle w:val="slostrnky"/>
              <w:rFonts w:ascii="Arial" w:hAnsi="Arial" w:cs="Arial"/>
              <w:noProof/>
            </w:rPr>
            <w:t>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9C36A2">
            <w:rPr>
              <w:rStyle w:val="slostrnky"/>
              <w:rFonts w:ascii="Arial" w:hAnsi="Arial" w:cs="Arial"/>
              <w:noProof/>
            </w:rPr>
            <w:t>5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:rsidR="00C835D3" w:rsidRDefault="00C835D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631" w:rsidRDefault="00E80631" w:rsidP="00C835D3">
      <w:pPr>
        <w:spacing w:after="0" w:line="240" w:lineRule="auto"/>
      </w:pPr>
      <w:r>
        <w:separator/>
      </w:r>
    </w:p>
  </w:footnote>
  <w:footnote w:type="continuationSeparator" w:id="0">
    <w:p w:rsidR="00E80631" w:rsidRDefault="00E80631" w:rsidP="00C835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5D3" w:rsidRDefault="00C835D3" w:rsidP="00C835D3">
    <w:pPr>
      <w:pStyle w:val="Zhlav"/>
      <w:jc w:val="center"/>
    </w:pPr>
    <w:r>
      <w:rPr>
        <w:noProof/>
        <w:lang w:eastAsia="cs-CZ"/>
      </w:rPr>
      <w:drawing>
        <wp:inline distT="0" distB="0" distL="0" distR="0" wp14:anchorId="02A87629" wp14:editId="13C9B1F4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21238"/>
    <w:multiLevelType w:val="hybridMultilevel"/>
    <w:tmpl w:val="F3FE0D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573DD"/>
    <w:multiLevelType w:val="hybridMultilevel"/>
    <w:tmpl w:val="925C61E0"/>
    <w:lvl w:ilvl="0" w:tplc="0405000F">
      <w:start w:val="1"/>
      <w:numFmt w:val="decimal"/>
      <w:lvlText w:val="%1.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" w15:restartNumberingAfterBreak="0">
    <w:nsid w:val="21FF722D"/>
    <w:multiLevelType w:val="hybridMultilevel"/>
    <w:tmpl w:val="41C8F01E"/>
    <w:lvl w:ilvl="0" w:tplc="6E26470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90B93"/>
    <w:multiLevelType w:val="hybridMultilevel"/>
    <w:tmpl w:val="F3FE0D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2E76B3"/>
    <w:multiLevelType w:val="hybridMultilevel"/>
    <w:tmpl w:val="2124D720"/>
    <w:lvl w:ilvl="0" w:tplc="912CD33A">
      <w:start w:val="1"/>
      <w:numFmt w:val="decimal"/>
      <w:lvlText w:val="%1)"/>
      <w:lvlJc w:val="left"/>
      <w:pPr>
        <w:ind w:left="89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5" w15:restartNumberingAfterBreak="0">
    <w:nsid w:val="775B2C2D"/>
    <w:multiLevelType w:val="hybridMultilevel"/>
    <w:tmpl w:val="C928990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A69610D"/>
    <w:multiLevelType w:val="hybridMultilevel"/>
    <w:tmpl w:val="9BB850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62F"/>
    <w:rsid w:val="000161F6"/>
    <w:rsid w:val="00033E1A"/>
    <w:rsid w:val="000429A8"/>
    <w:rsid w:val="00043930"/>
    <w:rsid w:val="0004657C"/>
    <w:rsid w:val="00081B1C"/>
    <w:rsid w:val="000830EB"/>
    <w:rsid w:val="000962DA"/>
    <w:rsid w:val="000A0A2C"/>
    <w:rsid w:val="000B1EA7"/>
    <w:rsid w:val="000B62A9"/>
    <w:rsid w:val="000C7543"/>
    <w:rsid w:val="000C777B"/>
    <w:rsid w:val="000D13D9"/>
    <w:rsid w:val="000E6B82"/>
    <w:rsid w:val="00107CD8"/>
    <w:rsid w:val="00111021"/>
    <w:rsid w:val="00141E9B"/>
    <w:rsid w:val="00155816"/>
    <w:rsid w:val="001646EE"/>
    <w:rsid w:val="00165CA3"/>
    <w:rsid w:val="00172802"/>
    <w:rsid w:val="00176F7E"/>
    <w:rsid w:val="00191E6C"/>
    <w:rsid w:val="001923E5"/>
    <w:rsid w:val="001A7196"/>
    <w:rsid w:val="001D098D"/>
    <w:rsid w:val="001F7EE1"/>
    <w:rsid w:val="0020114E"/>
    <w:rsid w:val="00201611"/>
    <w:rsid w:val="0020297F"/>
    <w:rsid w:val="0021004C"/>
    <w:rsid w:val="002142A6"/>
    <w:rsid w:val="00221419"/>
    <w:rsid w:val="00224749"/>
    <w:rsid w:val="00233610"/>
    <w:rsid w:val="002365FC"/>
    <w:rsid w:val="00236D1E"/>
    <w:rsid w:val="0024107F"/>
    <w:rsid w:val="00245457"/>
    <w:rsid w:val="00252CC2"/>
    <w:rsid w:val="002573B6"/>
    <w:rsid w:val="002740BD"/>
    <w:rsid w:val="00276C57"/>
    <w:rsid w:val="00282172"/>
    <w:rsid w:val="002865E2"/>
    <w:rsid w:val="0028714A"/>
    <w:rsid w:val="0029766C"/>
    <w:rsid w:val="002D50C8"/>
    <w:rsid w:val="002D6EAA"/>
    <w:rsid w:val="002E1A6E"/>
    <w:rsid w:val="002E389C"/>
    <w:rsid w:val="00306C50"/>
    <w:rsid w:val="00313FAB"/>
    <w:rsid w:val="00315A0A"/>
    <w:rsid w:val="00317142"/>
    <w:rsid w:val="003212DA"/>
    <w:rsid w:val="00326CE2"/>
    <w:rsid w:val="00336094"/>
    <w:rsid w:val="003376A4"/>
    <w:rsid w:val="00350371"/>
    <w:rsid w:val="00350B24"/>
    <w:rsid w:val="00363D01"/>
    <w:rsid w:val="0036640B"/>
    <w:rsid w:val="0037240E"/>
    <w:rsid w:val="00385F51"/>
    <w:rsid w:val="00386A44"/>
    <w:rsid w:val="00386AB4"/>
    <w:rsid w:val="003A598B"/>
    <w:rsid w:val="003B5934"/>
    <w:rsid w:val="003C5845"/>
    <w:rsid w:val="003D0B88"/>
    <w:rsid w:val="003D7C19"/>
    <w:rsid w:val="003E3A69"/>
    <w:rsid w:val="003F45D6"/>
    <w:rsid w:val="003F4855"/>
    <w:rsid w:val="00400377"/>
    <w:rsid w:val="00400619"/>
    <w:rsid w:val="00410CB9"/>
    <w:rsid w:val="00424F7D"/>
    <w:rsid w:val="004358CE"/>
    <w:rsid w:val="0043756F"/>
    <w:rsid w:val="004426B9"/>
    <w:rsid w:val="004437BE"/>
    <w:rsid w:val="00447E3B"/>
    <w:rsid w:val="0045703D"/>
    <w:rsid w:val="0045780F"/>
    <w:rsid w:val="0047362F"/>
    <w:rsid w:val="004A1303"/>
    <w:rsid w:val="004A3F20"/>
    <w:rsid w:val="004B5862"/>
    <w:rsid w:val="004C15AB"/>
    <w:rsid w:val="004D6948"/>
    <w:rsid w:val="004E321D"/>
    <w:rsid w:val="004E7673"/>
    <w:rsid w:val="00500C6B"/>
    <w:rsid w:val="00502F17"/>
    <w:rsid w:val="00507332"/>
    <w:rsid w:val="00510913"/>
    <w:rsid w:val="00543A46"/>
    <w:rsid w:val="00544888"/>
    <w:rsid w:val="00547E70"/>
    <w:rsid w:val="00553807"/>
    <w:rsid w:val="00555165"/>
    <w:rsid w:val="0056184C"/>
    <w:rsid w:val="00564062"/>
    <w:rsid w:val="00564C96"/>
    <w:rsid w:val="005734CC"/>
    <w:rsid w:val="00575F28"/>
    <w:rsid w:val="005833A0"/>
    <w:rsid w:val="0058490C"/>
    <w:rsid w:val="00586125"/>
    <w:rsid w:val="005875BE"/>
    <w:rsid w:val="005911B1"/>
    <w:rsid w:val="0059574C"/>
    <w:rsid w:val="005B3938"/>
    <w:rsid w:val="005B5F31"/>
    <w:rsid w:val="005C7C4E"/>
    <w:rsid w:val="005D786D"/>
    <w:rsid w:val="00606C7B"/>
    <w:rsid w:val="00616599"/>
    <w:rsid w:val="00617F48"/>
    <w:rsid w:val="00635E2D"/>
    <w:rsid w:val="00650A3A"/>
    <w:rsid w:val="00650BEB"/>
    <w:rsid w:val="00653F14"/>
    <w:rsid w:val="00655285"/>
    <w:rsid w:val="00656F8A"/>
    <w:rsid w:val="00667424"/>
    <w:rsid w:val="00683F88"/>
    <w:rsid w:val="00694BF9"/>
    <w:rsid w:val="006C01AE"/>
    <w:rsid w:val="006E7161"/>
    <w:rsid w:val="007139DD"/>
    <w:rsid w:val="00713DB0"/>
    <w:rsid w:val="00714F3E"/>
    <w:rsid w:val="0071751B"/>
    <w:rsid w:val="00727751"/>
    <w:rsid w:val="00727F1E"/>
    <w:rsid w:val="007310A5"/>
    <w:rsid w:val="00734190"/>
    <w:rsid w:val="00736609"/>
    <w:rsid w:val="00740B68"/>
    <w:rsid w:val="0076585A"/>
    <w:rsid w:val="007668A1"/>
    <w:rsid w:val="007727C0"/>
    <w:rsid w:val="00782E38"/>
    <w:rsid w:val="007905F1"/>
    <w:rsid w:val="007916B3"/>
    <w:rsid w:val="0079673A"/>
    <w:rsid w:val="007B58AB"/>
    <w:rsid w:val="00810858"/>
    <w:rsid w:val="008133E5"/>
    <w:rsid w:val="00830E53"/>
    <w:rsid w:val="00833AEA"/>
    <w:rsid w:val="008413D9"/>
    <w:rsid w:val="0085320D"/>
    <w:rsid w:val="00861B9B"/>
    <w:rsid w:val="008915A8"/>
    <w:rsid w:val="008957E0"/>
    <w:rsid w:val="008A0F05"/>
    <w:rsid w:val="008A61E3"/>
    <w:rsid w:val="008B3476"/>
    <w:rsid w:val="008B626D"/>
    <w:rsid w:val="008B6445"/>
    <w:rsid w:val="008B755D"/>
    <w:rsid w:val="008C74C4"/>
    <w:rsid w:val="008D13C1"/>
    <w:rsid w:val="008D1624"/>
    <w:rsid w:val="008D287D"/>
    <w:rsid w:val="008E3AB7"/>
    <w:rsid w:val="00912B9A"/>
    <w:rsid w:val="00915F4C"/>
    <w:rsid w:val="00916F5C"/>
    <w:rsid w:val="009179B1"/>
    <w:rsid w:val="00925E38"/>
    <w:rsid w:val="0094354D"/>
    <w:rsid w:val="009448E9"/>
    <w:rsid w:val="00954C10"/>
    <w:rsid w:val="00954DD4"/>
    <w:rsid w:val="00971C27"/>
    <w:rsid w:val="0098038A"/>
    <w:rsid w:val="00991B35"/>
    <w:rsid w:val="009A5543"/>
    <w:rsid w:val="009A7A5F"/>
    <w:rsid w:val="009B22B1"/>
    <w:rsid w:val="009C36A2"/>
    <w:rsid w:val="009C48D6"/>
    <w:rsid w:val="009C68A6"/>
    <w:rsid w:val="009C6ED8"/>
    <w:rsid w:val="009D4158"/>
    <w:rsid w:val="009E3C79"/>
    <w:rsid w:val="009E5FB0"/>
    <w:rsid w:val="00A126D7"/>
    <w:rsid w:val="00A15B48"/>
    <w:rsid w:val="00A15E09"/>
    <w:rsid w:val="00A37A03"/>
    <w:rsid w:val="00A45202"/>
    <w:rsid w:val="00A604DD"/>
    <w:rsid w:val="00A755A1"/>
    <w:rsid w:val="00A86FB3"/>
    <w:rsid w:val="00A87E69"/>
    <w:rsid w:val="00A91C32"/>
    <w:rsid w:val="00A95AFA"/>
    <w:rsid w:val="00AA19B3"/>
    <w:rsid w:val="00AA39D6"/>
    <w:rsid w:val="00AC13BC"/>
    <w:rsid w:val="00AD3B0A"/>
    <w:rsid w:val="00AD57D1"/>
    <w:rsid w:val="00AE7D2C"/>
    <w:rsid w:val="00B12F17"/>
    <w:rsid w:val="00B25184"/>
    <w:rsid w:val="00B25848"/>
    <w:rsid w:val="00B30B9C"/>
    <w:rsid w:val="00B363F9"/>
    <w:rsid w:val="00B42531"/>
    <w:rsid w:val="00B44B7B"/>
    <w:rsid w:val="00B45BBD"/>
    <w:rsid w:val="00B5510A"/>
    <w:rsid w:val="00B65749"/>
    <w:rsid w:val="00B75D43"/>
    <w:rsid w:val="00B800D4"/>
    <w:rsid w:val="00B93D2E"/>
    <w:rsid w:val="00BA161F"/>
    <w:rsid w:val="00BB7CC4"/>
    <w:rsid w:val="00BC10F4"/>
    <w:rsid w:val="00BD2831"/>
    <w:rsid w:val="00BD6230"/>
    <w:rsid w:val="00C10956"/>
    <w:rsid w:val="00C15584"/>
    <w:rsid w:val="00C36188"/>
    <w:rsid w:val="00C41442"/>
    <w:rsid w:val="00C41E16"/>
    <w:rsid w:val="00C43A67"/>
    <w:rsid w:val="00C46086"/>
    <w:rsid w:val="00C72058"/>
    <w:rsid w:val="00C73833"/>
    <w:rsid w:val="00C835D3"/>
    <w:rsid w:val="00C94BB6"/>
    <w:rsid w:val="00CA3729"/>
    <w:rsid w:val="00CB4023"/>
    <w:rsid w:val="00CC1B95"/>
    <w:rsid w:val="00CC5F93"/>
    <w:rsid w:val="00CD1B95"/>
    <w:rsid w:val="00CE45B2"/>
    <w:rsid w:val="00CF152B"/>
    <w:rsid w:val="00CF3AC4"/>
    <w:rsid w:val="00CF465C"/>
    <w:rsid w:val="00D03E9E"/>
    <w:rsid w:val="00D13AAE"/>
    <w:rsid w:val="00D36F98"/>
    <w:rsid w:val="00D413F1"/>
    <w:rsid w:val="00D50319"/>
    <w:rsid w:val="00D50B1E"/>
    <w:rsid w:val="00D648BE"/>
    <w:rsid w:val="00D72B1E"/>
    <w:rsid w:val="00D77BD9"/>
    <w:rsid w:val="00D83D5E"/>
    <w:rsid w:val="00D8631A"/>
    <w:rsid w:val="00D87D39"/>
    <w:rsid w:val="00D91439"/>
    <w:rsid w:val="00D95DD5"/>
    <w:rsid w:val="00D96453"/>
    <w:rsid w:val="00DA5929"/>
    <w:rsid w:val="00DB2A32"/>
    <w:rsid w:val="00DB7090"/>
    <w:rsid w:val="00DD7F49"/>
    <w:rsid w:val="00DE14B7"/>
    <w:rsid w:val="00E07FAF"/>
    <w:rsid w:val="00E102EF"/>
    <w:rsid w:val="00E2191B"/>
    <w:rsid w:val="00E256B5"/>
    <w:rsid w:val="00E34E43"/>
    <w:rsid w:val="00E44A3D"/>
    <w:rsid w:val="00E46BB2"/>
    <w:rsid w:val="00E72B2A"/>
    <w:rsid w:val="00E80631"/>
    <w:rsid w:val="00E97C3A"/>
    <w:rsid w:val="00EA0516"/>
    <w:rsid w:val="00EB3E30"/>
    <w:rsid w:val="00ED41B6"/>
    <w:rsid w:val="00ED5C2E"/>
    <w:rsid w:val="00F0401C"/>
    <w:rsid w:val="00F25AD9"/>
    <w:rsid w:val="00F34748"/>
    <w:rsid w:val="00F34A94"/>
    <w:rsid w:val="00F4488B"/>
    <w:rsid w:val="00F46ADD"/>
    <w:rsid w:val="00F50863"/>
    <w:rsid w:val="00F53037"/>
    <w:rsid w:val="00F57E12"/>
    <w:rsid w:val="00F702AE"/>
    <w:rsid w:val="00F75B96"/>
    <w:rsid w:val="00F833CA"/>
    <w:rsid w:val="00F84892"/>
    <w:rsid w:val="00F86925"/>
    <w:rsid w:val="00F870E1"/>
    <w:rsid w:val="00F87867"/>
    <w:rsid w:val="00F92A2C"/>
    <w:rsid w:val="00F93168"/>
    <w:rsid w:val="00F93395"/>
    <w:rsid w:val="00F94E39"/>
    <w:rsid w:val="00FC06D3"/>
    <w:rsid w:val="00FC22F4"/>
    <w:rsid w:val="00FD1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66C29"/>
  <w15:docId w15:val="{FAA9D7A9-604A-4B4F-8F14-812D71E5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4657C"/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4657C"/>
    <w:pPr>
      <w:pBdr>
        <w:bottom w:val="single" w:sz="4" w:space="1" w:color="622423" w:themeColor="accent2" w:themeShade="7F"/>
      </w:pBdr>
      <w:spacing w:before="400" w:line="252" w:lineRule="auto"/>
      <w:jc w:val="center"/>
      <w:outlineLvl w:val="1"/>
    </w:pPr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4657C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line="252" w:lineRule="auto"/>
      <w:jc w:val="center"/>
      <w:outlineLvl w:val="2"/>
    </w:pPr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57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B1EA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45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5BBD"/>
    <w:rPr>
      <w:rFonts w:ascii="Tahoma" w:hAnsi="Tahoma" w:cs="Tahoma"/>
      <w:sz w:val="16"/>
      <w:szCs w:val="16"/>
    </w:rPr>
  </w:style>
  <w:style w:type="paragraph" w:customStyle="1" w:styleId="text">
    <w:name w:val="*text"/>
    <w:basedOn w:val="Normln"/>
    <w:link w:val="textChar"/>
    <w:qFormat/>
    <w:rsid w:val="002142A6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2142A6"/>
  </w:style>
  <w:style w:type="character" w:customStyle="1" w:styleId="Nadpis1Char">
    <w:name w:val="Nadpis 1 Char"/>
    <w:basedOn w:val="Standardnpsmoodstavce"/>
    <w:link w:val="Nadpis1"/>
    <w:uiPriority w:val="9"/>
    <w:rsid w:val="0004657C"/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4657C"/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4657C"/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paragraph" w:customStyle="1" w:styleId="Default">
    <w:name w:val="Default"/>
    <w:rsid w:val="0004657C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4657C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4657C"/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table" w:styleId="Svtlseznam">
    <w:name w:val="Light List"/>
    <w:basedOn w:val="Normlntabulka"/>
    <w:uiPriority w:val="61"/>
    <w:rsid w:val="0004657C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Odkaznakoment">
    <w:name w:val="annotation reference"/>
    <w:basedOn w:val="Standardnpsmoodstavce"/>
    <w:uiPriority w:val="99"/>
    <w:unhideWhenUsed/>
    <w:rsid w:val="00AA1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A19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A19B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19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19B3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8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35D3"/>
  </w:style>
  <w:style w:type="paragraph" w:styleId="Zpat">
    <w:name w:val="footer"/>
    <w:basedOn w:val="Normln"/>
    <w:link w:val="ZpatChar"/>
    <w:uiPriority w:val="99"/>
    <w:unhideWhenUsed/>
    <w:rsid w:val="00C8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35D3"/>
  </w:style>
  <w:style w:type="character" w:styleId="slostrnky">
    <w:name w:val="page number"/>
    <w:basedOn w:val="Standardnpsmoodstavce"/>
    <w:uiPriority w:val="99"/>
    <w:rsid w:val="00C835D3"/>
    <w:rPr>
      <w:rFonts w:cs="Times New Roman"/>
    </w:rPr>
  </w:style>
  <w:style w:type="paragraph" w:customStyle="1" w:styleId="Zkladnodstavec">
    <w:name w:val="[Základní odstavec]"/>
    <w:basedOn w:val="Normln"/>
    <w:uiPriority w:val="99"/>
    <w:rsid w:val="00C835D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Revize">
    <w:name w:val="Revision"/>
    <w:hidden/>
    <w:uiPriority w:val="99"/>
    <w:semiHidden/>
    <w:rsid w:val="00A37A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8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E7463-A607-461D-87DC-185AF4CED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1033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Habová Soňa</cp:lastModifiedBy>
  <cp:revision>14</cp:revision>
  <cp:lastPrinted>2016-07-19T11:18:00Z</cp:lastPrinted>
  <dcterms:created xsi:type="dcterms:W3CDTF">2016-03-11T12:13:00Z</dcterms:created>
  <dcterms:modified xsi:type="dcterms:W3CDTF">2018-08-17T05:38:00Z</dcterms:modified>
</cp:coreProperties>
</file>