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D53714A"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E05AE2">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030453BE"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427E0B">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7061851" w14:textId="7B914F32" w:rsidR="00203575" w:rsidRPr="00462FC9"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Dotace je udělena v souladu s nařízením Komise (EU) č</w:t>
      </w:r>
      <w:r w:rsidRPr="00462FC9">
        <w:rPr>
          <w:rFonts w:ascii="Arial" w:hAnsi="Arial" w:cs="Arial"/>
          <w:b w:val="0"/>
          <w:i w:val="0"/>
          <w:sz w:val="22"/>
          <w:szCs w:val="22"/>
        </w:rPr>
        <w:t>. 1407/2013</w:t>
      </w:r>
      <w:r w:rsidR="0020795A" w:rsidRPr="00462FC9">
        <w:rPr>
          <w:rStyle w:val="Znakapoznpodarou"/>
          <w:rFonts w:ascii="Arial" w:hAnsi="Arial" w:cs="Arial"/>
          <w:b w:val="0"/>
          <w:i w:val="0"/>
          <w:sz w:val="22"/>
          <w:szCs w:val="22"/>
        </w:rPr>
        <w:footnoteReference w:id="22"/>
      </w:r>
      <w:r w:rsidRPr="00462FC9">
        <w:rPr>
          <w:rFonts w:ascii="Arial" w:hAnsi="Arial" w:cs="Arial"/>
          <w:b w:val="0"/>
          <w:i w:val="0"/>
          <w:sz w:val="22"/>
          <w:szCs w:val="22"/>
        </w:rPr>
        <w:t xml:space="preserve"> ze dne 18. prosince 2013 o použití článku 107 a 108 SFEU na podporu de minimis.</w:t>
      </w:r>
    </w:p>
    <w:p w14:paraId="4FDFB81D"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54A6FE76" w14:textId="77777777" w:rsidR="00203575" w:rsidRPr="00203575" w:rsidRDefault="00203575" w:rsidP="00203575">
      <w:pPr>
        <w:pStyle w:val="Zkladntext"/>
        <w:numPr>
          <w:ilvl w:val="0"/>
          <w:numId w:val="31"/>
        </w:numPr>
        <w:spacing w:before="120" w:after="120" w:line="271" w:lineRule="auto"/>
        <w:jc w:val="both"/>
        <w:rPr>
          <w:rFonts w:ascii="Arial" w:hAnsi="Arial" w:cs="Arial"/>
          <w:b w:val="0"/>
          <w:i w:val="0"/>
          <w:sz w:val="22"/>
          <w:szCs w:val="22"/>
        </w:rPr>
      </w:pPr>
      <w:r w:rsidRPr="00203575">
        <w:rPr>
          <w:rFonts w:ascii="Arial" w:hAnsi="Arial" w:cs="Arial"/>
          <w:b w:val="0"/>
          <w:i w:val="0"/>
          <w:sz w:val="22"/>
          <w:szCs w:val="22"/>
        </w:rPr>
        <w:t xml:space="preserve">Příjemce dotace bere na vědomí, že Evropská komise může uložit příjemci navrácení veřejné podpory spolu s příslušným úrokem zpět poskytovateli, pokud shledá, že poskytnutá dotace představuje protiprávní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BD22CF">
        <w:trPr>
          <w:cantSplit/>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BD22CF">
        <w:trPr>
          <w:cantSplit/>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44FDAE6F"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941F38">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BD22CF">
        <w:trPr>
          <w:cantSplit/>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BD22CF">
        <w:trPr>
          <w:cantSplit/>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BD22CF">
        <w:trPr>
          <w:cantSplit/>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BD22CF">
        <w:trPr>
          <w:cantSplit/>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AFFD8" w14:textId="77777777" w:rsidR="007F2128" w:rsidRDefault="007F2128">
      <w:r>
        <w:separator/>
      </w:r>
    </w:p>
  </w:endnote>
  <w:endnote w:type="continuationSeparator" w:id="0">
    <w:p w14:paraId="0CE38C45" w14:textId="77777777" w:rsidR="007F2128" w:rsidRDefault="007F2128">
      <w:r>
        <w:continuationSeparator/>
      </w:r>
    </w:p>
  </w:endnote>
  <w:endnote w:type="continuationNotice" w:id="1">
    <w:p w14:paraId="6E911936" w14:textId="77777777" w:rsidR="007F2128" w:rsidRDefault="007F21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9DF9" w14:textId="77777777" w:rsidR="007F2128" w:rsidRDefault="007F2128">
      <w:r>
        <w:separator/>
      </w:r>
    </w:p>
  </w:footnote>
  <w:footnote w:type="continuationSeparator" w:id="0">
    <w:p w14:paraId="42E5E7CB" w14:textId="77777777" w:rsidR="007F2128" w:rsidRDefault="007F2128">
      <w:r>
        <w:continuationSeparator/>
      </w:r>
    </w:p>
  </w:footnote>
  <w:footnote w:type="continuationNotice" w:id="1">
    <w:p w14:paraId="7E8EBA09" w14:textId="77777777" w:rsidR="007F2128" w:rsidRDefault="007F2128"/>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0983DBC" w14:textId="1959A193" w:rsidR="0020795A" w:rsidRDefault="0020795A">
      <w:pPr>
        <w:pStyle w:val="Textpoznpodarou"/>
      </w:pPr>
      <w:r>
        <w:rPr>
          <w:rStyle w:val="Znakapoznpodarou"/>
        </w:rPr>
        <w:footnoteRef/>
      </w:r>
      <w:r>
        <w:t xml:space="preserve"> </w:t>
      </w:r>
      <w:proofErr w:type="spellStart"/>
      <w:r w:rsidR="00462FC9">
        <w:rPr>
          <w:rFonts w:asciiTheme="minorHAnsi" w:hAnsiTheme="minorHAnsi" w:cstheme="minorHAnsi"/>
          <w:sz w:val="16"/>
          <w:szCs w:val="16"/>
        </w:rPr>
        <w:t>Úř</w:t>
      </w:r>
      <w:proofErr w:type="spellEnd"/>
      <w:r w:rsidR="00462FC9">
        <w:rPr>
          <w:rFonts w:asciiTheme="minorHAnsi" w:hAnsiTheme="minorHAnsi" w:cstheme="minorHAnsi"/>
          <w:sz w:val="16"/>
          <w:szCs w:val="16"/>
        </w:rPr>
        <w:t xml:space="preserve">. </w:t>
      </w:r>
      <w:proofErr w:type="spellStart"/>
      <w:r w:rsidR="00462FC9">
        <w:rPr>
          <w:rFonts w:asciiTheme="minorHAnsi" w:hAnsiTheme="minorHAnsi" w:cstheme="minorHAnsi"/>
          <w:sz w:val="16"/>
          <w:szCs w:val="16"/>
        </w:rPr>
        <w:t>věst</w:t>
      </w:r>
      <w:proofErr w:type="spellEnd"/>
      <w:r w:rsidR="00462FC9">
        <w:rPr>
          <w:rFonts w:asciiTheme="minorHAnsi" w:hAnsiTheme="minorHAnsi" w:cs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CE09" w14:textId="1DDD3F4C"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BBCD" w14:textId="4BD20D45"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BA9B" w14:textId="02C6C0C0"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 w:numId="36" w16cid:durableId="16643113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575"/>
    <w:rsid w:val="00203B5C"/>
    <w:rsid w:val="00203C0D"/>
    <w:rsid w:val="00203F55"/>
    <w:rsid w:val="0020558C"/>
    <w:rsid w:val="00205952"/>
    <w:rsid w:val="00205A4E"/>
    <w:rsid w:val="002064A0"/>
    <w:rsid w:val="0020698B"/>
    <w:rsid w:val="00207099"/>
    <w:rsid w:val="0020795A"/>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27E0B"/>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2FC9"/>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162"/>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12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1F38"/>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089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BF5"/>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2CF"/>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29"/>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5AE2"/>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86"/>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1595975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10.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4.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8.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5.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7.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F329A040-736B-4849-B582-59A5B0BCDA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4177</Words>
  <Characters>24103</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2022-07-27T10:25:00Z</cp:lastPrinted>
  <dcterms:created xsi:type="dcterms:W3CDTF">2024-04-19T07:40:00Z</dcterms:created>
  <dcterms:modified xsi:type="dcterms:W3CDTF">2024-05-20T09:03:00Z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